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3E6013">
      <w:pPr>
        <w:pStyle w:val="Titleup"/>
        <w:framePr w:wrap="around" w:y="-989" w:anchorLock="1"/>
        <w:shd w:val="pct20" w:color="auto" w:fill="FFFFFF"/>
        <w:tabs>
          <w:tab w:val="left" w:pos="900"/>
          <w:tab w:val="right" w:pos="11347"/>
        </w:tabs>
        <w:rPr>
          <w:sz w:val="36"/>
        </w:rPr>
      </w:pPr>
      <w:r>
        <w:tab/>
        <w:t>FISCAL UPDATE</w:t>
      </w:r>
      <w:r>
        <w:tab/>
      </w:r>
      <w:r>
        <w:rPr>
          <w:sz w:val="36"/>
        </w:rPr>
        <w:t>February 26, 2001</w:t>
      </w:r>
    </w:p>
    <w:p w:rsidR="00000000" w:rsidRDefault="003E6013">
      <w:pPr>
        <w:pStyle w:val="Title3up"/>
        <w:framePr w:wrap="around" w:y="-989" w:anchorLock="1"/>
        <w:shd w:val="pct20" w:color="auto" w:fill="FFFFFF"/>
        <w:spacing w:after="0"/>
        <w:ind w:left="720"/>
        <w:rPr>
          <w:sz w:val="24"/>
        </w:rPr>
      </w:pPr>
      <w:r>
        <w:rPr>
          <w:noProof/>
        </w:rPr>
        <w:pict>
          <v:line id="_x0000_s1026" style="position:absolute;left:0;text-align:left;z-index:251652096" from="40.05pt,1.35pt" to="572.85pt,1.35pt" strokeweight="2pt"/>
        </w:pict>
      </w:r>
      <w:r>
        <w:tab/>
        <w:t>Legislative Fiscal Bureau</w:t>
      </w:r>
      <w:r>
        <w:tab/>
      </w:r>
      <w:r>
        <w:rPr>
          <w:sz w:val="24"/>
        </w:rPr>
        <w:t>(515)-281-5279 FAX 281-8451</w:t>
      </w:r>
    </w:p>
    <w:p w:rsidR="00000000" w:rsidRDefault="003E6013">
      <w:pPr>
        <w:pStyle w:val="Title3up"/>
        <w:framePr w:wrap="around" w:y="-989" w:anchorLock="1"/>
        <w:shd w:val="pct20" w:color="auto" w:fill="FFFFFF"/>
        <w:tabs>
          <w:tab w:val="left" w:pos="7920"/>
        </w:tabs>
        <w:spacing w:after="0"/>
        <w:ind w:left="907" w:hanging="187"/>
        <w:rPr>
          <w:sz w:val="24"/>
        </w:rPr>
      </w:pPr>
      <w:r>
        <w:t xml:space="preserve">     </w:t>
      </w:r>
      <w:r>
        <w:tab/>
        <w:t xml:space="preserve"> </w:t>
      </w:r>
      <w:hyperlink r:id="rId7" w:history="1">
        <w:r>
          <w:rPr>
            <w:rStyle w:val="Hyperlink"/>
            <w:sz w:val="20"/>
          </w:rPr>
          <w:t>http://staffweb.legis.state.ia.us/lfb/</w:t>
        </w:r>
      </w:hyperlink>
      <w:r>
        <w:t xml:space="preserve"> </w:t>
      </w:r>
    </w:p>
    <w:p w:rsidR="00000000" w:rsidRDefault="003E6013">
      <w:pPr>
        <w:pStyle w:val="Header"/>
        <w:tabs>
          <w:tab w:val="clear" w:pos="4320"/>
          <w:tab w:val="clear" w:pos="8640"/>
        </w:tabs>
      </w:pPr>
    </w:p>
    <w:tbl>
      <w:tblPr>
        <w:tblW w:w="10458" w:type="dxa"/>
        <w:jc w:val="right"/>
        <w:tblBorders>
          <w:top w:val="single" w:sz="6" w:space="0" w:color="auto"/>
          <w:left w:val="single" w:sz="6" w:space="0" w:color="auto"/>
          <w:bottom w:val="single" w:sz="6" w:space="0" w:color="auto"/>
          <w:right w:val="single" w:sz="6" w:space="0" w:color="auto"/>
        </w:tblBorders>
        <w:tblLayout w:type="fixed"/>
        <w:tblLook w:val="0000"/>
      </w:tblPr>
      <w:tblGrid>
        <w:gridCol w:w="1548"/>
        <w:gridCol w:w="4230"/>
        <w:gridCol w:w="4680"/>
      </w:tblGrid>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rPr>
                <w:b/>
              </w:rPr>
            </w:pPr>
          </w:p>
        </w:tc>
        <w:tc>
          <w:tcPr>
            <w:tcW w:w="4230" w:type="dxa"/>
          </w:tcPr>
          <w:p w:rsidR="00000000" w:rsidRDefault="003E6013">
            <w:pPr>
              <w:pStyle w:val="ISSUE"/>
              <w:framePr w:w="0" w:hRule="auto" w:hSpace="187" w:wrap="around" w:x="1280" w:y="9320" w:anchorLock="1"/>
              <w:ind w:left="342" w:hanging="342"/>
            </w:pPr>
          </w:p>
        </w:tc>
        <w:tc>
          <w:tcPr>
            <w:tcW w:w="4680" w:type="dxa"/>
            <w:tcBorders>
              <w:top w:val="single" w:sz="6" w:space="0" w:color="auto"/>
              <w:bottom w:val="nil"/>
              <w:right w:val="single" w:sz="6" w:space="0" w:color="auto"/>
            </w:tcBorders>
          </w:tcPr>
          <w:p w:rsidR="00000000" w:rsidRDefault="003E6013">
            <w:pPr>
              <w:pStyle w:val="ISSUE"/>
              <w:framePr w:w="0" w:hRule="auto" w:hSpace="187" w:wrap="around" w:x="1280" w:y="9320" w:anchorLock="1"/>
              <w:ind w:left="342" w:hanging="342"/>
            </w:pP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rPr>
                <w:b/>
                <w:u w:val="single"/>
              </w:rPr>
            </w:pPr>
            <w:r>
              <w:rPr>
                <w:b/>
                <w:u w:val="single"/>
              </w:rPr>
              <w:t>IN THIS ISSUE:</w:t>
            </w:r>
          </w:p>
        </w:tc>
        <w:tc>
          <w:tcPr>
            <w:tcW w:w="4230" w:type="dxa"/>
          </w:tcPr>
          <w:p w:rsidR="00000000" w:rsidRDefault="003E6013">
            <w:pPr>
              <w:pStyle w:val="ISSUE"/>
              <w:framePr w:w="0" w:hRule="auto" w:hSpace="187" w:wrap="around" w:x="1280" w:y="9320" w:anchorLock="1"/>
              <w:ind w:left="342" w:hanging="342"/>
            </w:pPr>
            <w:r>
              <w:t>HF 399 &amp; SF 267- Deapprops Bills, pg. 1</w:t>
            </w:r>
          </w:p>
        </w:tc>
        <w:tc>
          <w:tcPr>
            <w:tcW w:w="4680" w:type="dxa"/>
            <w:tcBorders>
              <w:top w:val="nil"/>
              <w:bottom w:val="nil"/>
              <w:right w:val="single" w:sz="6" w:space="0" w:color="auto"/>
            </w:tcBorders>
          </w:tcPr>
          <w:p w:rsidR="00000000" w:rsidRDefault="003E6013">
            <w:pPr>
              <w:pStyle w:val="ISSUE"/>
              <w:framePr w:w="0" w:hRule="auto" w:hSpace="187" w:wrap="around" w:x="1280" w:y="9320" w:anchorLock="1"/>
              <w:ind w:left="342" w:hanging="342"/>
            </w:pPr>
            <w:r>
              <w:t>Care</w:t>
            </w:r>
            <w:r>
              <w:t>giver Support Program Federal Funds, pg. 10</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rPr>
                <w:u w:val="single"/>
              </w:rPr>
            </w:pPr>
          </w:p>
        </w:tc>
        <w:tc>
          <w:tcPr>
            <w:tcW w:w="4230" w:type="dxa"/>
          </w:tcPr>
          <w:p w:rsidR="00000000" w:rsidRDefault="003E6013">
            <w:pPr>
              <w:pStyle w:val="ISSUE"/>
              <w:framePr w:w="0" w:hRule="auto" w:hSpace="187" w:wrap="around" w:x="1280" w:y="9320" w:anchorLock="1"/>
              <w:ind w:left="342" w:hanging="342"/>
            </w:pPr>
            <w:r>
              <w:t>HSB 165 -  Teacher Compensation Reform and</w:t>
            </w:r>
          </w:p>
        </w:tc>
        <w:tc>
          <w:tcPr>
            <w:tcW w:w="4680" w:type="dxa"/>
            <w:tcBorders>
              <w:top w:val="nil"/>
            </w:tcBorders>
          </w:tcPr>
          <w:p w:rsidR="00000000" w:rsidRDefault="003E6013">
            <w:pPr>
              <w:pStyle w:val="ISSUE"/>
              <w:framePr w:w="0" w:hRule="auto" w:hSpace="187" w:wrap="around" w:x="1280" w:y="9320" w:anchorLock="1"/>
              <w:ind w:left="342" w:hanging="342"/>
            </w:pPr>
            <w:r>
              <w:t>TEA-21 Authorized Federal Grants, pg. 11</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 xml:space="preserve">  Student Achievement Sav. Acct Fund, pg. 2</w:t>
            </w:r>
          </w:p>
        </w:tc>
        <w:tc>
          <w:tcPr>
            <w:tcW w:w="4680" w:type="dxa"/>
          </w:tcPr>
          <w:p w:rsidR="00000000" w:rsidRDefault="003E6013">
            <w:pPr>
              <w:pStyle w:val="ISSUE"/>
              <w:framePr w:w="0" w:hRule="auto" w:hSpace="187" w:wrap="around" w:x="1280" w:y="9320" w:anchorLock="1"/>
              <w:ind w:left="342" w:hanging="342"/>
            </w:pPr>
            <w:r>
              <w:t>Board of Regents Meeting, pg. 11</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SF 203 – Budget Guarantee Bill, pg. 2</w:t>
            </w:r>
          </w:p>
        </w:tc>
        <w:tc>
          <w:tcPr>
            <w:tcW w:w="4680" w:type="dxa"/>
          </w:tcPr>
          <w:p w:rsidR="00000000" w:rsidRDefault="003E6013">
            <w:pPr>
              <w:pStyle w:val="ISSUE"/>
              <w:framePr w:w="0" w:hRule="auto" w:hSpace="187" w:wrap="around" w:x="1280" w:y="9320" w:anchorLock="1"/>
              <w:ind w:left="342" w:hanging="342"/>
            </w:pPr>
            <w:r>
              <w:t xml:space="preserve">Senior </w:t>
            </w:r>
            <w:r>
              <w:t>Living Coordinating Unit Meeting, pg. 12</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SF 258 – Tobacco Settlement Authority, pg. 2</w:t>
            </w:r>
          </w:p>
        </w:tc>
        <w:tc>
          <w:tcPr>
            <w:tcW w:w="4680" w:type="dxa"/>
          </w:tcPr>
          <w:p w:rsidR="00000000" w:rsidRDefault="003E6013">
            <w:pPr>
              <w:pStyle w:val="ISSUE"/>
              <w:framePr w:w="0" w:hRule="auto" w:hSpace="187" w:wrap="around" w:x="1280" w:y="9320" w:anchorLock="1"/>
              <w:ind w:left="342" w:hanging="342"/>
            </w:pPr>
            <w:r>
              <w:t>DOT Commission Approves Applications, pg. 13</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SF 63 – Child Endangerment, pg. 3</w:t>
            </w:r>
          </w:p>
        </w:tc>
        <w:tc>
          <w:tcPr>
            <w:tcW w:w="4680" w:type="dxa"/>
          </w:tcPr>
          <w:p w:rsidR="00000000" w:rsidRDefault="003E6013">
            <w:pPr>
              <w:pStyle w:val="ISSUE"/>
              <w:framePr w:w="0" w:hRule="auto" w:hSpace="187" w:wrap="around" w:x="1280" w:y="9320" w:anchorLock="1"/>
              <w:ind w:left="342" w:hanging="342"/>
            </w:pPr>
            <w:r>
              <w:t>DOT Short Supply of Salt, pg. 13</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SSB 1027–Hunting/Fishing License Fees, pg. 4</w:t>
            </w:r>
          </w:p>
        </w:tc>
        <w:tc>
          <w:tcPr>
            <w:tcW w:w="4680" w:type="dxa"/>
          </w:tcPr>
          <w:p w:rsidR="00000000" w:rsidRDefault="003E6013">
            <w:pPr>
              <w:pStyle w:val="ISSUE"/>
              <w:framePr w:w="0" w:hRule="auto" w:hSpace="187" w:wrap="around" w:x="1280" w:y="9320" w:anchorLock="1"/>
              <w:ind w:left="342" w:hanging="342"/>
            </w:pPr>
            <w:r>
              <w:t>Dept. o</w:t>
            </w:r>
            <w:r>
              <w:t>f Human Rights, CJJP Report Rcvd., pg. 14</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rPr>
                <w:b/>
                <w:bCs/>
              </w:rPr>
            </w:pPr>
            <w:r>
              <w:rPr>
                <w:b/>
                <w:bCs/>
              </w:rPr>
              <w:t>Appropriations Subcommittees:</w:t>
            </w:r>
          </w:p>
        </w:tc>
        <w:tc>
          <w:tcPr>
            <w:tcW w:w="4680" w:type="dxa"/>
          </w:tcPr>
          <w:p w:rsidR="00000000" w:rsidRDefault="003E6013">
            <w:pPr>
              <w:pStyle w:val="ISSUE"/>
              <w:framePr w:w="0" w:hRule="auto" w:hSpace="187" w:wrap="around" w:x="1280" w:y="9320" w:anchorLock="1"/>
              <w:ind w:left="342" w:hanging="342"/>
            </w:pPr>
            <w:r>
              <w:t>Lottery Revenues &amp; Expenditures, pg. 15</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 xml:space="preserve">  Administration &amp; Regulation, pg. 4</w:t>
            </w:r>
          </w:p>
        </w:tc>
        <w:tc>
          <w:tcPr>
            <w:tcW w:w="4680" w:type="dxa"/>
          </w:tcPr>
          <w:p w:rsidR="00000000" w:rsidRDefault="003E6013">
            <w:pPr>
              <w:pStyle w:val="ISSUE"/>
              <w:framePr w:w="0" w:hRule="auto" w:hSpace="187" w:wrap="around" w:x="1280" w:y="9320" w:anchorLock="1"/>
              <w:ind w:left="342" w:hanging="342"/>
            </w:pPr>
            <w:r>
              <w:rPr>
                <w:b/>
                <w:bCs/>
                <w:i/>
                <w:iCs/>
              </w:rPr>
              <w:t>Issue Reviews</w:t>
            </w:r>
            <w:r>
              <w:t>:</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 xml:space="preserve">  Agriculture &amp; Natural Resources, pg. 5</w:t>
            </w:r>
          </w:p>
        </w:tc>
        <w:tc>
          <w:tcPr>
            <w:tcW w:w="4680" w:type="dxa"/>
          </w:tcPr>
          <w:p w:rsidR="00000000" w:rsidRDefault="003E6013">
            <w:pPr>
              <w:pStyle w:val="ISSUE"/>
              <w:framePr w:w="0" w:hRule="auto" w:hSpace="187" w:wrap="around" w:x="1280" w:y="9320" w:anchorLock="1"/>
              <w:ind w:left="342" w:hanging="342"/>
            </w:pPr>
            <w:r>
              <w:t xml:space="preserve">  DOC – Telephone Rebate Fund, pg. 16</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 xml:space="preserve">  Eco</w:t>
            </w:r>
            <w:r>
              <w:t>nomic Development, pg. 6</w:t>
            </w:r>
          </w:p>
        </w:tc>
        <w:tc>
          <w:tcPr>
            <w:tcW w:w="4680" w:type="dxa"/>
          </w:tcPr>
          <w:p w:rsidR="00000000" w:rsidRDefault="003E6013">
            <w:pPr>
              <w:pStyle w:val="ISSUE"/>
              <w:framePr w:w="0" w:hRule="auto" w:hSpace="187" w:wrap="around" w:x="1280" w:y="9320" w:anchorLock="1"/>
              <w:ind w:left="342" w:hanging="342"/>
            </w:pPr>
            <w:r>
              <w:t xml:space="preserve">  IFA Housing Loan Program, pg. 18</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 xml:space="preserve">  Human Services, pg. 7</w:t>
            </w:r>
          </w:p>
        </w:tc>
        <w:tc>
          <w:tcPr>
            <w:tcW w:w="4680" w:type="dxa"/>
          </w:tcPr>
          <w:p w:rsidR="00000000" w:rsidRDefault="003E6013">
            <w:pPr>
              <w:pStyle w:val="ISSUE"/>
              <w:framePr w:w="0" w:hRule="auto" w:hSpace="187" w:wrap="around" w:x="1280" w:y="9320" w:anchorLock="1"/>
              <w:ind w:left="342" w:hanging="342"/>
            </w:pPr>
            <w:r>
              <w:t xml:space="preserve">  Childhood Lead Poisoning &amp; Prevention, pg. 19</w:t>
            </w: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r>
              <w:t xml:space="preserve">  Justice System, pg. 8</w:t>
            </w:r>
          </w:p>
        </w:tc>
        <w:tc>
          <w:tcPr>
            <w:tcW w:w="4680" w:type="dxa"/>
          </w:tcPr>
          <w:p w:rsidR="00000000" w:rsidRDefault="003E6013">
            <w:pPr>
              <w:pStyle w:val="ISSUE"/>
              <w:framePr w:w="0" w:hRule="auto" w:hSpace="187" w:wrap="around" w:x="1280" w:y="9320" w:anchorLock="1"/>
              <w:ind w:left="342" w:hanging="342"/>
            </w:pPr>
          </w:p>
        </w:tc>
      </w:tr>
      <w:tr w:rsidR="00000000">
        <w:tblPrEx>
          <w:tblCellMar>
            <w:top w:w="0" w:type="dxa"/>
            <w:bottom w:w="0" w:type="dxa"/>
          </w:tblCellMar>
        </w:tblPrEx>
        <w:trPr>
          <w:jc w:val="right"/>
        </w:trPr>
        <w:tc>
          <w:tcPr>
            <w:tcW w:w="1548" w:type="dxa"/>
          </w:tcPr>
          <w:p w:rsidR="00000000" w:rsidRDefault="003E6013">
            <w:pPr>
              <w:pStyle w:val="ISSUE"/>
              <w:framePr w:w="0" w:hRule="auto" w:hSpace="187" w:wrap="around" w:x="1280" w:y="9320" w:anchorLock="1"/>
              <w:ind w:left="342" w:hanging="342"/>
            </w:pPr>
          </w:p>
        </w:tc>
        <w:tc>
          <w:tcPr>
            <w:tcW w:w="4230" w:type="dxa"/>
          </w:tcPr>
          <w:p w:rsidR="00000000" w:rsidRDefault="003E6013">
            <w:pPr>
              <w:pStyle w:val="ISSUE"/>
              <w:framePr w:w="0" w:hRule="auto" w:hSpace="187" w:wrap="around" w:x="1280" w:y="9320" w:anchorLock="1"/>
              <w:ind w:left="342" w:hanging="342"/>
            </w:pPr>
          </w:p>
        </w:tc>
        <w:tc>
          <w:tcPr>
            <w:tcW w:w="4680" w:type="dxa"/>
          </w:tcPr>
          <w:p w:rsidR="00000000" w:rsidRDefault="003E6013">
            <w:pPr>
              <w:pStyle w:val="ISSUE"/>
              <w:framePr w:w="0" w:hRule="auto" w:hSpace="187" w:wrap="around" w:x="1280" w:y="9320" w:anchorLock="1"/>
              <w:ind w:left="342" w:hanging="342"/>
            </w:pPr>
          </w:p>
        </w:tc>
      </w:tr>
    </w:tbl>
    <w:p w:rsidR="00000000" w:rsidRDefault="003E6013">
      <w:pPr>
        <w:pStyle w:val="Blurbtitle"/>
      </w:pPr>
      <w:bookmarkStart w:id="0" w:name="FU2JDDB"/>
      <w:r>
        <w:t>FY 2001 Deappropriations Bill</w:t>
      </w:r>
      <w:bookmarkEnd w:id="0"/>
      <w:r>
        <w:t>s – HF 399 and SF 267 Pass Appropriations Committees</w:t>
      </w:r>
    </w:p>
    <w:p w:rsidR="00000000" w:rsidRDefault="003E6013">
      <w:pPr>
        <w:framePr w:w="501" w:h="997" w:hSpace="180" w:wrap="around" w:vAnchor="text" w:hAnchor="page" w:x="1535" w:y="76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9466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311785" cy="494665"/>
                    </a:xfrm>
                    <a:prstGeom prst="rect">
                      <a:avLst/>
                    </a:prstGeom>
                    <a:noFill/>
                    <a:ln w="9525">
                      <a:noFill/>
                      <a:miter lim="800000"/>
                      <a:headEnd/>
                      <a:tailEnd/>
                    </a:ln>
                  </pic:spPr>
                </pic:pic>
              </a:graphicData>
            </a:graphic>
          </wp:inline>
        </w:drawing>
      </w:r>
    </w:p>
    <w:p w:rsidR="00000000" w:rsidRDefault="003E6013">
      <w:pPr>
        <w:framePr w:w="653" w:h="929" w:hSpace="180" w:wrap="around" w:vAnchor="text" w:hAnchor="page" w:x="1535" w:y="6339"/>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drawing>
          <wp:inline distT="0" distB="0" distL="0" distR="0">
            <wp:extent cx="408940" cy="27940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srcRect/>
                    <a:stretch>
                      <a:fillRect/>
                    </a:stretch>
                  </pic:blipFill>
                  <pic:spPr bwMode="auto">
                    <a:xfrm>
                      <a:off x="0" y="0"/>
                      <a:ext cx="408940" cy="279400"/>
                    </a:xfrm>
                    <a:prstGeom prst="rect">
                      <a:avLst/>
                    </a:prstGeom>
                    <a:noFill/>
                    <a:ln w="9525">
                      <a:noFill/>
                      <a:miter lim="800000"/>
                      <a:headEnd/>
                      <a:tailEnd/>
                    </a:ln>
                  </pic:spPr>
                </pic:pic>
              </a:graphicData>
            </a:graphic>
          </wp:inline>
        </w:drawing>
      </w:r>
    </w:p>
    <w:p w:rsidR="00000000" w:rsidRDefault="003E6013">
      <w:pPr>
        <w:framePr w:w="653" w:h="929" w:hSpace="180" w:wrap="around" w:vAnchor="text" w:hAnchor="page" w:x="1535" w:y="6339"/>
        <w:pBdr>
          <w:top w:val="single" w:sz="12" w:space="5" w:color="auto" w:shadow="1"/>
          <w:left w:val="single" w:sz="12" w:space="5" w:color="auto" w:shadow="1"/>
          <w:bottom w:val="single" w:sz="12" w:space="5" w:color="auto" w:shadow="1"/>
          <w:right w:val="single" w:sz="12" w:space="5" w:color="auto" w:shadow="1"/>
        </w:pBdr>
        <w:rPr>
          <w:rFonts w:ascii="Univers" w:hAnsi="Univers"/>
          <w:b/>
          <w:sz w:val="16"/>
        </w:rPr>
      </w:pPr>
      <w:r>
        <w:rPr>
          <w:rFonts w:ascii="Univers" w:hAnsi="Univers"/>
          <w:b/>
          <w:sz w:val="16"/>
        </w:rPr>
        <w:t>Publ</w:t>
      </w:r>
      <w:r>
        <w:rPr>
          <w:rFonts w:ascii="Univers" w:hAnsi="Univers"/>
          <w:b/>
          <w:sz w:val="16"/>
        </w:rPr>
        <w:t>ic Hearing</w:t>
      </w:r>
    </w:p>
    <w:p w:rsidR="00000000" w:rsidRDefault="003E6013">
      <w:pPr>
        <w:pStyle w:val="textup"/>
        <w:ind w:right="-540"/>
      </w:pPr>
      <w:r>
        <w:rPr>
          <w:b/>
          <w:noProof/>
        </w:rPr>
        <w:pict>
          <v:shapetype id="_x0000_t202" coordsize="21600,21600" o:spt="202" path="m,l,21600r21600,l21600,xe">
            <v:stroke joinstyle="miter"/>
            <v:path gradientshapeok="t" o:connecttype="rect"/>
          </v:shapetype>
          <v:shape id="_x0000_s1041" type="#_x0000_t202" style="position:absolute;margin-left:31.05pt;margin-top:74.2pt;width:297pt;height:306pt;z-index:251662336" stroked="f">
            <v:textbox style="mso-next-textbox:#_x0000_s1041">
              <w:txbxContent>
                <w:tbl>
                  <w:tblPr>
                    <w:tblW w:w="5172" w:type="dxa"/>
                    <w:tblCellMar>
                      <w:left w:w="0" w:type="dxa"/>
                      <w:right w:w="0" w:type="dxa"/>
                    </w:tblCellMar>
                    <w:tblLook w:val="0000"/>
                  </w:tblPr>
                  <w:tblGrid>
                    <w:gridCol w:w="40"/>
                    <w:gridCol w:w="3836"/>
                    <w:gridCol w:w="40"/>
                    <w:gridCol w:w="1256"/>
                  </w:tblGrid>
                  <w:tr w:rsidR="00000000">
                    <w:trPr>
                      <w:trHeight w:val="144"/>
                    </w:trPr>
                    <w:tc>
                      <w:tcPr>
                        <w:tcW w:w="5172" w:type="dxa"/>
                        <w:gridSpan w:val="4"/>
                        <w:tcBorders>
                          <w:top w:val="nil"/>
                          <w:left w:val="nil"/>
                          <w:bottom w:val="nil"/>
                          <w:right w:val="nil"/>
                        </w:tcBorders>
                        <w:noWrap/>
                        <w:tcMar>
                          <w:top w:w="17" w:type="dxa"/>
                          <w:left w:w="17" w:type="dxa"/>
                          <w:bottom w:w="0" w:type="dxa"/>
                          <w:right w:w="17" w:type="dxa"/>
                        </w:tcMar>
                        <w:vAlign w:val="bottom"/>
                      </w:tcPr>
                      <w:p w:rsidR="00000000" w:rsidRDefault="003E6013">
                        <w:pPr>
                          <w:pStyle w:val="Heading2"/>
                          <w:rPr>
                            <w:rFonts w:eastAsia="Arial Unicode MS"/>
                          </w:rPr>
                        </w:pPr>
                        <w:r>
                          <w:t>Funding Summary</w:t>
                        </w:r>
                      </w:p>
                    </w:tc>
                  </w:tr>
                  <w:tr w:rsidR="00000000">
                    <w:trPr>
                      <w:trHeight w:val="144"/>
                    </w:trPr>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3E6013">
                        <w:pPr>
                          <w:pStyle w:val="Heading4"/>
                          <w:rPr>
                            <w:rFonts w:eastAsia="Arial Unicode MS"/>
                          </w:rPr>
                        </w:pPr>
                        <w:r>
                          <w:t>Deappropriations Bi</w:t>
                        </w:r>
                        <w:r>
                          <w:t>lls</w:t>
                        </w:r>
                      </w:p>
                    </w:tc>
                  </w:tr>
                  <w:tr w:rsidR="00000000">
                    <w:trPr>
                      <w:trHeight w:val="249"/>
                    </w:trPr>
                    <w:tc>
                      <w:tcPr>
                        <w:tcW w:w="0" w:type="auto"/>
                        <w:gridSpan w:val="4"/>
                        <w:tcBorders>
                          <w:top w:val="nil"/>
                          <w:left w:val="nil"/>
                          <w:bottom w:val="nil"/>
                          <w:right w:val="nil"/>
                        </w:tcBorders>
                        <w:noWrap/>
                        <w:tcMar>
                          <w:top w:w="17" w:type="dxa"/>
                          <w:left w:w="17" w:type="dxa"/>
                          <w:bottom w:w="0" w:type="dxa"/>
                          <w:right w:w="17" w:type="dxa"/>
                        </w:tcMar>
                        <w:vAlign w:val="bottom"/>
                      </w:tcPr>
                      <w:p w:rsidR="00000000" w:rsidRDefault="003E6013">
                        <w:pPr>
                          <w:pStyle w:val="Heading5"/>
                          <w:rPr>
                            <w:rFonts w:eastAsia="Arial Unicode MS"/>
                          </w:rPr>
                        </w:pPr>
                        <w:r>
                          <w:t>Senate File 267 and House File 399</w:t>
                        </w:r>
                      </w:p>
                    </w:tc>
                  </w:tr>
                  <w:tr w:rsidR="00000000">
                    <w:trPr>
                      <w:trHeight w:val="249"/>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single" w:sz="4" w:space="0" w:color="auto"/>
                          <w:right w:val="nil"/>
                        </w:tcBorders>
                        <w:noWrap/>
                        <w:tcMar>
                          <w:top w:w="17" w:type="dxa"/>
                          <w:left w:w="17" w:type="dxa"/>
                          <w:bottom w:w="0" w:type="dxa"/>
                          <w:right w:w="17" w:type="dxa"/>
                        </w:tcMar>
                        <w:vAlign w:val="bottom"/>
                      </w:tcPr>
                      <w:p w:rsidR="00000000" w:rsidRDefault="003E6013">
                        <w:pPr>
                          <w:jc w:val="center"/>
                          <w:rPr>
                            <w:rFonts w:ascii="Univers" w:eastAsia="Arial Unicode MS" w:hAnsi="Univers" w:cs="Arial"/>
                            <w:sz w:val="18"/>
                          </w:rPr>
                        </w:pPr>
                        <w:r>
                          <w:rPr>
                            <w:rFonts w:ascii="Univers" w:hAnsi="Univers" w:cs="Arial"/>
                            <w:sz w:val="18"/>
                          </w:rPr>
                          <w:t xml:space="preserve"> FY 2001 </w:t>
                        </w:r>
                      </w:p>
                    </w:tc>
                  </w:tr>
                  <w:tr w:rsidR="00000000">
                    <w:trPr>
                      <w:trHeight w:val="144"/>
                    </w:trPr>
                    <w:tc>
                      <w:tcPr>
                        <w:tcW w:w="0" w:type="auto"/>
                        <w:gridSpan w:val="2"/>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Revenue Transfers to General Fund</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b/>
                            <w:bCs/>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State Strategic Plan 2010 Transfer</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       82,645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Enhanced Court Collections Transfer</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4,000,000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Jury Witness Revolving Fund Transfer</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w:t>
                        </w:r>
                        <w:r>
                          <w:rPr>
                            <w:rFonts w:ascii="Univers" w:hAnsi="Univers" w:cs="Arial"/>
                            <w:sz w:val="18"/>
                          </w:rPr>
                          <w:t xml:space="preserve">  598,869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Pooled Technology Account Transfer</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700,000 </w:t>
                        </w:r>
                      </w:p>
                    </w:tc>
                  </w:tr>
                  <w:tr w:rsidR="00000000">
                    <w:trPr>
                      <w:trHeight w:val="144"/>
                    </w:trPr>
                    <w:tc>
                      <w:tcPr>
                        <w:tcW w:w="0" w:type="auto"/>
                        <w:gridSpan w:val="2"/>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Total Transfers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single" w:sz="4" w:space="0" w:color="auto"/>
                          <w:left w:val="nil"/>
                          <w:bottom w:val="single" w:sz="4" w:space="0" w:color="auto"/>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  5,381,514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r>
                  <w:tr w:rsidR="00000000">
                    <w:trPr>
                      <w:trHeight w:val="144"/>
                    </w:trPr>
                    <w:tc>
                      <w:tcPr>
                        <w:tcW w:w="0" w:type="auto"/>
                        <w:gridSpan w:val="2"/>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Deappropriations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Administration and Regulation</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  2,832,888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Agriculture and Natural Resources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1,300,000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Economic Developm</w:t>
                        </w:r>
                        <w:r>
                          <w:rPr>
                            <w:rFonts w:ascii="Univers" w:hAnsi="Univers" w:cs="Arial"/>
                            <w:sz w:val="18"/>
                          </w:rPr>
                          <w:t>ent</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1,080,000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Education</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12,000,000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Health and Human Rights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697,000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Human Services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8,472,110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Justice Systems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5,401,131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Transportation, Infrastructure, and Capitals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100,000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Unassigne</w:t>
                        </w:r>
                        <w:r>
                          <w:rPr>
                            <w:rFonts w:ascii="Univers" w:hAnsi="Univers" w:cs="Arial"/>
                            <w:sz w:val="18"/>
                          </w:rPr>
                          <w:t>d Standings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2,400,000 </w:t>
                        </w:r>
                      </w:p>
                    </w:tc>
                  </w:tr>
                  <w:tr w:rsidR="00000000">
                    <w:trPr>
                      <w:trHeight w:val="144"/>
                    </w:trPr>
                    <w:tc>
                      <w:tcPr>
                        <w:tcW w:w="0" w:type="auto"/>
                        <w:gridSpan w:val="2"/>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Net Deappropriations</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single" w:sz="4" w:space="0" w:color="auto"/>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 xml:space="preserve"> $34,283,129 </w:t>
                        </w:r>
                      </w:p>
                    </w:tc>
                  </w:tr>
                  <w:tr w:rsidR="00000000">
                    <w:trPr>
                      <w:trHeight w:val="144"/>
                    </w:trPr>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r>
                  <w:tr w:rsidR="00000000">
                    <w:trPr>
                      <w:trHeight w:val="144"/>
                    </w:trPr>
                    <w:tc>
                      <w:tcPr>
                        <w:tcW w:w="0" w:type="auto"/>
                        <w:gridSpan w:val="2"/>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r>
                          <w:rPr>
                            <w:rFonts w:ascii="Univers" w:hAnsi="Univers" w:cs="Arial"/>
                            <w:sz w:val="18"/>
                          </w:rPr>
                          <w:t>Total Impact of Bill on General Fund</w:t>
                        </w:r>
                      </w:p>
                    </w:tc>
                    <w:tc>
                      <w:tcPr>
                        <w:tcW w:w="0" w:type="auto"/>
                        <w:tcBorders>
                          <w:top w:val="nil"/>
                          <w:left w:val="nil"/>
                          <w:bottom w:val="nil"/>
                          <w:right w:val="nil"/>
                        </w:tcBorders>
                        <w:noWrap/>
                        <w:tcMar>
                          <w:top w:w="17" w:type="dxa"/>
                          <w:left w:w="17" w:type="dxa"/>
                          <w:bottom w:w="0" w:type="dxa"/>
                          <w:right w:w="17" w:type="dxa"/>
                        </w:tcMar>
                        <w:vAlign w:val="bottom"/>
                      </w:tcPr>
                      <w:p w:rsidR="00000000" w:rsidRDefault="003E6013">
                        <w:pPr>
                          <w:rPr>
                            <w:rFonts w:ascii="Univers" w:eastAsia="Arial Unicode MS" w:hAnsi="Univers" w:cs="Arial"/>
                            <w:sz w:val="18"/>
                          </w:rPr>
                        </w:pPr>
                      </w:p>
                    </w:tc>
                    <w:tc>
                      <w:tcPr>
                        <w:tcW w:w="0" w:type="auto"/>
                        <w:tcBorders>
                          <w:top w:val="single" w:sz="4" w:space="0" w:color="auto"/>
                          <w:left w:val="nil"/>
                          <w:bottom w:val="double" w:sz="6" w:space="0" w:color="auto"/>
                          <w:right w:val="nil"/>
                        </w:tcBorders>
                        <w:noWrap/>
                        <w:tcMar>
                          <w:top w:w="17" w:type="dxa"/>
                          <w:left w:w="17" w:type="dxa"/>
                          <w:bottom w:w="0" w:type="dxa"/>
                          <w:right w:w="17" w:type="dxa"/>
                        </w:tcMar>
                        <w:vAlign w:val="bottom"/>
                      </w:tcPr>
                      <w:p w:rsidR="00000000" w:rsidRDefault="003E6013">
                        <w:pPr>
                          <w:pStyle w:val="Contact"/>
                          <w:autoSpaceDE/>
                          <w:autoSpaceDN/>
                          <w:rPr>
                            <w:rFonts w:eastAsia="Arial Unicode MS" w:cs="Arial"/>
                            <w:szCs w:val="20"/>
                          </w:rPr>
                        </w:pPr>
                        <w:r>
                          <w:rPr>
                            <w:rFonts w:cs="Arial"/>
                            <w:szCs w:val="20"/>
                          </w:rPr>
                          <w:t xml:space="preserve"> $39,664,643 </w:t>
                        </w:r>
                      </w:p>
                    </w:tc>
                  </w:tr>
                </w:tbl>
                <w:p w:rsidR="00000000" w:rsidRDefault="003E6013">
                  <w:pPr>
                    <w:rPr>
                      <w:sz w:val="18"/>
                    </w:rPr>
                  </w:pPr>
                </w:p>
              </w:txbxContent>
            </v:textbox>
            <w10:wrap type="topAndBottom"/>
          </v:shape>
        </w:pict>
      </w:r>
      <w:r>
        <w:rPr>
          <w:b/>
        </w:rPr>
        <w:t>Deapprops. Bill</w:t>
      </w:r>
      <w:r>
        <w:tab/>
        <w:t>House File 399 and SF 267 (FY 2001 Deappropriations Bills) deappropriate a net total of $35.3 million from FY 2001 General Fund appropriations.  The deappropriated amount is equal to 0.7% of the current total General Fund approp</w:t>
      </w:r>
      <w:r>
        <w:t xml:space="preserve">riated amount of $4.882 billion.  The Deappropriations Bills also contain a supplemental appropriation to the Department of Revenue and Finance. </w:t>
      </w:r>
    </w:p>
    <w:p w:rsidR="00000000" w:rsidRDefault="003E6013">
      <w:pPr>
        <w:pStyle w:val="textup"/>
      </w:pPr>
      <w:r>
        <w:rPr>
          <w:b/>
        </w:rPr>
        <w:t>Public Hearing</w:t>
      </w:r>
      <w:r>
        <w:tab/>
        <w:t>There was a public hearing on the Bill on Monday, February 26, at 6:00 p.m. in the House Chambe</w:t>
      </w:r>
      <w:r>
        <w:t xml:space="preserve">r. </w:t>
      </w:r>
    </w:p>
    <w:p w:rsidR="00000000" w:rsidRDefault="003E6013">
      <w:pPr>
        <w:pStyle w:val="Heading3"/>
        <w:framePr w:wrap="auto" w:y="451"/>
        <w:shd w:val="clear" w:color="auto" w:fill="10F0AB"/>
        <w:rPr>
          <w:color w:val="000000"/>
        </w:rPr>
      </w:pPr>
      <w:r>
        <w:rPr>
          <w:color w:val="000000"/>
        </w:rPr>
        <w:t>NOBA</w:t>
      </w:r>
    </w:p>
    <w:p w:rsidR="00000000" w:rsidRDefault="003E6013">
      <w:pPr>
        <w:pStyle w:val="textup"/>
      </w:pPr>
      <w:r>
        <w:rPr>
          <w:b/>
        </w:rPr>
        <w:lastRenderedPageBreak/>
        <w:t>NOBA</w:t>
      </w:r>
      <w:r>
        <w:tab/>
        <w:t xml:space="preserve">Copies of the Notes on Bills and Amendments (NOBA) are available from the Legislative Fiscal Bureau (LFB). The NOBA is also available at the LFB’s web site at:  </w:t>
      </w:r>
      <w:hyperlink r:id="rId10" w:history="1">
        <w:r>
          <w:rPr>
            <w:rStyle w:val="Hyperlink"/>
          </w:rPr>
          <w:t>http://staffweb.legis.state</w:t>
        </w:r>
        <w:r>
          <w:rPr>
            <w:rStyle w:val="Hyperlink"/>
          </w:rPr>
          <w:t>.ia.us/lfb</w:t>
        </w:r>
      </w:hyperlink>
    </w:p>
    <w:p w:rsidR="00000000" w:rsidRDefault="003E6013">
      <w:pPr>
        <w:pStyle w:val="Contactup"/>
      </w:pPr>
      <w:r>
        <w:rPr>
          <w:sz w:val="20"/>
        </w:rPr>
        <w:pict>
          <v:shape id="_x0000_s1033" type="#_x0000_t202" style="position:absolute;left:0;text-align:left;margin-left:-139.95pt;margin-top:24.9pt;width:71.95pt;height:45.05pt;z-index:251656192">
            <v:textbox>
              <w:txbxContent>
                <w:p w:rsidR="00000000" w:rsidRDefault="003E6013">
                  <w:r>
                    <w:rPr>
                      <w:noProof/>
                    </w:rPr>
                    <w:drawing>
                      <wp:inline distT="0" distB="0" distL="0" distR="0">
                        <wp:extent cx="720725" cy="473075"/>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srcRect/>
                                <a:stretch>
                                  <a:fillRect/>
                                </a:stretch>
                              </pic:blipFill>
                              <pic:spPr bwMode="auto">
                                <a:xfrm>
                                  <a:off x="0" y="0"/>
                                  <a:ext cx="720725" cy="473075"/>
                                </a:xfrm>
                                <a:prstGeom prst="rect">
                                  <a:avLst/>
                                </a:prstGeom>
                                <a:noFill/>
                                <a:ln w="9525">
                                  <a:noFill/>
                                  <a:miter lim="800000"/>
                                  <a:headEnd/>
                                  <a:tailEnd/>
                                </a:ln>
                              </pic:spPr>
                            </pic:pic>
                          </a:graphicData>
                        </a:graphic>
                      </wp:inline>
                    </w:drawing>
                  </w:r>
                </w:p>
              </w:txbxContent>
            </v:textbox>
          </v:shape>
        </w:pict>
      </w:r>
      <w:r>
        <w:t>STAFF CONTACT:  Jennifer Dean (Ext. 17846)  Jeff Robinson (Ext. 14614)</w:t>
      </w:r>
    </w:p>
    <w:p w:rsidR="00000000" w:rsidRDefault="003E6013">
      <w:pPr>
        <w:pStyle w:val="Blurbtitle"/>
      </w:pPr>
      <w:bookmarkStart w:id="1" w:name="FU2SLSC"/>
      <w:r>
        <w:t>Teacher compensation reform and student achievement savings account fund - HSB 165 Passes House Full Appropriations Committee</w:t>
      </w:r>
      <w:bookmarkEnd w:id="1"/>
    </w:p>
    <w:p w:rsidR="00000000" w:rsidRDefault="003E6013">
      <w:pPr>
        <w:pStyle w:val="textup"/>
      </w:pPr>
      <w:r>
        <w:rPr>
          <w:b/>
        </w:rPr>
        <w:t>Teacher Compensation</w:t>
      </w:r>
      <w:r>
        <w:tab/>
        <w:t>House Study Bill 165 pass</w:t>
      </w:r>
      <w:r>
        <w:t xml:space="preserve">ed the House Full Appropriations Committee on February 21.  The Bill creates the Teacher Compensation Reform and Student Achievement Savings Account Fund and appropriates $40.0 million to the Fund from the General Fund for FY 2002.  </w:t>
      </w:r>
    </w:p>
    <w:p w:rsidR="00000000" w:rsidRDefault="003E6013">
      <w:pPr>
        <w:pStyle w:val="Heading3"/>
        <w:framePr w:wrap="auto" w:y="660"/>
        <w:shd w:val="clear" w:color="auto" w:fill="10F0AB"/>
        <w:rPr>
          <w:color w:val="000000"/>
        </w:rPr>
      </w:pPr>
      <w:r>
        <w:rPr>
          <w:color w:val="000000"/>
        </w:rPr>
        <w:t>NOBA</w:t>
      </w:r>
    </w:p>
    <w:p w:rsidR="00000000" w:rsidRDefault="003E6013">
      <w:pPr>
        <w:pStyle w:val="textup"/>
      </w:pPr>
      <w:r>
        <w:rPr>
          <w:b/>
        </w:rPr>
        <w:t>NOBA</w:t>
      </w:r>
      <w:r>
        <w:tab/>
        <w:t>Copies of th</w:t>
      </w:r>
      <w:r>
        <w:t xml:space="preserve">e Notes on Bills and Amendments (NOBA) are available from the Legislative Fiscal Bureau (LFB).  The NOBA is also available at the LFB’s web site at:  </w:t>
      </w:r>
      <w:hyperlink r:id="rId12" w:history="1">
        <w:r>
          <w:rPr>
            <w:rStyle w:val="Hyperlink"/>
          </w:rPr>
          <w:t>http://staffweb.legi</w:t>
        </w:r>
        <w:r>
          <w:rPr>
            <w:rStyle w:val="Hyperlink"/>
          </w:rPr>
          <w:t>s</w:t>
        </w:r>
        <w:r>
          <w:rPr>
            <w:rStyle w:val="Hyperlink"/>
          </w:rPr>
          <w:t>.state.ia.us/lfb</w:t>
        </w:r>
      </w:hyperlink>
    </w:p>
    <w:p w:rsidR="00000000" w:rsidRDefault="003E6013">
      <w:pPr>
        <w:pStyle w:val="Contactup"/>
      </w:pPr>
      <w:r>
        <w:t>STAFF CONTACT</w:t>
      </w:r>
      <w:r>
        <w:t>:  Shawn Snyder (Ext. 17799)</w:t>
      </w:r>
    </w:p>
    <w:p w:rsidR="00000000" w:rsidRDefault="003E6013">
      <w:pPr>
        <w:pStyle w:val="Blurbtitle"/>
      </w:pPr>
      <w:bookmarkStart w:id="2" w:name="FU2SLSD"/>
      <w:r>
        <w:t>Budget Guarantee Bill – SF 203 Passes Senate</w:t>
      </w:r>
      <w:bookmarkEnd w:id="2"/>
    </w:p>
    <w:p w:rsidR="00000000" w:rsidRDefault="003E6013">
      <w:pPr>
        <w:framePr w:w="783" w:h="981" w:hSpace="180" w:wrap="around" w:vAnchor="text" w:hAnchor="page" w:x="1353" w:y="1048"/>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rPr>
        <w:object w:dxaOrig="761" w:dyaOrig="7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8.1pt;height:38.1pt" o:ole="" fillcolor="window">
            <v:imagedata r:id="rId13" o:title=""/>
          </v:shape>
          <o:OLEObject Type="Embed" ProgID="Word.Picture.8" ShapeID="_x0000_i1027" DrawAspect="Content" ObjectID="_1315217486" r:id="rId14"/>
        </w:object>
      </w:r>
    </w:p>
    <w:p w:rsidR="00000000" w:rsidRDefault="003E6013">
      <w:pPr>
        <w:pStyle w:val="textup"/>
      </w:pPr>
      <w:r>
        <w:rPr>
          <w:b/>
        </w:rPr>
        <w:t>Budget Guarantee</w:t>
      </w:r>
      <w:r>
        <w:tab/>
        <w:t>The Senate passed SF 203 on February 22.  The Bill provides the following:</w:t>
      </w:r>
    </w:p>
    <w:p w:rsidR="00000000" w:rsidRDefault="003E6013">
      <w:pPr>
        <w:pStyle w:val="Bulletup"/>
      </w:pPr>
      <w:r>
        <w:t>A budget guarantee provision for FY 2002 that allows school di</w:t>
      </w:r>
      <w:r>
        <w:t>stricts with declining enrollments to receive additional funds that guarantee the FY 2002 regular program district cost is equal to 100.0% of the FY 2001 total program district cost.  Total cost of this plan for FY 2002 is approximately $7.7 million and is</w:t>
      </w:r>
      <w:r>
        <w:t xml:space="preserve"> funded entirely through property taxes.</w:t>
      </w:r>
    </w:p>
    <w:p w:rsidR="00000000" w:rsidRDefault="003E6013">
      <w:pPr>
        <w:pStyle w:val="Bulletup"/>
        <w:numPr>
          <w:ilvl w:val="0"/>
          <w:numId w:val="15"/>
        </w:numPr>
      </w:pPr>
      <w:r>
        <w:t>A budget guarantee provision for FY 2003 that allows school districts with declining enrollments to receive additional funds that guarantee the FY 2003 regular program district cost is equal to 100.0% of the FY 2002</w:t>
      </w:r>
      <w:r>
        <w:t xml:space="preserve"> total program district cost.  Total cost of this plan for FY 2003 is approximately $5.3 million and is funded entirely through property taxes.</w:t>
      </w:r>
    </w:p>
    <w:p w:rsidR="00000000" w:rsidRDefault="003E6013">
      <w:pPr>
        <w:pStyle w:val="textup"/>
      </w:pPr>
      <w:r>
        <w:rPr>
          <w:b/>
        </w:rPr>
        <w:t>Approval Required</w:t>
      </w:r>
      <w:r>
        <w:tab/>
        <w:t>School districts eligible to receive the budget guarantee must have approval of the school dis</w:t>
      </w:r>
      <w:r>
        <w:t>trict board of directors.</w:t>
      </w:r>
    </w:p>
    <w:p w:rsidR="00000000" w:rsidRDefault="003E6013">
      <w:pPr>
        <w:pStyle w:val="textup"/>
        <w:ind w:right="-90"/>
      </w:pPr>
      <w:r>
        <w:rPr>
          <w:b/>
        </w:rPr>
        <w:t>Estimates Available</w:t>
      </w:r>
      <w:r>
        <w:tab/>
        <w:t xml:space="preserve">District by district estimates of budget guarantee amounts are available from the Legislative Fiscal Bureau, or from the LFB website at: </w:t>
      </w:r>
      <w:hyperlink r:id="rId15" w:history="1">
        <w:r>
          <w:rPr>
            <w:rStyle w:val="Hyperlink"/>
          </w:rPr>
          <w:t>http://staffweb.legis.state.ia.us/lfb/subc</w:t>
        </w:r>
        <w:r>
          <w:rPr>
            <w:rStyle w:val="Hyperlink"/>
          </w:rPr>
          <w:t>o</w:t>
        </w:r>
        <w:r>
          <w:rPr>
            <w:rStyle w:val="Hyperlink"/>
          </w:rPr>
          <w:t>m/ed_standing/Spreadsheets.htm</w:t>
        </w:r>
      </w:hyperlink>
    </w:p>
    <w:p w:rsidR="00000000" w:rsidRDefault="003E6013">
      <w:pPr>
        <w:pStyle w:val="Contactup"/>
      </w:pPr>
      <w:r>
        <w:t>STAFF CONTACT:  Shawn Snyder (Ext. 17799)</w:t>
      </w:r>
    </w:p>
    <w:p w:rsidR="00000000" w:rsidRDefault="003E6013">
      <w:pPr>
        <w:pStyle w:val="Blurbtitle"/>
      </w:pPr>
      <w:bookmarkStart w:id="3" w:name="FU2BALE"/>
      <w:r>
        <w:t>Tobacco Settlement Authority Sunset Extension</w:t>
      </w:r>
      <w:bookmarkEnd w:id="3"/>
      <w:r>
        <w:t xml:space="preserve"> – SF 258 Passes Senate</w:t>
      </w:r>
    </w:p>
    <w:p w:rsidR="00000000" w:rsidRDefault="003E6013">
      <w:pPr>
        <w:pStyle w:val="textup"/>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4" type="#_x0000_t136" style="position:absolute;margin-left:-148.95pt;margin-top:29.15pt;width:121.5pt;height:14.65pt;z-index:251663360" adj=",10800">
            <v:fill colors="0 #cbcbcb;8520f #5f5f5f;13763f #5f5f5f;41288f white;43909f #b2b2b2;45220f #292929;53740f #777;1 #eaeaea" method="none" focus="100%" type="gradient"/>
            <v:shadow color="#868686"/>
            <o:extrusion v:ext="view" specularity="80000f" diffusity="43712f" backdepth="18pt" color="white" on="t" metal="t" viewpoint="-34.72222mm" viewpointorigin="-.5" skewangle="-45" brightness="10000f" lightposition="0,-50000" lightlevel="44000f" lightposition2="0,50000" lightlevel2="24000f" type="perspective"/>
            <v:textpath style="font-family:&quot;Times New Roman&quot;;font-size:10pt;v-text-kern:t" trim="t" fitpath="t" string="Tobacco Settlement Authority"/>
          </v:shape>
        </w:pict>
      </w:r>
      <w:r>
        <w:rPr>
          <w:b/>
        </w:rPr>
        <w:t>Sunset Extended</w:t>
      </w:r>
      <w:r>
        <w:tab/>
        <w:t xml:space="preserve">The Senate passed SF 258 on February </w:t>
      </w:r>
      <w:r>
        <w:t xml:space="preserve">22.  The Bill extends the Tobacco Settlement Authority’s sunset provision to December 31, 2001.  Under current law, the Authority will sunset March 1, 2001.  The Authority needs to be in existence to meet State bonding requirements, </w:t>
      </w:r>
      <w:r>
        <w:lastRenderedPageBreak/>
        <w:t>if</w:t>
      </w:r>
      <w:r>
        <w:rPr>
          <w:b/>
          <w:bCs/>
        </w:rPr>
        <w:t xml:space="preserve"> </w:t>
      </w:r>
      <w:r>
        <w:t>the decision is made</w:t>
      </w:r>
      <w:r>
        <w:t xml:space="preserve"> to securitize the tobacco payments the State is scheduled to receive under the Master Settlement Agreement.</w:t>
      </w:r>
    </w:p>
    <w:p w:rsidR="00000000" w:rsidRDefault="003E6013">
      <w:pPr>
        <w:pStyle w:val="Contactup"/>
      </w:pPr>
      <w:r>
        <w:t>STAFF CONTACT:  Beth Lenstra (Ext. 16301)</w:t>
      </w:r>
    </w:p>
    <w:p w:rsidR="00000000" w:rsidRDefault="003E6013">
      <w:pPr>
        <w:pStyle w:val="Blurbtitle"/>
      </w:pPr>
      <w:bookmarkStart w:id="4" w:name="FU2BALB"/>
      <w:r>
        <w:t>Child Endangerment</w:t>
      </w:r>
      <w:bookmarkEnd w:id="4"/>
      <w:r>
        <w:t xml:space="preserve"> – SF 63 Signed by Governor</w:t>
      </w:r>
    </w:p>
    <w:p w:rsidR="00000000" w:rsidRDefault="003E6013">
      <w:pPr>
        <w:framePr w:w="775" w:h="1009" w:hSpace="180" w:wrap="auto" w:vAnchor="text" w:hAnchor="page" w:x="1542" w:y="6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73075" cy="258445"/>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srcRect/>
                    <a:stretch>
                      <a:fillRect/>
                    </a:stretch>
                  </pic:blipFill>
                  <pic:spPr bwMode="auto">
                    <a:xfrm>
                      <a:off x="0" y="0"/>
                      <a:ext cx="473075" cy="258445"/>
                    </a:xfrm>
                    <a:prstGeom prst="rect">
                      <a:avLst/>
                    </a:prstGeom>
                    <a:noFill/>
                    <a:ln w="9525">
                      <a:noFill/>
                      <a:miter lim="800000"/>
                      <a:headEnd/>
                      <a:tailEnd/>
                    </a:ln>
                  </pic:spPr>
                </pic:pic>
              </a:graphicData>
            </a:graphic>
          </wp:inline>
        </w:drawing>
      </w:r>
    </w:p>
    <w:p w:rsidR="00000000" w:rsidRDefault="003E6013">
      <w:pPr>
        <w:framePr w:w="775" w:h="1009" w:hSpace="180" w:wrap="auto" w:vAnchor="text" w:hAnchor="page" w:x="1542" w:y="647"/>
        <w:pBdr>
          <w:top w:val="single" w:sz="12" w:space="5" w:color="auto" w:shadow="1"/>
          <w:left w:val="single" w:sz="12" w:space="5" w:color="auto" w:shadow="1"/>
          <w:bottom w:val="single" w:sz="12" w:space="5" w:color="auto" w:shadow="1"/>
          <w:right w:val="single" w:sz="12" w:space="5" w:color="auto" w:shadow="1"/>
        </w:pBdr>
      </w:pPr>
      <w:r>
        <w:t>Governor</w:t>
      </w:r>
    </w:p>
    <w:p w:rsidR="00000000" w:rsidRDefault="003E6013">
      <w:pPr>
        <w:framePr w:w="775" w:h="1009" w:hSpace="180" w:wrap="auto" w:vAnchor="text" w:hAnchor="page" w:x="1542" w:y="647"/>
        <w:pBdr>
          <w:top w:val="single" w:sz="12" w:space="5" w:color="auto" w:shadow="1"/>
          <w:left w:val="single" w:sz="12" w:space="5" w:color="auto" w:shadow="1"/>
          <w:bottom w:val="single" w:sz="12" w:space="5" w:color="auto" w:shadow="1"/>
          <w:right w:val="single" w:sz="12" w:space="5" w:color="auto" w:shadow="1"/>
        </w:pBdr>
      </w:pPr>
      <w:r>
        <w:t xml:space="preserve">  Signed</w:t>
      </w:r>
    </w:p>
    <w:p w:rsidR="00000000" w:rsidRDefault="003E6013">
      <w:pPr>
        <w:pStyle w:val="textup"/>
      </w:pPr>
      <w:r>
        <w:rPr>
          <w:b/>
        </w:rPr>
        <w:t>Governor Signed</w:t>
      </w:r>
      <w:r>
        <w:tab/>
        <w:t xml:space="preserve">The Governor signed SF </w:t>
      </w:r>
      <w:r>
        <w:t>63 on February 16.  The Bill expands the definition of who may be charged with child endangerment to include a person in the household in which a child or minor resides.  Senate File 63 provides that child endangerment includes actions intended to cause bo</w:t>
      </w:r>
      <w:r>
        <w:t xml:space="preserve">dily injury.  Current law provides such acts are limited to serious injury.  The Bill imposes a non-forcible Class D felony for child endangerment resulting in bodily injury.  Current law provides that child endangerment not resulting in serious injury is </w:t>
      </w:r>
      <w:r>
        <w:t xml:space="preserve">a serious misdemeanor.  </w:t>
      </w:r>
    </w:p>
    <w:p w:rsidR="00000000" w:rsidRDefault="003E6013">
      <w:pPr>
        <w:pStyle w:val="textup"/>
      </w:pPr>
      <w:r>
        <w:rPr>
          <w:b/>
        </w:rPr>
        <w:t>Correctional Impact</w:t>
      </w:r>
      <w:r>
        <w:tab/>
        <w:t>Correctional Impact:  It is estimated there will be eight fewer jail admissions during FY 2002, and 16 fewer admissions each year thereafter.  On an annual basis, there will be three fewer child endangerment cas</w:t>
      </w:r>
      <w:r>
        <w:t>es, five fewer simple misdemeanor assault cases, and eight fewer serious misdemeanor assault cases.</w:t>
      </w:r>
    </w:p>
    <w:p w:rsidR="00000000" w:rsidRDefault="003E6013">
      <w:pPr>
        <w:framePr w:w="1066" w:h="1003" w:hSpace="180" w:wrap="around" w:vAnchor="text" w:hAnchor="page" w:x="1416" w:y="547"/>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7545" cy="505460"/>
            <wp:effectExtent l="1905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
                    <a:srcRect/>
                    <a:stretch>
                      <a:fillRect/>
                    </a:stretch>
                  </pic:blipFill>
                  <pic:spPr bwMode="auto">
                    <a:xfrm>
                      <a:off x="0" y="0"/>
                      <a:ext cx="677545" cy="505460"/>
                    </a:xfrm>
                    <a:prstGeom prst="rect">
                      <a:avLst/>
                    </a:prstGeom>
                    <a:noFill/>
                    <a:ln w="9525">
                      <a:noFill/>
                      <a:miter lim="800000"/>
                      <a:headEnd/>
                      <a:tailEnd/>
                    </a:ln>
                  </pic:spPr>
                </pic:pic>
              </a:graphicData>
            </a:graphic>
          </wp:inline>
        </w:drawing>
      </w:r>
    </w:p>
    <w:p w:rsidR="00000000" w:rsidRDefault="003E6013">
      <w:pPr>
        <w:pStyle w:val="textup"/>
      </w:pPr>
      <w:r>
        <w:rPr>
          <w:b/>
        </w:rPr>
        <w:t>Admissions Will Increase</w:t>
      </w:r>
      <w:r>
        <w:tab/>
        <w:t>Admissions to the State prison and Community-Based Corrections (CBC) systems will increase.  There will be an estimated 19 new ad</w:t>
      </w:r>
      <w:r>
        <w:t>missions to the prison system in FY 2002 and 37 new admissions during FY 2003 and each year thereafter.  The prison population will increase by an estimated19 inmates during FY 2002, 58 inmates during FY 2003, and 73 inmates during FY 2006.</w:t>
      </w:r>
    </w:p>
    <w:p w:rsidR="00000000" w:rsidRDefault="003E6013">
      <w:pPr>
        <w:pStyle w:val="textup"/>
      </w:pPr>
      <w:r>
        <w:rPr>
          <w:b/>
        </w:rPr>
        <w:t>Impact on CBC</w:t>
      </w:r>
      <w:r>
        <w:tab/>
        <w:t>A</w:t>
      </w:r>
      <w:r>
        <w:t>dmissions to CBC residential facilities will increase by two during FY 2002 and four each year thereafter.  Admissions to street supervision (parole and probation) will increase by 10 during FY 2002, 21 in FY 2003, and 58 in FY 2006.</w:t>
      </w:r>
    </w:p>
    <w:p w:rsidR="00000000" w:rsidRDefault="003E6013">
      <w:pPr>
        <w:pStyle w:val="textup"/>
      </w:pPr>
      <w:r>
        <w:rPr>
          <w:b/>
        </w:rPr>
        <w:t>Fiscal Impact</w:t>
      </w:r>
      <w:r>
        <w:tab/>
        <w:t>Fiscal I</w:t>
      </w:r>
      <w:r>
        <w:t>mpact:  Total State criminal justice system (prisons, CBC, and Judicial Branch) cost of SF 63 ranges from $265,000 to $406,000 for FY 2002.  Total State costs for FY 2003 range from $506,000 to $650,000.</w:t>
      </w:r>
    </w:p>
    <w:p w:rsidR="00000000" w:rsidRDefault="003E6013">
      <w:pPr>
        <w:pStyle w:val="textup"/>
      </w:pPr>
      <w:r>
        <w:rPr>
          <w:b/>
        </w:rPr>
        <w:t>County Savings</w:t>
      </w:r>
      <w:r>
        <w:tab/>
        <w:t>Total statewide savings for county ja</w:t>
      </w:r>
      <w:r>
        <w:t>ils are estimated to be $7,000 during FY 2002 and $14,000 annually thereafter.</w:t>
      </w:r>
    </w:p>
    <w:p w:rsidR="00000000" w:rsidRDefault="003E6013">
      <w:pPr>
        <w:pStyle w:val="textup"/>
      </w:pPr>
      <w:r>
        <w:rPr>
          <w:b/>
        </w:rPr>
        <w:t>More Information</w:t>
      </w:r>
      <w:r>
        <w:tab/>
        <w:t>More information concerning this estimate is available from the Legislative Fiscal Bureau.</w:t>
      </w:r>
    </w:p>
    <w:p w:rsidR="00000000" w:rsidRDefault="003E6013">
      <w:pPr>
        <w:pStyle w:val="Contactup"/>
      </w:pPr>
      <w:r>
        <w:t>STAFF CONTACT:  Beth Lenstra (Ext. 16301)</w:t>
      </w:r>
    </w:p>
    <w:p w:rsidR="00000000" w:rsidRDefault="003E6013">
      <w:pPr>
        <w:pStyle w:val="Blurbtitle"/>
      </w:pPr>
      <w:bookmarkStart w:id="5" w:name="FU2DFKC"/>
      <w:r>
        <w:lastRenderedPageBreak/>
        <w:t>SEnate study bill 1027- hun</w:t>
      </w:r>
      <w:r>
        <w:t>ting and Fishing license Fees</w:t>
      </w:r>
      <w:bookmarkEnd w:id="5"/>
      <w:r>
        <w:t xml:space="preserve"> passes senate natural resources subcommittee</w:t>
      </w:r>
    </w:p>
    <w:p w:rsidR="00000000" w:rsidRDefault="003E6013">
      <w:pPr>
        <w:pStyle w:val="textup"/>
      </w:pPr>
      <w:r>
        <w:rPr>
          <w:noProof/>
        </w:rPr>
        <w:drawing>
          <wp:anchor distT="0" distB="0" distL="114300" distR="114300" simplePos="0" relativeHeight="251653120" behindDoc="0" locked="0" layoutInCell="1" allowOverlap="1">
            <wp:simplePos x="0" y="0"/>
            <wp:positionH relativeFrom="column">
              <wp:posOffset>-1663065</wp:posOffset>
            </wp:positionH>
            <wp:positionV relativeFrom="paragraph">
              <wp:posOffset>722630</wp:posOffset>
            </wp:positionV>
            <wp:extent cx="753110" cy="784860"/>
            <wp:effectExtent l="19050" t="0" r="8890" b="0"/>
            <wp:wrapSquare wrapText="bothSides"/>
            <wp:docPr id="27" name="Picture 4" descr="C:\Program Files\Microsoft Office\Clipart\standard\stddir1\bd06148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 Files\Microsoft Office\Clipart\standard\stddir1\bd06148_.wmf"/>
                    <pic:cNvPicPr>
                      <a:picLocks noChangeAspect="1" noChangeArrowheads="1"/>
                    </pic:cNvPicPr>
                  </pic:nvPicPr>
                  <pic:blipFill>
                    <a:blip r:embed="rId18"/>
                    <a:srcRect/>
                    <a:stretch>
                      <a:fillRect/>
                    </a:stretch>
                  </pic:blipFill>
                  <pic:spPr bwMode="auto">
                    <a:xfrm>
                      <a:off x="0" y="0"/>
                      <a:ext cx="753110" cy="784860"/>
                    </a:xfrm>
                    <a:prstGeom prst="rect">
                      <a:avLst/>
                    </a:prstGeom>
                    <a:noFill/>
                    <a:ln w="9525">
                      <a:noFill/>
                      <a:miter lim="800000"/>
                      <a:headEnd/>
                      <a:tailEnd/>
                    </a:ln>
                  </pic:spPr>
                </pic:pic>
              </a:graphicData>
            </a:graphic>
          </wp:anchor>
        </w:drawing>
      </w:r>
      <w:r>
        <w:rPr>
          <w:b/>
          <w:bCs/>
        </w:rPr>
        <w:t>Fishing and Hunting Fees</w:t>
      </w:r>
      <w:r>
        <w:tab/>
        <w:t xml:space="preserve">The Senate Natural Resources Subcommittee passed SSB 1027 (Hunting and Fishing License Fees) on February 22.  The Bill increases the fees paid for various </w:t>
      </w:r>
      <w:r>
        <w:t>licenses, and the funds are deposited into the Fish and Wildlife Trust Fund.  Some of the changes include:</w:t>
      </w:r>
    </w:p>
    <w:p w:rsidR="00000000" w:rsidRDefault="003E6013">
      <w:pPr>
        <w:pStyle w:val="Bulletup"/>
      </w:pPr>
      <w:r>
        <w:t>A resident fishing license will increase from $10.50 to $14.00, and a non-resident fishing license will increase from $22.50 to $36.00.</w:t>
      </w:r>
    </w:p>
    <w:p w:rsidR="00000000" w:rsidRDefault="003E6013">
      <w:pPr>
        <w:pStyle w:val="Bulletup"/>
      </w:pPr>
      <w:r>
        <w:t>A resident hu</w:t>
      </w:r>
      <w:r>
        <w:t>nting license will increase from $12.50 to $14.00, and a non-resident hunting license for age 18 and over will increase from $60.50 to $80.00.</w:t>
      </w:r>
    </w:p>
    <w:p w:rsidR="00000000" w:rsidRDefault="003E6013">
      <w:pPr>
        <w:pStyle w:val="Bulletup"/>
      </w:pPr>
      <w:r>
        <w:t>A resident turkey license will increase from $22.50 to $25.00, and a non-resident turkey license will increase fr</w:t>
      </w:r>
      <w:r>
        <w:t>om $75.50 to $125.00.</w:t>
      </w:r>
    </w:p>
    <w:p w:rsidR="00000000" w:rsidRDefault="003E6013">
      <w:pPr>
        <w:pStyle w:val="textup"/>
      </w:pPr>
      <w:r>
        <w:rPr>
          <w:b/>
          <w:bCs/>
        </w:rPr>
        <w:t>Fish &amp; Wildlife Trust Fund</w:t>
      </w:r>
      <w:r>
        <w:tab/>
        <w:t>The Department of Natural Resources estimates there will be an increase of $6.5 million to the Fish and Wildlife Trust Fund.  The Agriculture and Natural Resources Subcommittee appropriates from the Fish and</w:t>
      </w:r>
      <w:r>
        <w:t xml:space="preserve"> Wildlife Trust Fund to the Fish and Wildlife Division in the Department of Natural Resources for operations.</w:t>
      </w:r>
    </w:p>
    <w:p w:rsidR="00000000" w:rsidRDefault="003E6013">
      <w:pPr>
        <w:framePr w:w="501" w:h="997" w:hSpace="180" w:wrap="around" w:vAnchor="text" w:hAnchor="page" w:x="1722" w:y="491"/>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94665"/>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srcRect/>
                    <a:stretch>
                      <a:fillRect/>
                    </a:stretch>
                  </pic:blipFill>
                  <pic:spPr bwMode="auto">
                    <a:xfrm>
                      <a:off x="0" y="0"/>
                      <a:ext cx="311785" cy="494665"/>
                    </a:xfrm>
                    <a:prstGeom prst="rect">
                      <a:avLst/>
                    </a:prstGeom>
                    <a:noFill/>
                    <a:ln w="9525">
                      <a:noFill/>
                      <a:miter lim="800000"/>
                      <a:headEnd/>
                      <a:tailEnd/>
                    </a:ln>
                  </pic:spPr>
                </pic:pic>
              </a:graphicData>
            </a:graphic>
          </wp:inline>
        </w:drawing>
      </w:r>
    </w:p>
    <w:p w:rsidR="00000000" w:rsidRDefault="003E6013">
      <w:pPr>
        <w:pStyle w:val="Contactup"/>
      </w:pPr>
      <w:r>
        <w:t>STAFF CONTACT:  Deb Kozel (Ext. 16767)</w:t>
      </w:r>
    </w:p>
    <w:p w:rsidR="00000000" w:rsidRDefault="003E6013">
      <w:pPr>
        <w:pStyle w:val="Blurbtitle"/>
      </w:pPr>
      <w:bookmarkStart w:id="6" w:name="FU2RNRB"/>
    </w:p>
    <w:p w:rsidR="00000000" w:rsidRDefault="003E6013">
      <w:pPr>
        <w:pStyle w:val="Blurbtitle"/>
      </w:pPr>
      <w:r>
        <w:t xml:space="preserve">Administration and Regulation Appropriations Subcommittee </w:t>
      </w:r>
      <w:bookmarkEnd w:id="6"/>
      <w:r>
        <w:t xml:space="preserve"> </w:t>
      </w:r>
    </w:p>
    <w:p w:rsidR="00000000" w:rsidRDefault="003E6013">
      <w:pPr>
        <w:pStyle w:val="textup"/>
      </w:pPr>
      <w:r>
        <w:rPr>
          <w:b/>
        </w:rPr>
        <w:t>Admin./Regulation Sub.</w:t>
      </w:r>
      <w:r>
        <w:tab/>
        <w:t>The Administration an</w:t>
      </w:r>
      <w:r>
        <w:t>d Regulation Appropriations Subcommittee met on February 20.  The agencies that receive General Fund appropriations discussed a possible deappropriation of 5.0% for FY 2001.</w:t>
      </w:r>
    </w:p>
    <w:p w:rsidR="00000000" w:rsidRDefault="003E6013">
      <w:pPr>
        <w:pStyle w:val="textup"/>
      </w:pPr>
      <w:r>
        <w:rPr>
          <w:b/>
        </w:rPr>
        <w:t>Auditor’s Office</w:t>
      </w:r>
      <w:r>
        <w:tab/>
        <w:t xml:space="preserve">Warren Jenkins, Deputy Auditor of State, provided information on </w:t>
      </w:r>
      <w:r>
        <w:t>targeted areas of reductions.  The reductions would include:  salaries, postponement of technology upgrades, out-of-state travel, postponement of training, and office supplies savings.</w:t>
      </w:r>
    </w:p>
    <w:p w:rsidR="00000000" w:rsidRDefault="003E6013">
      <w:pPr>
        <w:pStyle w:val="textup"/>
      </w:pPr>
      <w:r>
        <w:rPr>
          <w:b/>
        </w:rPr>
        <w:t>Secretary of State</w:t>
      </w:r>
      <w:r>
        <w:tab/>
        <w:t xml:space="preserve">Bob Galbraith, Deputy Secretary of State, indicated </w:t>
      </w:r>
      <w:r>
        <w:t>that a reduction would lead to layoffs and reduction of services.</w:t>
      </w:r>
    </w:p>
    <w:p w:rsidR="00000000" w:rsidRDefault="003E6013">
      <w:pPr>
        <w:pStyle w:val="textup"/>
      </w:pPr>
      <w:r>
        <w:rPr>
          <w:b/>
        </w:rPr>
        <w:t>Governor’s Office</w:t>
      </w:r>
      <w:r>
        <w:tab/>
        <w:t>Elizabeth Buck, Director for the Office of the Governor, indicated that a deappropriation would have a large impact on her Office and asked the Subcommittee to tell her wha</w:t>
      </w:r>
      <w:r>
        <w:t>t areas should be cut.</w:t>
      </w:r>
    </w:p>
    <w:p w:rsidR="00000000" w:rsidRDefault="003E6013">
      <w:pPr>
        <w:pStyle w:val="textup"/>
      </w:pPr>
      <w:r>
        <w:rPr>
          <w:b/>
        </w:rPr>
        <w:t>Treasurer of State</w:t>
      </w:r>
      <w:r>
        <w:tab/>
        <w:t xml:space="preserve">Bret Mills, Deputy Treasurer of State, and Stefanie Devin, Deputy Treasurer of State, indicated that the Office had not requested an increase to their budget for nine years.  They also indicated that any reduction </w:t>
      </w:r>
      <w:r>
        <w:t>would lead to cuts in service.</w:t>
      </w:r>
    </w:p>
    <w:p w:rsidR="00000000" w:rsidRDefault="003E6013">
      <w:pPr>
        <w:pStyle w:val="textup"/>
      </w:pPr>
      <w:r>
        <w:rPr>
          <w:b/>
        </w:rPr>
        <w:lastRenderedPageBreak/>
        <w:t>Dept. of Management</w:t>
      </w:r>
      <w:r>
        <w:tab/>
        <w:t>Cynthia Eisenhauer, Director of the Department of Management, gave an overview of the status of the balance in the General Fund.  Ms. Eisenhauer also suggested that FY 2001 was not the place to make any re</w:t>
      </w:r>
      <w:r>
        <w:t>ductions.  She indicated that any shortfall in revenues would be better addressed in the FY 2002 appropriations.</w:t>
      </w:r>
    </w:p>
    <w:p w:rsidR="00000000" w:rsidRDefault="003E6013">
      <w:pPr>
        <w:framePr w:hSpace="187" w:vSpace="202" w:wrap="around" w:vAnchor="page" w:hAnchor="page" w:x="1515" w:y="3425"/>
      </w:pPr>
      <w:r>
        <w:rPr>
          <w:noProof/>
        </w:rPr>
        <w:drawing>
          <wp:inline distT="0" distB="0" distL="0" distR="0">
            <wp:extent cx="796290" cy="452120"/>
            <wp:effectExtent l="1905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796290" cy="452120"/>
                    </a:xfrm>
                    <a:prstGeom prst="rect">
                      <a:avLst/>
                    </a:prstGeom>
                    <a:noFill/>
                    <a:ln w="9525">
                      <a:noFill/>
                      <a:miter lim="800000"/>
                      <a:headEnd/>
                      <a:tailEnd/>
                    </a:ln>
                  </pic:spPr>
                </pic:pic>
              </a:graphicData>
            </a:graphic>
          </wp:inline>
        </w:drawing>
      </w:r>
    </w:p>
    <w:p w:rsidR="00000000" w:rsidRDefault="003E6013">
      <w:pPr>
        <w:pStyle w:val="textup"/>
      </w:pPr>
      <w:r>
        <w:rPr>
          <w:b/>
        </w:rPr>
        <w:t>Dept. of Personnel</w:t>
      </w:r>
      <w:r>
        <w:tab/>
        <w:t>Mollie Anderson, Director of the Iowa Department of Personnel, indicated any reduction would lead to reductions in service</w:t>
      </w:r>
      <w:r>
        <w:t>s and layoffs.  Ms. Anderson also advised the Subcommittee on the timeframes and additional costs involving layoffs.</w:t>
      </w:r>
    </w:p>
    <w:p w:rsidR="00000000" w:rsidRDefault="003E6013">
      <w:pPr>
        <w:pStyle w:val="textup"/>
      </w:pPr>
      <w:r>
        <w:rPr>
          <w:b/>
        </w:rPr>
        <w:t>Dept. of Revenue &amp; Finance</w:t>
      </w:r>
      <w:r>
        <w:tab/>
        <w:t>Gerald Bair, Director of the Department of Revenue and Finance, indicated that any reduction would lead to a red</w:t>
      </w:r>
      <w:r>
        <w:t>uction in services and a delay in processing income tax returns.  He also indicated that the Department’s appropriation is already $500,000 short of what is needed.</w:t>
      </w:r>
    </w:p>
    <w:p w:rsidR="00000000" w:rsidRDefault="003E6013">
      <w:pPr>
        <w:pStyle w:val="textup"/>
      </w:pPr>
      <w:r>
        <w:rPr>
          <w:b/>
        </w:rPr>
        <w:t>Inspections &amp; Appeals</w:t>
      </w:r>
      <w:r>
        <w:tab/>
        <w:t xml:space="preserve">Kevin Techau, Director of the Department of Inspections and Appeals, </w:t>
      </w:r>
      <w:r>
        <w:t>indicated that any reduction in funding would mean a reduction in services, and he asked the Subcommittee to let him know which statutory obligation his Department should omit.</w:t>
      </w:r>
    </w:p>
    <w:p w:rsidR="00000000" w:rsidRDefault="003E6013">
      <w:pPr>
        <w:pStyle w:val="textup"/>
      </w:pPr>
      <w:r>
        <w:rPr>
          <w:b/>
        </w:rPr>
        <w:t>Dept. of Commerce</w:t>
      </w:r>
      <w:r>
        <w:tab/>
        <w:t>Holmes Foster, Director of the Department of Commerce, indica</w:t>
      </w:r>
      <w:r>
        <w:t>ted that a reduction in expenditures means a reduction in revenue and services.</w:t>
      </w:r>
    </w:p>
    <w:p w:rsidR="00000000" w:rsidRDefault="003E6013">
      <w:pPr>
        <w:framePr w:w="501" w:h="997" w:hSpace="180" w:wrap="around" w:vAnchor="text" w:hAnchor="page" w:x="1715" w:y="51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9466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a:srcRect/>
                    <a:stretch>
                      <a:fillRect/>
                    </a:stretch>
                  </pic:blipFill>
                  <pic:spPr bwMode="auto">
                    <a:xfrm>
                      <a:off x="0" y="0"/>
                      <a:ext cx="311785" cy="494665"/>
                    </a:xfrm>
                    <a:prstGeom prst="rect">
                      <a:avLst/>
                    </a:prstGeom>
                    <a:noFill/>
                    <a:ln w="9525">
                      <a:noFill/>
                      <a:miter lim="800000"/>
                      <a:headEnd/>
                      <a:tailEnd/>
                    </a:ln>
                  </pic:spPr>
                </pic:pic>
              </a:graphicData>
            </a:graphic>
          </wp:inline>
        </w:drawing>
      </w:r>
    </w:p>
    <w:p w:rsidR="00000000" w:rsidRDefault="003E6013">
      <w:pPr>
        <w:pStyle w:val="textup"/>
      </w:pPr>
      <w:r>
        <w:rPr>
          <w:b/>
        </w:rPr>
        <w:t>Dept. of General Services</w:t>
      </w:r>
      <w:r>
        <w:tab/>
        <w:t>Richard Haines, Director of the Department of General Services, indicated the Department has already faced budget constraints caused by the increase</w:t>
      </w:r>
      <w:r>
        <w:t>d need for snow removal, increased energy costs, and the increased costs of health insurance.  Mr. Haines told the Subcommittee that a reduction of 5.0% to the Department’s FY 2001 budget would lead to the layoff of 66 of the Department’s 165 employees.  H</w:t>
      </w:r>
      <w:r>
        <w:t>e also requested the Subcommittee to tell him which statutory obligations his Department should omit.</w:t>
      </w:r>
    </w:p>
    <w:p w:rsidR="00000000" w:rsidRDefault="003E6013">
      <w:pPr>
        <w:pStyle w:val="textup"/>
      </w:pPr>
      <w:r>
        <w:rPr>
          <w:b/>
        </w:rPr>
        <w:t>Ethics/Campaign Disclosure</w:t>
      </w:r>
      <w:r>
        <w:tab/>
        <w:t>Charlie Smithson, Legal Counsel for the Ethics and Campaign Disclosure Board, indicated that any reduction would lead to a redu</w:t>
      </w:r>
      <w:r>
        <w:t>ction in services.  Mr. Smithson advised the Subcommittee that it would be the Board’s preference to determine what services to reduce rather than the Subcommittee.</w:t>
      </w:r>
    </w:p>
    <w:p w:rsidR="00000000" w:rsidRDefault="003E6013">
      <w:pPr>
        <w:pStyle w:val="textup"/>
      </w:pPr>
      <w:r>
        <w:rPr>
          <w:b/>
        </w:rPr>
        <w:t>More Information</w:t>
      </w:r>
      <w:r>
        <w:tab/>
        <w:t>Copies of agendas, minutes, and selected materials that were distributed t</w:t>
      </w:r>
      <w:r>
        <w:t xml:space="preserve">o Subcommittee members are available on the LFB web site at </w:t>
      </w:r>
      <w:hyperlink r:id="rId20" w:history="1">
        <w:r>
          <w:rPr>
            <w:rStyle w:val="Hyperlink"/>
          </w:rPr>
          <w:t>http://staffweb.legis.state.ia.us/lfb/subcom/admin_reg/admin_reg.htm</w:t>
        </w:r>
      </w:hyperlink>
    </w:p>
    <w:p w:rsidR="00000000" w:rsidRDefault="003E6013">
      <w:pPr>
        <w:pStyle w:val="Contactup"/>
      </w:pPr>
      <w:r>
        <w:t>STAFF CONTACT:  Ron Robinson (Ext. 16256)</w:t>
      </w:r>
      <w:r>
        <w:t xml:space="preserve">  Christina Schaefer (Ext. 16765)</w:t>
      </w:r>
    </w:p>
    <w:p w:rsidR="00000000" w:rsidRDefault="003E6013">
      <w:pPr>
        <w:pStyle w:val="Blurbtitle"/>
      </w:pPr>
      <w:bookmarkStart w:id="7" w:name="FU2DFKB"/>
      <w:r>
        <w:t>Agriculture and Natural Resources Appropriations Subcommittee</w:t>
      </w:r>
      <w:bookmarkEnd w:id="7"/>
    </w:p>
    <w:p w:rsidR="00000000" w:rsidRDefault="003E6013">
      <w:pPr>
        <w:pStyle w:val="textup"/>
      </w:pPr>
      <w:r>
        <w:rPr>
          <w:b/>
          <w:bCs/>
        </w:rPr>
        <w:t>Agric./Natural Res. Sub.</w:t>
      </w:r>
      <w:r>
        <w:tab/>
        <w:t>The Agriculture and Natural Resources Appropriations Subcommittee met February 20.  The following topics were discussed:</w:t>
      </w:r>
    </w:p>
    <w:p w:rsidR="00000000" w:rsidRDefault="003E6013">
      <w:pPr>
        <w:pStyle w:val="textup"/>
      </w:pPr>
      <w:r>
        <w:rPr>
          <w:b/>
          <w:bCs/>
        </w:rPr>
        <w:lastRenderedPageBreak/>
        <w:t>Biomass Projec</w:t>
      </w:r>
      <w:r>
        <w:rPr>
          <w:b/>
          <w:bCs/>
        </w:rPr>
        <w:t>t</w:t>
      </w:r>
      <w:r>
        <w:tab/>
        <w:t xml:space="preserve">Marty Braster and John Sellers, members of the Chariton Valley Rural Community Development, provided an update on the Biomass Production and Research Project being conducted in southern Iowa.  The Project promotes switchgrass as an alternative cash crop </w:t>
      </w:r>
      <w:r>
        <w:t xml:space="preserve">for producing energy.  Currently, there are 4,000 acres of switchgrass grown on land enrolled in the Conservation Reserve Program.   </w:t>
      </w:r>
    </w:p>
    <w:p w:rsidR="00000000" w:rsidRDefault="003E6013">
      <w:pPr>
        <w:pStyle w:val="textup"/>
      </w:pPr>
      <w:r>
        <w:rPr>
          <w:noProof/>
        </w:rPr>
        <w:drawing>
          <wp:anchor distT="0" distB="0" distL="114300" distR="114300" simplePos="0" relativeHeight="251654144" behindDoc="0" locked="0" layoutInCell="1" allowOverlap="1">
            <wp:simplePos x="0" y="0"/>
            <wp:positionH relativeFrom="column">
              <wp:posOffset>-1548765</wp:posOffset>
            </wp:positionH>
            <wp:positionV relativeFrom="paragraph">
              <wp:posOffset>434340</wp:posOffset>
            </wp:positionV>
            <wp:extent cx="678180" cy="800100"/>
            <wp:effectExtent l="19050" t="19050" r="26670" b="19050"/>
            <wp:wrapSquare wrapText="bothSides"/>
            <wp:docPr id="25" name="Picture 5" descr="C:\Program Files\Microsoft Office\Clipart\standard\stddir1\bd05120_.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Microsoft Office\Clipart\standard\stddir1\bd05120_.wmf"/>
                    <pic:cNvPicPr>
                      <a:picLocks noChangeAspect="1" noChangeArrowheads="1"/>
                    </pic:cNvPicPr>
                  </pic:nvPicPr>
                  <pic:blipFill>
                    <a:blip r:embed="rId21">
                      <a:grayscl/>
                      <a:biLevel thresh="50000"/>
                    </a:blip>
                    <a:srcRect/>
                    <a:stretch>
                      <a:fillRect/>
                    </a:stretch>
                  </pic:blipFill>
                  <pic:spPr bwMode="auto">
                    <a:xfrm>
                      <a:off x="0" y="0"/>
                      <a:ext cx="678180" cy="800100"/>
                    </a:xfrm>
                    <a:prstGeom prst="rect">
                      <a:avLst/>
                    </a:prstGeom>
                    <a:noFill/>
                    <a:ln w="19050">
                      <a:solidFill>
                        <a:srgbClr val="000000"/>
                      </a:solidFill>
                      <a:miter lim="800000"/>
                      <a:headEnd/>
                      <a:tailEnd/>
                    </a:ln>
                  </pic:spPr>
                </pic:pic>
              </a:graphicData>
            </a:graphic>
          </wp:anchor>
        </w:drawing>
      </w:r>
      <w:r>
        <w:rPr>
          <w:b/>
          <w:bCs/>
        </w:rPr>
        <w:t>Iowa Grape Industry</w:t>
      </w:r>
      <w:r>
        <w:tab/>
        <w:t>Ron Mark, Summerset Vineyards, and Paul Tabor, Tabor Home Vineyards, provided an update on the Iowa g</w:t>
      </w:r>
      <w:r>
        <w:t>rape industry.  Currently, there are 30 acres of grape production in Iowa.  The two established wineries in Iowa obtain approximately 50% of the needed grapes from Iowa producers.  The remaining grapes are purchased from out of state.  The Iowa grape growe</w:t>
      </w:r>
      <w:r>
        <w:t xml:space="preserve">rs proposed that $0.10 of the $1.75 per gallon wine tax be designated for the development of an Iowa Grape Growers Industry.  It is estimated the funds would be approximately $223,000 and would be used to provide technical assistance to Iowa vineyards.    </w:t>
      </w:r>
    </w:p>
    <w:p w:rsidR="00000000" w:rsidRDefault="003E6013">
      <w:pPr>
        <w:pStyle w:val="textup"/>
      </w:pPr>
      <w:r>
        <w:rPr>
          <w:b/>
          <w:bCs/>
        </w:rPr>
        <w:t>Web Site</w:t>
      </w:r>
      <w:r>
        <w:tab/>
        <w:t xml:space="preserve">For more information, copies of handouts, agendas, and minutes, refer to the Agriculture and Natural Resources web site at </w:t>
      </w:r>
      <w:hyperlink r:id="rId22" w:history="1">
        <w:r>
          <w:rPr>
            <w:rStyle w:val="Hyperlink"/>
          </w:rPr>
          <w:t>http://staffweb.legis.state.ia.us/lfb/subcom/</w:t>
        </w:r>
        <w:r>
          <w:rPr>
            <w:rStyle w:val="Hyperlink"/>
          </w:rPr>
          <w:t>ag_dnr/ag_dnr.htm</w:t>
        </w:r>
      </w:hyperlink>
    </w:p>
    <w:p w:rsidR="00000000" w:rsidRDefault="003E6013">
      <w:pPr>
        <w:pStyle w:val="Contactup"/>
      </w:pPr>
      <w:r>
        <w:t>STAFF CONTACT:  Deb Kozel (Ext. 16767)</w:t>
      </w:r>
    </w:p>
    <w:p w:rsidR="00000000" w:rsidRDefault="003E6013">
      <w:pPr>
        <w:pStyle w:val="Blurbtitle"/>
        <w:ind w:right="-540"/>
      </w:pPr>
      <w:bookmarkStart w:id="8" w:name="FU2MDFB"/>
      <w:r>
        <w:t>Economic Development Appropriations Subcommittee</w:t>
      </w:r>
      <w:bookmarkEnd w:id="8"/>
    </w:p>
    <w:p w:rsidR="00000000" w:rsidRDefault="003E6013">
      <w:pPr>
        <w:pStyle w:val="textup"/>
      </w:pPr>
      <w:r>
        <w:rPr>
          <w:b/>
        </w:rPr>
        <w:t>Econ. Development Sub.</w:t>
      </w:r>
      <w:r>
        <w:tab/>
        <w:t>The Economic Development Appropriations Subcommittee heard presentations from the Regents Universities on selected economic de</w:t>
      </w:r>
      <w:r>
        <w:t>velopment programs.</w:t>
      </w:r>
    </w:p>
    <w:p w:rsidR="00000000" w:rsidRDefault="003E6013">
      <w:pPr>
        <w:framePr w:w="511" w:h="1003" w:hSpace="180" w:wrap="around" w:vAnchor="text" w:hAnchor="page" w:x="1542" w:y="822"/>
        <w:pBdr>
          <w:top w:val="single" w:sz="12" w:space="5" w:color="auto" w:shadow="1"/>
          <w:left w:val="single" w:sz="12" w:space="5" w:color="auto" w:shadow="1"/>
          <w:bottom w:val="single" w:sz="12" w:space="5" w:color="auto" w:shadow="1"/>
          <w:right w:val="single" w:sz="12" w:space="5" w:color="auto" w:shadow="1"/>
        </w:pBdr>
      </w:pPr>
      <w:r>
        <w:object w:dxaOrig="497" w:dyaOrig="617">
          <v:shape id="_x0000_i1034" type="#_x0000_t75" style="width:24.55pt;height:30.5pt" o:ole="">
            <v:imagedata r:id="rId23" o:title=""/>
          </v:shape>
          <o:OLEObject Type="Embed" ProgID="Word.Picture.8" ShapeID="_x0000_i1034" DrawAspect="Content" ObjectID="_1315217487" r:id="rId24"/>
        </w:object>
      </w:r>
    </w:p>
    <w:p w:rsidR="00000000" w:rsidRDefault="003E6013">
      <w:pPr>
        <w:pStyle w:val="textup"/>
      </w:pPr>
      <w:r>
        <w:rPr>
          <w:b/>
        </w:rPr>
        <w:t>Small Business Programs</w:t>
      </w:r>
      <w:r>
        <w:tab/>
        <w:t>Ron Manning, Director of the Small Business Development Centers (SBDC), described the Iowa State University Program.  The Iowa Program is one of 50 state programs funded through the U.</w:t>
      </w:r>
      <w:r>
        <w:t xml:space="preserve">S. Small Business Administration and with State matching funds.  The Program has been in operation for 20 years and serves small and medium businesses.  Approximately 99.0% of all Iowa businesses meet the federal definition of small business.  The Centers </w:t>
      </w:r>
      <w:r>
        <w:t>provide one-on-one counseling, technical assistance, workshops, networking, and business forums.  Resources are available to help individuals start a business, manage employees, and use technology.  In 2000, the Centers served over 11,000 small businesses.</w:t>
      </w:r>
      <w:r>
        <w:t xml:space="preserve">  Mr. Manning noted that for each $1.00 spent by the Program, $3.30 was returned in tax revenues.</w:t>
      </w:r>
    </w:p>
    <w:p w:rsidR="00000000" w:rsidRDefault="003E6013">
      <w:pPr>
        <w:framePr w:w="792" w:h="864" w:hSpace="187" w:wrap="around" w:vAnchor="page" w:hAnchor="page" w:x="1355" w:y="12605"/>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505460" cy="516255"/>
            <wp:effectExtent l="1905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5"/>
                    <a:srcRect/>
                    <a:stretch>
                      <a:fillRect/>
                    </a:stretch>
                  </pic:blipFill>
                  <pic:spPr bwMode="auto">
                    <a:xfrm>
                      <a:off x="0" y="0"/>
                      <a:ext cx="505460" cy="516255"/>
                    </a:xfrm>
                    <a:prstGeom prst="rect">
                      <a:avLst/>
                    </a:prstGeom>
                    <a:noFill/>
                    <a:ln w="9525">
                      <a:noFill/>
                      <a:miter lim="800000"/>
                      <a:headEnd/>
                      <a:tailEnd/>
                    </a:ln>
                  </pic:spPr>
                </pic:pic>
              </a:graphicData>
            </a:graphic>
          </wp:inline>
        </w:drawing>
      </w:r>
    </w:p>
    <w:p w:rsidR="00000000" w:rsidRDefault="003E6013">
      <w:pPr>
        <w:pStyle w:val="textup"/>
      </w:pPr>
      <w:r>
        <w:rPr>
          <w:b/>
        </w:rPr>
        <w:t xml:space="preserve">IPRT </w:t>
      </w:r>
      <w:r>
        <w:tab/>
        <w:t>Tom Barton, Director of the Institute for Physical Research and Technology (IPRT), presented information on the Program located at Iowa State Universi</w:t>
      </w:r>
      <w:r>
        <w:t>ty.  The Program is an outgrowth of the Ames Laboratory that is supported by the U.S. Department of Energy.  The Program offers fundamental and applied research to businesses in Iowa.  In the past five years, the Institute has performed 840 research projec</w:t>
      </w:r>
      <w:r>
        <w:t>ts for Iowa companies.  Mr. Barton gave examples of applied research and technological developments that have been transferred across businesses.  One device was developed to examine the separation of airplane wing-heating elements from the inside of the w</w:t>
      </w:r>
      <w:r>
        <w:t xml:space="preserve">ing surface.  The </w:t>
      </w:r>
      <w:r>
        <w:lastRenderedPageBreak/>
        <w:t xml:space="preserve">separation makes icing a greater problem.  The technology was used by another metal laminating company to solve a plating separation problem.  </w:t>
      </w:r>
    </w:p>
    <w:p w:rsidR="00000000" w:rsidRDefault="003E6013">
      <w:pPr>
        <w:framePr w:hSpace="180" w:wrap="auto" w:vAnchor="text" w:hAnchor="page" w:x="1342" w:y="1104"/>
      </w:pPr>
      <w:r>
        <w:rPr>
          <w:noProof/>
        </w:rPr>
        <w:drawing>
          <wp:inline distT="0" distB="0" distL="0" distR="0">
            <wp:extent cx="871220" cy="494665"/>
            <wp:effectExtent l="19050" t="0" r="508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6"/>
                    <a:srcRect/>
                    <a:stretch>
                      <a:fillRect/>
                    </a:stretch>
                  </pic:blipFill>
                  <pic:spPr bwMode="auto">
                    <a:xfrm>
                      <a:off x="0" y="0"/>
                      <a:ext cx="871220" cy="494665"/>
                    </a:xfrm>
                    <a:prstGeom prst="rect">
                      <a:avLst/>
                    </a:prstGeom>
                    <a:noFill/>
                    <a:ln w="9525">
                      <a:noFill/>
                      <a:miter lim="800000"/>
                      <a:headEnd/>
                      <a:tailEnd/>
                    </a:ln>
                  </pic:spPr>
                </pic:pic>
              </a:graphicData>
            </a:graphic>
          </wp:inline>
        </w:drawing>
      </w:r>
    </w:p>
    <w:p w:rsidR="00000000" w:rsidRDefault="003E6013">
      <w:pPr>
        <w:pStyle w:val="textup"/>
      </w:pPr>
      <w:r>
        <w:rPr>
          <w:b/>
        </w:rPr>
        <w:t>Decision Making Institute</w:t>
      </w:r>
      <w:r>
        <w:tab/>
        <w:t>Randy Pilkington, Director for the Decision Making Institute, disc</w:t>
      </w:r>
      <w:r>
        <w:t>ussed the Program based at the University of Northern Iowa.  The Program focuses on community and economic development rather than directly assisting businesses.  It offers services in the areas of strategic planning, organizational assessment, community a</w:t>
      </w:r>
      <w:r>
        <w:t>ssessment, community-based planning task forces, laborshed employment studies, GIS-mapping, and special research projects.  (The laborshed study responsibilities are to be transferred to the Iowa Workforce Development.)  The Institute also maintains web-ba</w:t>
      </w:r>
      <w:r>
        <w:t xml:space="preserve">sed databases for use in economic development projects around the State.  The information is useful for communities and local employers in assessing the viability of projects and businesses in various locations. </w:t>
      </w:r>
    </w:p>
    <w:p w:rsidR="00000000" w:rsidRDefault="003E6013">
      <w:pPr>
        <w:pStyle w:val="textup"/>
      </w:pPr>
      <w:r>
        <w:rPr>
          <w:b/>
        </w:rPr>
        <w:t>Univ. of Iowa</w:t>
      </w:r>
      <w:r>
        <w:tab/>
        <w:t>David Skorton, Vice President</w:t>
      </w:r>
      <w:r>
        <w:t xml:space="preserve"> for Research, University of Iowa, was available for comments and questions.  </w:t>
      </w:r>
    </w:p>
    <w:p w:rsidR="00000000" w:rsidRDefault="003E6013">
      <w:pPr>
        <w:pStyle w:val="textup"/>
      </w:pPr>
      <w:r>
        <w:rPr>
          <w:b/>
        </w:rPr>
        <w:t>More Information</w:t>
      </w:r>
      <w:r>
        <w:tab/>
        <w:t xml:space="preserve">Copies of agendas, minutes, and selected materials that were distributed to Subcommittee members are available on the LFB web site at </w:t>
      </w:r>
      <w:hyperlink r:id="rId27" w:history="1">
        <w:r>
          <w:rPr>
            <w:rStyle w:val="Hyperlink"/>
          </w:rPr>
          <w:t>http://staffweb.legis.state.ia.us/lfb/subcom/econ_dev/econ_dev.htm</w:t>
        </w:r>
      </w:hyperlink>
      <w:r>
        <w:t xml:space="preserve">.  </w:t>
      </w:r>
    </w:p>
    <w:p w:rsidR="00000000" w:rsidRDefault="003E6013">
      <w:pPr>
        <w:pStyle w:val="Contactup"/>
      </w:pPr>
      <w:r>
        <w:t>STAFF CONTACT:  Dwayne Ferguson (Ext. 16561)  Alice Wisner (Ext. 14611)</w:t>
      </w:r>
    </w:p>
    <w:p w:rsidR="00000000" w:rsidRDefault="003E6013">
      <w:pPr>
        <w:pStyle w:val="Blurbtitle"/>
      </w:pPr>
      <w:bookmarkStart w:id="9" w:name="FU2SJLB"/>
      <w:r>
        <w:t>HUMAN SERVICES APPROPRIATIONS SUBCOMMITTEE</w:t>
      </w:r>
      <w:bookmarkEnd w:id="9"/>
    </w:p>
    <w:p w:rsidR="00000000" w:rsidRDefault="003E6013">
      <w:pPr>
        <w:pStyle w:val="textup"/>
      </w:pPr>
      <w:r>
        <w:rPr>
          <w:b/>
        </w:rPr>
        <w:t>Human Service</w:t>
      </w:r>
      <w:r>
        <w:rPr>
          <w:b/>
        </w:rPr>
        <w:t>s Sub.</w:t>
      </w:r>
      <w:r>
        <w:tab/>
        <w:t>The Human Services Appropriations Subcommittee met the week of February 19.</w:t>
      </w:r>
    </w:p>
    <w:p w:rsidR="00000000" w:rsidRDefault="003E6013">
      <w:pPr>
        <w:pStyle w:val="textup"/>
      </w:pPr>
      <w:r>
        <w:rPr>
          <w:b/>
        </w:rPr>
        <w:t>Information Received</w:t>
      </w:r>
      <w:r>
        <w:tab/>
        <w:t>On February 20 and 21, the Subcommittee received information from several presenters.</w:t>
      </w:r>
    </w:p>
    <w:p w:rsidR="00000000" w:rsidRDefault="003E6013">
      <w:pPr>
        <w:pStyle w:val="textup"/>
      </w:pPr>
      <w:r>
        <w:rPr>
          <w:b/>
        </w:rPr>
        <w:t>Court Officers</w:t>
      </w:r>
      <w:r>
        <w:tab/>
        <w:t>John Waters and Bridget Hayes, District Chief Juven</w:t>
      </w:r>
      <w:r>
        <w:t>ile Court Officers, presented the following recommendations:</w:t>
      </w:r>
    </w:p>
    <w:p w:rsidR="00000000" w:rsidRDefault="003E6013">
      <w:pPr>
        <w:framePr w:w="505" w:h="868" w:hSpace="180" w:wrap="around" w:vAnchor="text" w:hAnchor="page" w:x="1542" w:y="29"/>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22580" cy="32258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srcRect/>
                    <a:stretch>
                      <a:fillRect/>
                    </a:stretch>
                  </pic:blipFill>
                  <pic:spPr bwMode="auto">
                    <a:xfrm>
                      <a:off x="0" y="0"/>
                      <a:ext cx="322580" cy="322580"/>
                    </a:xfrm>
                    <a:prstGeom prst="rect">
                      <a:avLst/>
                    </a:prstGeom>
                    <a:noFill/>
                    <a:ln w="9525">
                      <a:noFill/>
                      <a:miter lim="800000"/>
                      <a:headEnd/>
                      <a:tailEnd/>
                    </a:ln>
                  </pic:spPr>
                </pic:pic>
              </a:graphicData>
            </a:graphic>
          </wp:inline>
        </w:drawing>
      </w:r>
    </w:p>
    <w:p w:rsidR="00000000" w:rsidRDefault="003E6013">
      <w:pPr>
        <w:pStyle w:val="Bulletup"/>
      </w:pPr>
      <w:r>
        <w:t>Increase funding for graduated sanction programs.</w:t>
      </w:r>
    </w:p>
    <w:p w:rsidR="00000000" w:rsidRDefault="003E6013">
      <w:pPr>
        <w:pStyle w:val="Bulletup"/>
      </w:pPr>
      <w:r>
        <w:t>Transition and convert beds at the Iowa Juvenile Home at Toledo.</w:t>
      </w:r>
    </w:p>
    <w:p w:rsidR="00000000" w:rsidRDefault="003E6013">
      <w:pPr>
        <w:pStyle w:val="Bulletup"/>
      </w:pPr>
      <w:r>
        <w:t>Continue progress on Empowerment Zones.</w:t>
      </w:r>
    </w:p>
    <w:p w:rsidR="00000000" w:rsidRDefault="003E6013">
      <w:pPr>
        <w:pStyle w:val="Bulletup"/>
      </w:pPr>
      <w:r>
        <w:t xml:space="preserve">Implement legislative intent language </w:t>
      </w:r>
      <w:r>
        <w:t>to require notification by DCI when sex offenders released from custody with an “at risk” or “high risk” assessment move into a community.</w:t>
      </w:r>
    </w:p>
    <w:p w:rsidR="00000000" w:rsidRDefault="003E6013">
      <w:pPr>
        <w:pStyle w:val="Bulletup"/>
      </w:pPr>
      <w:r>
        <w:t>Sunset the Court Ordered Services Planning Group.</w:t>
      </w:r>
    </w:p>
    <w:p w:rsidR="00000000" w:rsidRDefault="003E6013">
      <w:pPr>
        <w:pStyle w:val="textup"/>
      </w:pPr>
      <w:r>
        <w:rPr>
          <w:b/>
        </w:rPr>
        <w:t>Lutheran Social Services</w:t>
      </w:r>
      <w:r>
        <w:tab/>
        <w:t>Roger Gutmann, Lutheran Social Services, d</w:t>
      </w:r>
      <w:r>
        <w:t>iscussed the need to keep private providers able to provide quality services to meet the needs of children and families.</w:t>
      </w:r>
    </w:p>
    <w:p w:rsidR="00000000" w:rsidRDefault="003E6013">
      <w:pPr>
        <w:pStyle w:val="textup"/>
      </w:pPr>
      <w:r>
        <w:rPr>
          <w:b/>
        </w:rPr>
        <w:lastRenderedPageBreak/>
        <w:t>Iowa Family Policy Ctr.</w:t>
      </w:r>
      <w:r>
        <w:tab/>
        <w:t xml:space="preserve">Chuck Hurley and Mike Hartwig, Iowa Family Policy Center, presented information that promotes marriage to help </w:t>
      </w:r>
      <w:r>
        <w:t>meet critical human service needs.  They requested TANF funding to help address this need.</w:t>
      </w:r>
    </w:p>
    <w:p w:rsidR="00000000" w:rsidRDefault="003E6013">
      <w:pPr>
        <w:pStyle w:val="textup"/>
      </w:pPr>
      <w:r>
        <w:rPr>
          <w:b/>
        </w:rPr>
        <w:t>Teen Challenge Center</w:t>
      </w:r>
      <w:r>
        <w:tab/>
        <w:t>Bruce Ouverson and Warren Hunsburger, Teens Challenge Center in Colfax, Iowa, discussed services provided by the Center, its faith-based connec</w:t>
      </w:r>
      <w:r>
        <w:t xml:space="preserve">tion, and its relationship with centers in other states.  They also spoke of current and planned expansion of facilities and persons able to be served. </w:t>
      </w:r>
    </w:p>
    <w:p w:rsidR="00000000" w:rsidRDefault="003E6013">
      <w:pPr>
        <w:framePr w:w="501" w:h="1159" w:hSpace="180" w:wrap="around" w:vAnchor="text" w:hAnchor="page" w:x="1535" w:y="847"/>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52120"/>
            <wp:effectExtent l="1905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9"/>
                    <a:srcRect/>
                    <a:stretch>
                      <a:fillRect/>
                    </a:stretch>
                  </pic:blipFill>
                  <pic:spPr bwMode="auto">
                    <a:xfrm>
                      <a:off x="0" y="0"/>
                      <a:ext cx="311785" cy="452120"/>
                    </a:xfrm>
                    <a:prstGeom prst="rect">
                      <a:avLst/>
                    </a:prstGeom>
                    <a:noFill/>
                    <a:ln w="9525">
                      <a:noFill/>
                      <a:miter lim="800000"/>
                      <a:headEnd/>
                      <a:tailEnd/>
                    </a:ln>
                  </pic:spPr>
                </pic:pic>
              </a:graphicData>
            </a:graphic>
          </wp:inline>
        </w:drawing>
      </w:r>
    </w:p>
    <w:p w:rsidR="00000000" w:rsidRDefault="003E6013">
      <w:pPr>
        <w:pStyle w:val="textup"/>
      </w:pPr>
      <w:r>
        <w:rPr>
          <w:b/>
        </w:rPr>
        <w:t>Opportunities Unlimited</w:t>
      </w:r>
      <w:r>
        <w:tab/>
        <w:t>Bob Vanderplaats, Opportunities Unlimited, Sioux City, Iowa, presented inform</w:t>
      </w:r>
      <w:r>
        <w:t>ation on brain injury.  He emphasized the contrast in service needs and costs of serving persons with brain injury verses persons with mental retardation.  He made the following recommendations:</w:t>
      </w:r>
    </w:p>
    <w:p w:rsidR="00000000" w:rsidRDefault="003E6013">
      <w:pPr>
        <w:pStyle w:val="Bulletup"/>
      </w:pPr>
      <w:r>
        <w:t>Create a new provider classification in Medicaid for faciliti</w:t>
      </w:r>
      <w:r>
        <w:t>es that serve persons with brain injury.</w:t>
      </w:r>
    </w:p>
    <w:p w:rsidR="00000000" w:rsidRDefault="003E6013">
      <w:pPr>
        <w:pStyle w:val="Bulletup"/>
      </w:pPr>
      <w:r>
        <w:t>Provide an exemption from federal Medicaid regulations to allow facilities to serve persons with brain injury who are age 22 and above.</w:t>
      </w:r>
    </w:p>
    <w:p w:rsidR="00000000" w:rsidRDefault="003E6013">
      <w:pPr>
        <w:pStyle w:val="Bulletup"/>
      </w:pPr>
      <w:r>
        <w:t>Improve reimbursement to these facilities which serve persons with brain injury</w:t>
      </w:r>
      <w:r>
        <w:t xml:space="preserve"> without harming reimbursement to facilities providing other service needs.</w:t>
      </w:r>
    </w:p>
    <w:p w:rsidR="00000000" w:rsidRDefault="003E6013">
      <w:pPr>
        <w:framePr w:w="511" w:h="1003" w:hSpace="180" w:wrap="around" w:vAnchor="text" w:hAnchor="page" w:x="1542" w:y="547"/>
        <w:pBdr>
          <w:top w:val="single" w:sz="12" w:space="5" w:color="auto" w:shadow="1"/>
          <w:left w:val="single" w:sz="12" w:space="5" w:color="auto" w:shadow="1"/>
          <w:bottom w:val="single" w:sz="12" w:space="5" w:color="auto" w:shadow="1"/>
          <w:right w:val="single" w:sz="12" w:space="5" w:color="auto" w:shadow="1"/>
        </w:pBdr>
      </w:pPr>
      <w:r>
        <w:object w:dxaOrig="4282" w:dyaOrig="5265">
          <v:shape id="_x0000_i1062" type="#_x0000_t75" style="width:25.4pt;height:31.35pt" o:ole="">
            <v:imagedata r:id="rId30" o:title=""/>
          </v:shape>
          <o:OLEObject Type="Embed" ProgID="MS_ClipArt_Gallery" ShapeID="_x0000_i1062" DrawAspect="Content" ObjectID="_1315217488" r:id="rId31"/>
        </w:object>
      </w:r>
    </w:p>
    <w:p w:rsidR="00000000" w:rsidRDefault="003E6013">
      <w:pPr>
        <w:pStyle w:val="textup"/>
      </w:pPr>
      <w:r>
        <w:rPr>
          <w:b/>
        </w:rPr>
        <w:t>Nursing Facility Reimburs.</w:t>
      </w:r>
      <w:r>
        <w:tab/>
        <w:t>Cathy Anderson, representing the Iowa Department of Human Services (DHS), and Chris Kneer, Myers and Stauffer, provided f</w:t>
      </w:r>
      <w:r>
        <w:t>ollow-up information on recommended changes to the proposed reimbursement methodology for nursing facilities.  The followup resulted from legislative concerns to avoid excessive profits and to give financial incentives to nursing facilities to increase dir</w:t>
      </w:r>
      <w:r>
        <w:t>ect care services.  Changes will be incorporated into the proposed model to address the legislative concerns.</w:t>
      </w:r>
    </w:p>
    <w:p w:rsidR="00000000" w:rsidRDefault="003E6013">
      <w:pPr>
        <w:pStyle w:val="textup"/>
      </w:pPr>
      <w:r>
        <w:rPr>
          <w:b/>
        </w:rPr>
        <w:t>Future Meetings</w:t>
      </w:r>
      <w:r>
        <w:tab/>
        <w:t>The co-chairpersons announced that the Subcommittee meetings are completed except for possible caucus meetings to set priorities f</w:t>
      </w:r>
      <w:r>
        <w:t xml:space="preserve">or the FY 2002 appropriations bill and to possibly formulate a proposed appropriations bill. </w:t>
      </w:r>
    </w:p>
    <w:p w:rsidR="00000000" w:rsidRDefault="003E6013">
      <w:pPr>
        <w:pStyle w:val="textup"/>
      </w:pPr>
      <w:r>
        <w:rPr>
          <w:b/>
        </w:rPr>
        <w:t>More Information</w:t>
      </w:r>
      <w:r>
        <w:tab/>
        <w:t xml:space="preserve">Copies of agendas, minutes, and selected materials that were distributed to Subcommittee members are available on the LFB web site at </w:t>
      </w:r>
      <w:hyperlink r:id="rId32" w:history="1">
        <w:r>
          <w:rPr>
            <w:rStyle w:val="Hyperlink"/>
          </w:rPr>
          <w:t>http://staffweb.legis.state.ia.us/lfb/subcom</w:t>
        </w:r>
        <w:r>
          <w:rPr>
            <w:rStyle w:val="Hyperlink"/>
          </w:rPr>
          <w:t>/</w:t>
        </w:r>
        <w:r>
          <w:rPr>
            <w:rStyle w:val="Hyperlink"/>
          </w:rPr>
          <w:t>human_serv/human_serv.htm</w:t>
        </w:r>
      </w:hyperlink>
      <w:r>
        <w:t xml:space="preserve">.                </w:t>
      </w:r>
    </w:p>
    <w:p w:rsidR="00000000" w:rsidRDefault="003E6013">
      <w:pPr>
        <w:pStyle w:val="Contactup"/>
      </w:pPr>
      <w:r>
        <w:t>STAFF CONTACT:   Sam Leto (Ext. 16764)  Sue Lerdal  (Ext. 17794)</w:t>
      </w:r>
    </w:p>
    <w:p w:rsidR="00000000" w:rsidRDefault="003E6013">
      <w:pPr>
        <w:pStyle w:val="Blurbtitle"/>
      </w:pPr>
      <w:bookmarkStart w:id="10" w:name="FU2BALD"/>
      <w:r>
        <w:t>Justice System Appropriati</w:t>
      </w:r>
      <w:r>
        <w:t>ons Subcommittee</w:t>
      </w:r>
      <w:bookmarkEnd w:id="10"/>
    </w:p>
    <w:p w:rsidR="00000000" w:rsidRDefault="003E6013">
      <w:pPr>
        <w:pStyle w:val="textup"/>
      </w:pPr>
      <w:r>
        <w:rPr>
          <w:b/>
          <w:noProof/>
        </w:rPr>
        <w:pict>
          <v:shape id="_x0000_s1036" type="#_x0000_t202" style="position:absolute;margin-left:-130.95pt;margin-top:35.05pt;width:44.4pt;height:58.15pt;z-index:-251659264;mso-wrap-edited:f" wrapcoords="-300 0 -300 21600 21900 21600 21900 0 -300 0">
            <v:textbox style="mso-next-textbox:#_x0000_s1036">
              <w:txbxContent>
                <w:p w:rsidR="00000000" w:rsidRDefault="003E6013">
                  <w:r>
                    <w:rPr>
                      <w:noProof/>
                    </w:rPr>
                    <w:drawing>
                      <wp:inline distT="0" distB="0" distL="0" distR="0">
                        <wp:extent cx="376555" cy="635000"/>
                        <wp:effectExtent l="19050" t="0" r="4445" b="0"/>
                        <wp:docPr id="15" name="Picture 15" descr="D:\Clipart\Regional\Govt\LAWEN034.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Clipart\Regional\Govt\LAWEN034.WMF"/>
                                <pic:cNvPicPr>
                                  <a:picLocks noChangeAspect="1" noChangeArrowheads="1"/>
                                </pic:cNvPicPr>
                              </pic:nvPicPr>
                              <pic:blipFill>
                                <a:blip r:embed="rId33"/>
                                <a:srcRect/>
                                <a:stretch>
                                  <a:fillRect/>
                                </a:stretch>
                              </pic:blipFill>
                              <pic:spPr bwMode="auto">
                                <a:xfrm>
                                  <a:off x="0" y="0"/>
                                  <a:ext cx="376555" cy="635000"/>
                                </a:xfrm>
                                <a:prstGeom prst="rect">
                                  <a:avLst/>
                                </a:prstGeom>
                                <a:noFill/>
                                <a:ln w="9525">
                                  <a:noFill/>
                                  <a:miter lim="800000"/>
                                  <a:headEnd/>
                                  <a:tailEnd/>
                                </a:ln>
                              </pic:spPr>
                            </pic:pic>
                          </a:graphicData>
                        </a:graphic>
                      </wp:inline>
                    </w:drawing>
                  </w:r>
                </w:p>
              </w:txbxContent>
            </v:textbox>
            <w10:wrap type="tight"/>
          </v:shape>
        </w:pict>
      </w:r>
      <w:r>
        <w:rPr>
          <w:b/>
        </w:rPr>
        <w:t>Dept. of Corrections</w:t>
      </w:r>
      <w:r>
        <w:tab/>
        <w:t>On February 20, Department of Corrections (DOC) Director Kip Kautzky discussed the following issues with the Subcommittee:</w:t>
      </w:r>
    </w:p>
    <w:p w:rsidR="00000000" w:rsidRDefault="003E6013">
      <w:pPr>
        <w:pStyle w:val="Bulletup"/>
      </w:pPr>
      <w:r>
        <w:t>Inmate population growth.</w:t>
      </w:r>
    </w:p>
    <w:p w:rsidR="00000000" w:rsidRDefault="003E6013">
      <w:pPr>
        <w:pStyle w:val="Bulletup"/>
      </w:pPr>
      <w:r>
        <w:t xml:space="preserve">Federal Bureau of Prisons contract.  The State has signed a 10-year </w:t>
      </w:r>
      <w:r>
        <w:t xml:space="preserve">agreement to hold federal prisoners in the State prison system.  The </w:t>
      </w:r>
      <w:r>
        <w:lastRenderedPageBreak/>
        <w:t>Governor is estimating this will increase State General Fund receipts by $2.6 million annually in FY 2001 and FY 2002.</w:t>
      </w:r>
    </w:p>
    <w:p w:rsidR="00000000" w:rsidRDefault="003E6013">
      <w:pPr>
        <w:pStyle w:val="Bulletup"/>
      </w:pPr>
      <w:r>
        <w:t>Inmate labor.</w:t>
      </w:r>
    </w:p>
    <w:p w:rsidR="00000000" w:rsidRDefault="003E6013">
      <w:pPr>
        <w:pStyle w:val="Bulletup"/>
      </w:pPr>
      <w:r>
        <w:t>Prison farms.</w:t>
      </w:r>
    </w:p>
    <w:p w:rsidR="00000000" w:rsidRDefault="003E6013">
      <w:pPr>
        <w:pStyle w:val="Bulletup"/>
      </w:pPr>
      <w:r>
        <w:t>Inmate law libraries.  These libraries a</w:t>
      </w:r>
      <w:r>
        <w:t>re required due to a federal court decision.</w:t>
      </w:r>
    </w:p>
    <w:p w:rsidR="00000000" w:rsidRDefault="003E6013">
      <w:pPr>
        <w:framePr w:w="796" w:h="865" w:hSpace="180" w:wrap="around" w:vAnchor="text" w:hAnchor="page" w:x="1535" w:y="6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2120" cy="441325"/>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4"/>
                    <a:srcRect/>
                    <a:stretch>
                      <a:fillRect/>
                    </a:stretch>
                  </pic:blipFill>
                  <pic:spPr bwMode="auto">
                    <a:xfrm>
                      <a:off x="0" y="0"/>
                      <a:ext cx="452120" cy="441325"/>
                    </a:xfrm>
                    <a:prstGeom prst="rect">
                      <a:avLst/>
                    </a:prstGeom>
                    <a:noFill/>
                    <a:ln w="9525">
                      <a:noFill/>
                      <a:miter lim="800000"/>
                      <a:headEnd/>
                      <a:tailEnd/>
                    </a:ln>
                  </pic:spPr>
                </pic:pic>
              </a:graphicData>
            </a:graphic>
          </wp:inline>
        </w:drawing>
      </w:r>
    </w:p>
    <w:p w:rsidR="00000000" w:rsidRDefault="003E6013">
      <w:pPr>
        <w:pStyle w:val="Bulletup"/>
      </w:pPr>
      <w:r>
        <w:t>The medical services at Iowa State Penitentiary at Fort Madison.  The General Assembly required the contracted positions to be converted to State employees during FY 2001.</w:t>
      </w:r>
    </w:p>
    <w:p w:rsidR="00000000" w:rsidRDefault="003E6013">
      <w:pPr>
        <w:pStyle w:val="Bulletup"/>
      </w:pPr>
      <w:r>
        <w:t>Review of utility expenditures at the</w:t>
      </w:r>
      <w:r>
        <w:t xml:space="preserve"> nine State prisons.</w:t>
      </w:r>
    </w:p>
    <w:p w:rsidR="00000000" w:rsidRDefault="003E6013">
      <w:pPr>
        <w:pStyle w:val="Bulletup"/>
      </w:pPr>
      <w:r>
        <w:t xml:space="preserve">Telephone Rebate Funds.  The Legislative Fiscal Bureau recently released an </w:t>
      </w:r>
      <w:r>
        <w:rPr>
          <w:b/>
          <w:bCs/>
          <w:i/>
          <w:iCs/>
        </w:rPr>
        <w:t>Issue Review</w:t>
      </w:r>
      <w:r>
        <w:t xml:space="preserve"> regarding this topic.</w:t>
      </w:r>
    </w:p>
    <w:p w:rsidR="00000000" w:rsidRDefault="003E6013">
      <w:pPr>
        <w:pStyle w:val="Bulletup"/>
      </w:pPr>
      <w:r>
        <w:t>State contracts.  Personal services contracts are used primarily for medical services and treatment programs.</w:t>
      </w:r>
    </w:p>
    <w:p w:rsidR="00000000" w:rsidRDefault="003E6013">
      <w:pPr>
        <w:pStyle w:val="Bulletup"/>
      </w:pPr>
      <w:r>
        <w:t>Construction u</w:t>
      </w:r>
      <w:r>
        <w:t>pdate at the following locations:  200-bed Special Needs Unit at Fort Madison, 45-bed addition at the Dubuque Residential Facility, and the 25-bed addition at the Council Bluffs Residential Facility.</w:t>
      </w:r>
    </w:p>
    <w:p w:rsidR="00000000" w:rsidRDefault="003E6013">
      <w:pPr>
        <w:framePr w:w="1066" w:h="1003" w:hSpace="180" w:wrap="around" w:vAnchor="text" w:hAnchor="page" w:x="1416" w:y="835"/>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7545" cy="505460"/>
            <wp:effectExtent l="19050" t="0" r="8255"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srcRect/>
                    <a:stretch>
                      <a:fillRect/>
                    </a:stretch>
                  </pic:blipFill>
                  <pic:spPr bwMode="auto">
                    <a:xfrm>
                      <a:off x="0" y="0"/>
                      <a:ext cx="677545" cy="505460"/>
                    </a:xfrm>
                    <a:prstGeom prst="rect">
                      <a:avLst/>
                    </a:prstGeom>
                    <a:noFill/>
                    <a:ln w="9525">
                      <a:noFill/>
                      <a:miter lim="800000"/>
                      <a:headEnd/>
                      <a:tailEnd/>
                    </a:ln>
                  </pic:spPr>
                </pic:pic>
              </a:graphicData>
            </a:graphic>
          </wp:inline>
        </w:drawing>
      </w:r>
    </w:p>
    <w:p w:rsidR="00000000" w:rsidRDefault="003E6013">
      <w:pPr>
        <w:pStyle w:val="textup"/>
      </w:pPr>
      <w:r>
        <w:rPr>
          <w:b/>
        </w:rPr>
        <w:t>Crim./Juvenile Justice</w:t>
      </w:r>
      <w:r>
        <w:tab/>
        <w:t>Staff from the Criminal and Juv</w:t>
      </w:r>
      <w:r>
        <w:t>enile Justice Planning Division of the Department of Human Rights projects that the Iowa prison population will reach 12,400 inmates by FY 2010 if current correctional policies and laws remain in place.  If this growth occurs, Iowa will need to construct f</w:t>
      </w:r>
      <w:r>
        <w:t>ive additional prisons by FY 2010.  Each new prison costs $45.0 million to construct and $25.0 million for annual operations.  Director Kautzky provided the following options as refinements to Iowa’s Criminal Code:</w:t>
      </w:r>
    </w:p>
    <w:p w:rsidR="00000000" w:rsidRDefault="003E6013">
      <w:pPr>
        <w:pStyle w:val="Bulletup"/>
      </w:pPr>
      <w:r>
        <w:t>Alternative sentence of probation for cer</w:t>
      </w:r>
      <w:r>
        <w:t>tain Class D or Class C felons.</w:t>
      </w:r>
    </w:p>
    <w:p w:rsidR="00000000" w:rsidRDefault="003E6013">
      <w:pPr>
        <w:pStyle w:val="Bulletup"/>
      </w:pPr>
      <w:r>
        <w:t>Waiver of certain mandatory minimum sentences.</w:t>
      </w:r>
    </w:p>
    <w:p w:rsidR="00000000" w:rsidRDefault="003E6013">
      <w:pPr>
        <w:pStyle w:val="Bulletup"/>
      </w:pPr>
      <w:r>
        <w:t>Intent language directing the Board of Parole to implement a parole and work release plan so as to balance the prison population with available bed space.</w:t>
      </w:r>
    </w:p>
    <w:p w:rsidR="00000000" w:rsidRDefault="003E6013">
      <w:pPr>
        <w:pStyle w:val="Bulletup"/>
      </w:pPr>
      <w:r>
        <w:t>Amend the definition o</w:t>
      </w:r>
      <w:r>
        <w:t>f suspended sentence to include a portion of that sentence.</w:t>
      </w:r>
    </w:p>
    <w:p w:rsidR="00000000" w:rsidRDefault="003E6013">
      <w:pPr>
        <w:pStyle w:val="Bulletup"/>
      </w:pPr>
      <w:r>
        <w:t>Permit a residential substance abuse treatment facility to be a requirement of probation or to be used as an intermediate sanction.</w:t>
      </w:r>
    </w:p>
    <w:p w:rsidR="00000000" w:rsidRDefault="003E6013">
      <w:pPr>
        <w:pStyle w:val="Bulletup"/>
      </w:pPr>
      <w:r>
        <w:t>Codify conditions of probation.</w:t>
      </w:r>
    </w:p>
    <w:p w:rsidR="00000000" w:rsidRDefault="003E6013">
      <w:pPr>
        <w:pStyle w:val="Bulletup"/>
      </w:pPr>
      <w:r>
        <w:t xml:space="preserve">Intent language creating a task </w:t>
      </w:r>
      <w:r>
        <w:t xml:space="preserve">force composed of:  the Chief Justice of the Supreme Court, the Attorney General, the Director of the DOC, the Director of the Department of Public Safety, the Chair of the Board of Parole, a county attorney, the State Public Defender, and the Director of </w:t>
      </w:r>
      <w:r>
        <w:t>the Criminal and Juvenile Justice Planning Division.  The task force would be required to meet quarterly to examine criminal justice system issues on an ongoing basis.  The Criminal and Juvenile Justice Planning Division would be required to submit an annu</w:t>
      </w:r>
      <w:r>
        <w:t>al report to the General Assembly on any findings or recommendations of the task force.</w:t>
      </w:r>
    </w:p>
    <w:p w:rsidR="00000000" w:rsidRDefault="003E6013">
      <w:pPr>
        <w:pStyle w:val="textup"/>
      </w:pPr>
      <w:r>
        <w:rPr>
          <w:b/>
          <w:noProof/>
        </w:rPr>
        <w:lastRenderedPageBreak/>
        <w:drawing>
          <wp:anchor distT="0" distB="0" distL="114300" distR="114300" simplePos="0" relativeHeight="251658240" behindDoc="1" locked="0" layoutInCell="1" allowOverlap="1">
            <wp:simplePos x="0" y="0"/>
            <wp:positionH relativeFrom="column">
              <wp:posOffset>-1663065</wp:posOffset>
            </wp:positionH>
            <wp:positionV relativeFrom="paragraph">
              <wp:posOffset>288290</wp:posOffset>
            </wp:positionV>
            <wp:extent cx="807720" cy="448310"/>
            <wp:effectExtent l="19050" t="0" r="0" b="0"/>
            <wp:wrapTight wrapText="bothSides">
              <wp:wrapPolygon edited="0">
                <wp:start x="-509" y="0"/>
                <wp:lineTo x="-509" y="21110"/>
                <wp:lineTo x="21396" y="21110"/>
                <wp:lineTo x="21396" y="0"/>
                <wp:lineTo x="-509" y="0"/>
              </wp:wrapPolygon>
            </wp:wrapTight>
            <wp:docPr id="2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5"/>
                    <a:srcRect/>
                    <a:stretch>
                      <a:fillRect/>
                    </a:stretch>
                  </pic:blipFill>
                  <pic:spPr bwMode="auto">
                    <a:xfrm>
                      <a:off x="0" y="0"/>
                      <a:ext cx="807720" cy="448310"/>
                    </a:xfrm>
                    <a:prstGeom prst="rect">
                      <a:avLst/>
                    </a:prstGeom>
                    <a:noFill/>
                    <a:ln w="9525">
                      <a:noFill/>
                      <a:miter lim="800000"/>
                      <a:headEnd/>
                      <a:tailEnd/>
                    </a:ln>
                  </pic:spPr>
                </pic:pic>
              </a:graphicData>
            </a:graphic>
          </wp:anchor>
        </w:drawing>
      </w:r>
      <w:r>
        <w:rPr>
          <w:b/>
        </w:rPr>
        <w:t>Restorative Justice</w:t>
      </w:r>
      <w:r>
        <w:tab/>
        <w:t>On February 21, the Subcommittee received information regarding community restorative justice, including an overview.  The three primary components</w:t>
      </w:r>
      <w:r>
        <w:t xml:space="preserve"> of community restorative justice are the victim, the offender, and community involvement.  Examples of community restorative justice include:  victim-offender mediation, victim impact classes, accountability boards, and family group conferencing.</w:t>
      </w:r>
    </w:p>
    <w:p w:rsidR="00000000" w:rsidRDefault="003E6013">
      <w:pPr>
        <w:pStyle w:val="textup"/>
        <w:rPr>
          <w:u w:val="single"/>
        </w:rPr>
      </w:pPr>
      <w:r>
        <w:rPr>
          <w:b/>
        </w:rPr>
        <w:t>More Inf</w:t>
      </w:r>
      <w:r>
        <w:rPr>
          <w:b/>
        </w:rPr>
        <w:t>ormation</w:t>
      </w:r>
      <w:r>
        <w:tab/>
        <w:t xml:space="preserve">Agendas, minutes, and handouts can be obtained on the Justice System web site.  The address is: </w:t>
      </w:r>
      <w:hyperlink r:id="rId36" w:history="1">
        <w:r>
          <w:rPr>
            <w:rStyle w:val="Hyperlink"/>
          </w:rPr>
          <w:t>http://staffweb.legis.state.ia.us/lfb/subc</w:t>
        </w:r>
        <w:r>
          <w:rPr>
            <w:rStyle w:val="Hyperlink"/>
          </w:rPr>
          <w:t>o</w:t>
        </w:r>
        <w:r>
          <w:rPr>
            <w:rStyle w:val="Hyperlink"/>
          </w:rPr>
          <w:t>m/justice/justice.htm</w:t>
        </w:r>
      </w:hyperlink>
    </w:p>
    <w:p w:rsidR="00000000" w:rsidRDefault="003E6013">
      <w:pPr>
        <w:pStyle w:val="Contactup"/>
      </w:pPr>
      <w:r>
        <w:t>STAF</w:t>
      </w:r>
      <w:r>
        <w:t>F CONTACT:  Beth Lenstra (Ext. 16301)  Jennifer Dean (Ext. 17846)</w:t>
      </w:r>
    </w:p>
    <w:p w:rsidR="00000000" w:rsidRDefault="003E6013">
      <w:pPr>
        <w:pStyle w:val="Blurbtitle"/>
      </w:pPr>
      <w:bookmarkStart w:id="11" w:name="FU2LRBA"/>
      <w:r>
        <w:t>FEDERAL FUNDS RELEASED FOR CAREGIVER SUPPORT PROGRAM</w:t>
      </w:r>
      <w:bookmarkEnd w:id="11"/>
    </w:p>
    <w:p w:rsidR="00000000" w:rsidRDefault="003E6013">
      <w:pPr>
        <w:framePr w:hSpace="180" w:wrap="around" w:vAnchor="text" w:hAnchor="page" w:x="1348" w:y="685"/>
      </w:pPr>
      <w:r>
        <w:rPr>
          <w:noProof/>
        </w:rPr>
        <w:drawing>
          <wp:inline distT="0" distB="0" distL="0" distR="0">
            <wp:extent cx="796290" cy="527050"/>
            <wp:effectExtent l="19050" t="0" r="381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7"/>
                    <a:srcRect/>
                    <a:stretch>
                      <a:fillRect/>
                    </a:stretch>
                  </pic:blipFill>
                  <pic:spPr bwMode="auto">
                    <a:xfrm>
                      <a:off x="0" y="0"/>
                      <a:ext cx="796290" cy="527050"/>
                    </a:xfrm>
                    <a:prstGeom prst="rect">
                      <a:avLst/>
                    </a:prstGeom>
                    <a:noFill/>
                    <a:ln w="9525">
                      <a:noFill/>
                      <a:miter lim="800000"/>
                      <a:headEnd/>
                      <a:tailEnd/>
                    </a:ln>
                  </pic:spPr>
                </pic:pic>
              </a:graphicData>
            </a:graphic>
          </wp:inline>
        </w:drawing>
      </w:r>
    </w:p>
    <w:p w:rsidR="00000000" w:rsidRDefault="003E6013">
      <w:pPr>
        <w:pStyle w:val="textup"/>
      </w:pPr>
      <w:r>
        <w:rPr>
          <w:b/>
        </w:rPr>
        <w:t>Federal Grants Released</w:t>
      </w:r>
      <w:r>
        <w:tab/>
        <w:t>On February 15, the U.S. Department of Health and Human Services released $113.0 million in grants to states un</w:t>
      </w:r>
      <w:r>
        <w:t>der the new Family Caregiver Support Program.  The grants will be used by states to run programs that provide support, home and community-based services, and other assistance to families caring for elderly family members.  The Program was created under the</w:t>
      </w:r>
      <w:r>
        <w:t xml:space="preserve"> reauthorization of the federal Older Americans Act that President Clinton signed on November 13, 2000.  </w:t>
      </w:r>
    </w:p>
    <w:p w:rsidR="00000000" w:rsidRDefault="003E6013">
      <w:pPr>
        <w:pStyle w:val="textup"/>
      </w:pPr>
      <w:r>
        <w:rPr>
          <w:noProof/>
        </w:rPr>
        <w:drawing>
          <wp:anchor distT="0" distB="0" distL="114300" distR="114300" simplePos="0" relativeHeight="251659264" behindDoc="0" locked="0" layoutInCell="1" allowOverlap="1">
            <wp:simplePos x="0" y="0"/>
            <wp:positionH relativeFrom="column">
              <wp:posOffset>-1663065</wp:posOffset>
            </wp:positionH>
            <wp:positionV relativeFrom="paragraph">
              <wp:posOffset>462915</wp:posOffset>
            </wp:positionV>
            <wp:extent cx="828040" cy="602615"/>
            <wp:effectExtent l="19050" t="19050" r="10160" b="26035"/>
            <wp:wrapSquare wrapText="bothSides"/>
            <wp:docPr id="10"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8"/>
                    <a:srcRect/>
                    <a:stretch>
                      <a:fillRect/>
                    </a:stretch>
                  </pic:blipFill>
                  <pic:spPr bwMode="auto">
                    <a:xfrm>
                      <a:off x="0" y="0"/>
                      <a:ext cx="828040" cy="602615"/>
                    </a:xfrm>
                    <a:prstGeom prst="rect">
                      <a:avLst/>
                    </a:prstGeom>
                    <a:noFill/>
                    <a:ln w="6350">
                      <a:solidFill>
                        <a:srgbClr val="000000"/>
                      </a:solidFill>
                      <a:miter lim="800000"/>
                      <a:headEnd/>
                      <a:tailEnd/>
                    </a:ln>
                  </pic:spPr>
                </pic:pic>
              </a:graphicData>
            </a:graphic>
          </wp:anchor>
        </w:drawing>
      </w:r>
      <w:r>
        <w:rPr>
          <w:b/>
        </w:rPr>
        <w:t>Dept. of Elder Affairs</w:t>
      </w:r>
      <w:r>
        <w:tab/>
        <w:t>As a result of the new grant program, the Department of Elder Affairs will receive an allocation of $1.4 million.  The Departm</w:t>
      </w:r>
      <w:r>
        <w:t>ent will work closely with local area agencies on aging to develop and expand systems of support that are designed to ease the burden on family caregivers.  The eligible services that may be provided for this purpose include information and assistance in g</w:t>
      </w:r>
      <w:r>
        <w:t xml:space="preserve">aining access to services; counseling; support groups and caregiver training; respite care; and supplemental services such as home care, personal care, and adult day care on a limited basis. </w:t>
      </w:r>
    </w:p>
    <w:p w:rsidR="00000000" w:rsidRDefault="003E6013">
      <w:pPr>
        <w:pStyle w:val="textup"/>
      </w:pPr>
      <w:r>
        <w:rPr>
          <w:b/>
        </w:rPr>
        <w:t>Matching Funds Required</w:t>
      </w:r>
      <w:r>
        <w:tab/>
        <w:t>The funds require a 25% match and will b</w:t>
      </w:r>
      <w:r>
        <w:t>e expended in FY 2001.  In addition, the funds are provided with the condition that they cannot supplant current funding.  The distribution of these funds was based on a state’s relative number of elderly in need, taking into account age, poverty, minority</w:t>
      </w:r>
      <w:r>
        <w:t xml:space="preserve"> status, and the state’s capacity to meet those needs.  As a result, states with weak tax bases will receive more funding due to their inability to fund the needs of their elderly population from state resources.  </w:t>
      </w:r>
    </w:p>
    <w:p w:rsidR="00000000" w:rsidRDefault="003E6013">
      <w:pPr>
        <w:pStyle w:val="textup"/>
      </w:pPr>
      <w:r>
        <w:rPr>
          <w:b/>
        </w:rPr>
        <w:t>Use of Funds</w:t>
      </w:r>
      <w:r>
        <w:tab/>
        <w:t>States are allowed to use fu</w:t>
      </w:r>
      <w:r>
        <w:t xml:space="preserve">nds under the Family Caregiver Support Program for area plan administration.  The requirements for quality standards, data collection, reports, and maintenance of state and local efforts for caregiver support services were established and set forth in the </w:t>
      </w:r>
      <w:r>
        <w:t xml:space="preserve">reauthorized Older Americans Act.    </w:t>
      </w:r>
    </w:p>
    <w:p w:rsidR="00000000" w:rsidRDefault="003E6013">
      <w:pPr>
        <w:pStyle w:val="textup"/>
      </w:pPr>
      <w:r>
        <w:rPr>
          <w:b/>
        </w:rPr>
        <w:t>Program Background</w:t>
      </w:r>
      <w:r>
        <w:tab/>
        <w:t xml:space="preserve">The Family Caregiver Support Program is the largest new support program under the Title III Section of the Older Americans Act since Congress established nutritional programs to serve the elderly in </w:t>
      </w:r>
      <w:r>
        <w:t xml:space="preserve">1972.  </w:t>
      </w:r>
      <w:r>
        <w:lastRenderedPageBreak/>
        <w:t>The Section provides funding for state and community programs, with the three major state programs, including supportive services, congregate meals, and home-delivered meals.</w:t>
      </w:r>
    </w:p>
    <w:p w:rsidR="00000000" w:rsidRDefault="003E6013">
      <w:pPr>
        <w:pStyle w:val="Contactup"/>
      </w:pPr>
      <w:r>
        <w:t>STAFF CONTACT:  Lisa Burk (Ext. 16765)</w:t>
      </w:r>
    </w:p>
    <w:p w:rsidR="00000000" w:rsidRDefault="003E6013">
      <w:pPr>
        <w:pStyle w:val="Blurbtitle"/>
      </w:pPr>
      <w:bookmarkStart w:id="12" w:name="FU2MBMA"/>
      <w:r>
        <w:t>Transportation Equity Act for the 2</w:t>
      </w:r>
      <w:r>
        <w:t>1</w:t>
      </w:r>
      <w:r>
        <w:rPr>
          <w:vertAlign w:val="superscript"/>
        </w:rPr>
        <w:t>st</w:t>
      </w:r>
      <w:r>
        <w:t xml:space="preserve"> Century (TEA-21) Authorizes Federal Grants</w:t>
      </w:r>
      <w:bookmarkEnd w:id="12"/>
      <w:r>
        <w:t xml:space="preserve"> for safety programs</w:t>
      </w:r>
    </w:p>
    <w:p w:rsidR="00000000" w:rsidRDefault="003E6013">
      <w:pPr>
        <w:framePr w:hSpace="180" w:wrap="around" w:vAnchor="text" w:hAnchor="page" w:x="1168" w:y="653"/>
      </w:pPr>
      <w:r>
        <w:rPr>
          <w:noProof/>
        </w:rPr>
        <w:drawing>
          <wp:inline distT="0" distB="0" distL="0" distR="0">
            <wp:extent cx="796290" cy="527050"/>
            <wp:effectExtent l="19050" t="0" r="381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7"/>
                    <a:srcRect/>
                    <a:stretch>
                      <a:fillRect/>
                    </a:stretch>
                  </pic:blipFill>
                  <pic:spPr bwMode="auto">
                    <a:xfrm>
                      <a:off x="0" y="0"/>
                      <a:ext cx="796290" cy="527050"/>
                    </a:xfrm>
                    <a:prstGeom prst="rect">
                      <a:avLst/>
                    </a:prstGeom>
                    <a:noFill/>
                    <a:ln w="9525">
                      <a:noFill/>
                      <a:miter lim="800000"/>
                      <a:headEnd/>
                      <a:tailEnd/>
                    </a:ln>
                  </pic:spPr>
                </pic:pic>
              </a:graphicData>
            </a:graphic>
          </wp:inline>
        </w:drawing>
      </w:r>
    </w:p>
    <w:p w:rsidR="00000000" w:rsidRDefault="003E6013">
      <w:pPr>
        <w:pStyle w:val="textup"/>
      </w:pPr>
      <w:r>
        <w:rPr>
          <w:b/>
        </w:rPr>
        <w:t>Federal Grants</w:t>
      </w:r>
      <w:r>
        <w:tab/>
        <w:t xml:space="preserve">The Department of Transportation will receive $113,000 in federal funds to implement child passenger protection programs designed to prevent motor vehicle crash deaths and </w:t>
      </w:r>
      <w:r>
        <w:t xml:space="preserve">injuries to children.  The funds will be used to educate and train the public and child safety professionals on all aspects of child passenger safety, including the proper use and installation of child safety seats, booster seats, and seat belts.  </w:t>
      </w:r>
    </w:p>
    <w:p w:rsidR="00000000" w:rsidRDefault="003E6013">
      <w:pPr>
        <w:pStyle w:val="textup"/>
      </w:pPr>
      <w:r>
        <w:rPr>
          <w:b/>
        </w:rPr>
        <w:t>Increas</w:t>
      </w:r>
      <w:r>
        <w:rPr>
          <w:b/>
        </w:rPr>
        <w:t>e Seat Belt Use</w:t>
      </w:r>
      <w:r>
        <w:tab/>
        <w:t xml:space="preserve">The Department will also receive $304,000 in federal funds for finding creative new approaches to increase seat belt use.  The main focus will be on highly visible enforcement of seat belt laws, combined with public information.  </w:t>
      </w:r>
    </w:p>
    <w:p w:rsidR="00000000" w:rsidRDefault="003E6013">
      <w:pPr>
        <w:pStyle w:val="textup"/>
      </w:pPr>
      <w:r>
        <w:rPr>
          <w:b/>
        </w:rPr>
        <w:t>TEA-21 Le</w:t>
      </w:r>
      <w:r>
        <w:rPr>
          <w:b/>
        </w:rPr>
        <w:t>gislation</w:t>
      </w:r>
      <w:r>
        <w:tab/>
        <w:t xml:space="preserve">The grants are authorized by Section 2003(b) of TEA-21, which President Clinton signed into law on June 9, 1998.  The TEA-21 legislation provides for $500.0 million over five years for states to increase seat belt use, and another $700.0 million </w:t>
      </w:r>
      <w:r>
        <w:t>over six years for states to enact and enforce tough laws to prevent alcohol-impaired driving.</w:t>
      </w:r>
    </w:p>
    <w:p w:rsidR="00000000" w:rsidRDefault="003E6013">
      <w:pPr>
        <w:pStyle w:val="Contactup"/>
      </w:pPr>
      <w:r>
        <w:t xml:space="preserve">STAFF CONTACT:  Mary Beth Mellick (Ext. 18223)  </w:t>
      </w:r>
    </w:p>
    <w:p w:rsidR="00000000" w:rsidRDefault="003E6013">
      <w:pPr>
        <w:pStyle w:val="Blurbtitle"/>
      </w:pPr>
      <w:bookmarkStart w:id="13" w:name="FU2MASA"/>
      <w:r>
        <w:t>Board of Regents Meeting</w:t>
      </w:r>
      <w:bookmarkEnd w:id="13"/>
    </w:p>
    <w:p w:rsidR="00000000" w:rsidRDefault="003E6013">
      <w:pPr>
        <w:framePr w:w="534" w:h="1384" w:hRule="exact" w:hSpace="187" w:wrap="around" w:vAnchor="text" w:hAnchor="page" w:x="1348" w:y="749"/>
        <w:pBdr>
          <w:top w:val="single" w:sz="12" w:space="5" w:color="auto" w:shadow="1"/>
          <w:left w:val="single" w:sz="12" w:space="5" w:color="auto" w:shadow="1"/>
          <w:bottom w:val="single" w:sz="12" w:space="5" w:color="auto" w:shadow="1"/>
          <w:right w:val="single" w:sz="12" w:space="5" w:color="auto" w:shadow="1"/>
        </w:pBdr>
      </w:pPr>
      <w:r>
        <w:object w:dxaOrig="1140" w:dyaOrig="1860">
          <v:shape id="_x0000_i1063" type="#_x0000_t75" style="width:26.25pt;height:50.8pt" o:ole="">
            <v:imagedata r:id="rId39" o:title=""/>
          </v:shape>
          <o:OLEObject Type="Embed" ProgID="Word.Document.8" ShapeID="_x0000_i1063" DrawAspect="Content" ObjectID="_1315217489" r:id="rId40"/>
        </w:object>
      </w:r>
    </w:p>
    <w:p w:rsidR="00000000" w:rsidRDefault="003E6013">
      <w:pPr>
        <w:pStyle w:val="textup"/>
      </w:pPr>
      <w:r>
        <w:rPr>
          <w:b/>
        </w:rPr>
        <w:t>Board Meeting</w:t>
      </w:r>
      <w:r>
        <w:tab/>
        <w:t>The Board of Regents met on February 21 and 2</w:t>
      </w:r>
      <w:r>
        <w:t>2 in the Scheman Building at Iowa State University in Ames.  Significant agenda items included:</w:t>
      </w:r>
    </w:p>
    <w:p w:rsidR="00000000" w:rsidRDefault="003E6013">
      <w:pPr>
        <w:pStyle w:val="Bulletup"/>
      </w:pPr>
      <w:r>
        <w:t>Approved a new bachelor’s program in classical studies at Iowa State University (ISU).</w:t>
      </w:r>
    </w:p>
    <w:p w:rsidR="00000000" w:rsidRDefault="003E6013">
      <w:pPr>
        <w:pStyle w:val="Bulletup"/>
      </w:pPr>
      <w:r>
        <w:t>Received accreditation reports for the following programs at ISU:</w:t>
      </w:r>
    </w:p>
    <w:p w:rsidR="00000000" w:rsidRDefault="003E6013">
      <w:pPr>
        <w:pStyle w:val="Bulletup1"/>
      </w:pPr>
      <w:r>
        <w:t>College</w:t>
      </w:r>
      <w:r>
        <w:t xml:space="preserve"> of Business.</w:t>
      </w:r>
    </w:p>
    <w:p w:rsidR="00000000" w:rsidRDefault="003E6013">
      <w:pPr>
        <w:pStyle w:val="Bulletup1"/>
      </w:pPr>
      <w:r>
        <w:t>Doctoral Specialization in Marriage and Family Therapy.</w:t>
      </w:r>
    </w:p>
    <w:p w:rsidR="00000000" w:rsidRDefault="003E6013">
      <w:pPr>
        <w:pStyle w:val="Bulletup1"/>
      </w:pPr>
      <w:r>
        <w:t>Hotel, Restaurant, and Institutional Management.</w:t>
      </w:r>
    </w:p>
    <w:p w:rsidR="00000000" w:rsidRDefault="003E6013">
      <w:pPr>
        <w:pStyle w:val="Bulletup"/>
      </w:pPr>
      <w:r>
        <w:t>Met as Trustees of the University of Iowa Hospitals and Clinics to review the quarterly financial report and other issues.</w:t>
      </w:r>
    </w:p>
    <w:p w:rsidR="00000000" w:rsidRDefault="003E6013">
      <w:pPr>
        <w:pStyle w:val="textup"/>
        <w:spacing w:before="0" w:after="0"/>
      </w:pPr>
      <w:r>
        <w:rPr>
          <w:b/>
        </w:rPr>
        <w:t>Next Meeting</w:t>
      </w:r>
      <w:r>
        <w:tab/>
        <w:t>T</w:t>
      </w:r>
      <w:r>
        <w:t>he next meeting of the Board is scheduled for March 21 and 22 at the University of Northern Iowa in Cedar Falls.</w:t>
      </w:r>
    </w:p>
    <w:p w:rsidR="00000000" w:rsidRDefault="003E6013">
      <w:pPr>
        <w:pStyle w:val="Contactup"/>
      </w:pPr>
      <w:r>
        <w:t>STAFF CONTACT:  Mary Shipman (Ext. 14617)</w:t>
      </w:r>
    </w:p>
    <w:p w:rsidR="00000000" w:rsidRDefault="003E6013">
      <w:pPr>
        <w:pStyle w:val="Blurbtitle"/>
      </w:pPr>
      <w:bookmarkStart w:id="14" w:name="FU2MBMB"/>
      <w:bookmarkStart w:id="15" w:name="FU2LRBB"/>
      <w:r>
        <w:lastRenderedPageBreak/>
        <w:t>SENIOR LIVING COORDINATING UNIT MEETIN</w:t>
      </w:r>
      <w:bookmarkEnd w:id="15"/>
      <w:r>
        <w:t>G</w:t>
      </w:r>
    </w:p>
    <w:p w:rsidR="00000000" w:rsidRDefault="003E6013">
      <w:pPr>
        <w:pStyle w:val="textup"/>
      </w:pPr>
      <w:r>
        <w:rPr>
          <w:b/>
        </w:rPr>
        <w:t>Meeting Held</w:t>
      </w:r>
      <w:r>
        <w:tab/>
        <w:t>The Senior Living Coordinating Unit met February</w:t>
      </w:r>
      <w:r>
        <w:t xml:space="preserve"> 16 and conducted the following business: </w:t>
      </w:r>
    </w:p>
    <w:p w:rsidR="00000000" w:rsidRDefault="003E6013">
      <w:pPr>
        <w:framePr w:w="511" w:h="1003" w:hSpace="180" w:wrap="around" w:vAnchor="text" w:hAnchor="page" w:x="1535" w:y="808"/>
        <w:pBdr>
          <w:top w:val="single" w:sz="12" w:space="5" w:color="auto" w:shadow="1"/>
          <w:left w:val="single" w:sz="12" w:space="5" w:color="auto" w:shadow="1"/>
          <w:bottom w:val="single" w:sz="12" w:space="5" w:color="auto" w:shadow="1"/>
          <w:right w:val="single" w:sz="12" w:space="5" w:color="auto" w:shadow="1"/>
        </w:pBdr>
      </w:pPr>
      <w:r>
        <w:object w:dxaOrig="497" w:dyaOrig="617">
          <v:shape id="_x0000_i1044" type="#_x0000_t75" style="width:24.55pt;height:30.5pt" o:ole="">
            <v:imagedata r:id="rId23" o:title=""/>
          </v:shape>
          <o:OLEObject Type="Embed" ProgID="Word.Picture.8" ShapeID="_x0000_i1044" DrawAspect="Content" ObjectID="_1315217490" r:id="rId41"/>
        </w:object>
      </w:r>
    </w:p>
    <w:p w:rsidR="00000000" w:rsidRDefault="003E6013">
      <w:pPr>
        <w:pStyle w:val="textup"/>
        <w:rPr>
          <w:caps/>
        </w:rPr>
      </w:pPr>
      <w:r>
        <w:rPr>
          <w:b/>
        </w:rPr>
        <w:t>Iowa to Receive Grant</w:t>
      </w:r>
      <w:r>
        <w:tab/>
        <w:t xml:space="preserve">Beth Bahnson, Department of Elder Affairs, reported that Iowa is one of seven states that will receive a Robert Wood Johnson Coming Home System Change Grant.  The </w:t>
      </w:r>
      <w:r>
        <w:t>Department will receive a total of $300,000 in funds over a three-year period.  The grants will be used to fund two related projects, the first of which involves building Iowa’s capacity to provide affordable assisted living, primarily in rural areas.  The</w:t>
      </w:r>
      <w:r>
        <w:t xml:space="preserve"> second project will involve pilot monitoring for quality in the Assisted Living Services Program.  The Department will partner with several other governmental agencies and organizations in the aging network for the purpose of these projects.</w:t>
      </w:r>
    </w:p>
    <w:p w:rsidR="00000000" w:rsidRDefault="003E6013">
      <w:pPr>
        <w:pStyle w:val="textup"/>
      </w:pPr>
      <w:r>
        <w:rPr>
          <w:b/>
          <w:bCs/>
        </w:rPr>
        <w:t>Accountabilit</w:t>
      </w:r>
      <w:r>
        <w:rPr>
          <w:b/>
          <w:bCs/>
        </w:rPr>
        <w:t>y Measures</w:t>
      </w:r>
      <w:r>
        <w:tab/>
        <w:t>Cindy Haverkamp, Department of Human Services (DHS), reported on the progress of the development of nursing facility accountability measures.  She indicated that DHS is working with a subcommittee to develop these measures and process them for r</w:t>
      </w:r>
      <w:r>
        <w:t xml:space="preserve">eview and implementation.  In addition, the subcommittee is working on the process for scoring the measures. </w:t>
      </w:r>
    </w:p>
    <w:p w:rsidR="00000000" w:rsidRDefault="003E6013">
      <w:pPr>
        <w:framePr w:w="1041" w:h="865" w:hSpace="180" w:wrap="around" w:vAnchor="text" w:hAnchor="page" w:x="1535" w:y="755"/>
        <w:pBdr>
          <w:top w:val="single" w:sz="12" w:space="5" w:color="auto" w:shadow="1"/>
          <w:left w:val="single" w:sz="12" w:space="5" w:color="auto" w:shadow="1"/>
          <w:bottom w:val="single" w:sz="12" w:space="5" w:color="auto" w:shadow="1"/>
          <w:right w:val="single" w:sz="12" w:space="5" w:color="auto" w:shadow="1"/>
        </w:pBdr>
        <w:jc w:val="center"/>
      </w:pPr>
      <w:r>
        <w:rPr>
          <w:noProof/>
        </w:rPr>
        <w:drawing>
          <wp:inline distT="0" distB="0" distL="0" distR="0">
            <wp:extent cx="494665" cy="344170"/>
            <wp:effectExtent l="1905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a:srcRect/>
                    <a:stretch>
                      <a:fillRect/>
                    </a:stretch>
                  </pic:blipFill>
                  <pic:spPr bwMode="auto">
                    <a:xfrm>
                      <a:off x="0" y="0"/>
                      <a:ext cx="494665" cy="344170"/>
                    </a:xfrm>
                    <a:prstGeom prst="rect">
                      <a:avLst/>
                    </a:prstGeom>
                    <a:noFill/>
                    <a:ln w="9525">
                      <a:noFill/>
                      <a:miter lim="800000"/>
                      <a:headEnd/>
                      <a:tailEnd/>
                    </a:ln>
                  </pic:spPr>
                </pic:pic>
              </a:graphicData>
            </a:graphic>
          </wp:inline>
        </w:drawing>
      </w:r>
    </w:p>
    <w:p w:rsidR="00000000" w:rsidRDefault="003E6013">
      <w:pPr>
        <w:pStyle w:val="BodyText2"/>
        <w:framePr w:w="1041" w:wrap="around"/>
        <w:jc w:val="center"/>
      </w:pPr>
      <w:r>
        <w:t>Senior Living Program</w:t>
      </w:r>
    </w:p>
    <w:p w:rsidR="00000000" w:rsidRDefault="003E6013">
      <w:pPr>
        <w:pStyle w:val="textup"/>
        <w:rPr>
          <w:caps/>
        </w:rPr>
      </w:pPr>
      <w:r>
        <w:rPr>
          <w:b/>
        </w:rPr>
        <w:t>Senior Living Program</w:t>
      </w:r>
      <w:r>
        <w:tab/>
        <w:t>Greg Anliker, Department of Elder Affairs, reported on Senior Living Program data for the second qua</w:t>
      </w:r>
      <w:r>
        <w:t xml:space="preserve">rter of FY 2001.  The data reflected that 1,719 elderly persons received unduplicated services as a result of the Senior Living Program from October to December 2000.  Mr. Anliker noted these are individuals who would not have received services or not the </w:t>
      </w:r>
      <w:r>
        <w:t>same level of service without the home and community-based services provided through the Senior Living Program.  In addition, Mr. Anliker presented a report for December 2000 that reflected the unmet needs of clients who receive services as a result of the</w:t>
      </w:r>
      <w:r>
        <w:t xml:space="preserve"> Senior Living Program.  The report indicated that a lack of service providers continues to be a challenge and is a contributing factor in terms of the unmet needs of clients.     </w:t>
      </w:r>
    </w:p>
    <w:p w:rsidR="00000000" w:rsidRDefault="003E6013">
      <w:pPr>
        <w:pStyle w:val="textup"/>
      </w:pPr>
      <w:r>
        <w:rPr>
          <w:b/>
        </w:rPr>
        <w:t>Adult Day Care/Respite Care</w:t>
      </w:r>
      <w:r>
        <w:tab/>
        <w:t>Joel Wulf, Department of Elder Affairs, gave an</w:t>
      </w:r>
      <w:r>
        <w:t xml:space="preserve"> update on adult day services and respite care in the State.  Mr. Wulf noted there are 54 existing providers and 27 new providers approved under the DHS conversion process.  Since a mechanism for oversight and consumer complaint investigation for adult day</w:t>
      </w:r>
      <w:r>
        <w:t xml:space="preserve"> service providers does not exist, the Department of Elder Affairs is proposing legislation to establish a system of this nature.  A work group has been established and will continue to work collaboratively toward this resolution.  </w:t>
      </w:r>
    </w:p>
    <w:p w:rsidR="00000000" w:rsidRDefault="003E6013">
      <w:pPr>
        <w:pStyle w:val="textup"/>
      </w:pPr>
      <w:r>
        <w:rPr>
          <w:b/>
        </w:rPr>
        <w:t>Older Americans Act</w:t>
      </w:r>
      <w:r>
        <w:tab/>
        <w:t>Jud</w:t>
      </w:r>
      <w:r>
        <w:t>y Conlin, Department of Elder Affairs, reported that Congress reauthorized the federal Older Americans Act in October 2000.  As a result of the reauthorization, the Family Caregiver Support Program was created under Title III-E, which will provide grant fu</w:t>
      </w:r>
      <w:r>
        <w:t xml:space="preserve">nding to states in the amount of $113 million.  The Department of Elder Affairs will receive Iowa’s allocation in the amount of $1.4 million, which will be used to provide services to families caring for elderly family members.  It was </w:t>
      </w:r>
      <w:r>
        <w:lastRenderedPageBreak/>
        <w:t>noted that these fun</w:t>
      </w:r>
      <w:r>
        <w:t>ds will be used to expand services and cannot be used to supplant other funds.</w:t>
      </w:r>
    </w:p>
    <w:p w:rsidR="00000000" w:rsidRDefault="003E6013">
      <w:pPr>
        <w:framePr w:w="796" w:h="865" w:hSpace="180" w:wrap="around" w:vAnchor="text" w:hAnchor="page" w:x="1535" w:y="62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4665" cy="333375"/>
            <wp:effectExtent l="19050" t="0" r="63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a:srcRect/>
                    <a:stretch>
                      <a:fillRect/>
                    </a:stretch>
                  </pic:blipFill>
                  <pic:spPr bwMode="auto">
                    <a:xfrm>
                      <a:off x="0" y="0"/>
                      <a:ext cx="494665" cy="333375"/>
                    </a:xfrm>
                    <a:prstGeom prst="rect">
                      <a:avLst/>
                    </a:prstGeom>
                    <a:noFill/>
                    <a:ln w="9525">
                      <a:noFill/>
                      <a:miter lim="800000"/>
                      <a:headEnd/>
                      <a:tailEnd/>
                    </a:ln>
                  </pic:spPr>
                </pic:pic>
              </a:graphicData>
            </a:graphic>
          </wp:inline>
        </w:drawing>
      </w:r>
    </w:p>
    <w:p w:rsidR="00000000" w:rsidRDefault="003E6013">
      <w:pPr>
        <w:pStyle w:val="textup"/>
      </w:pPr>
      <w:r>
        <w:rPr>
          <w:b/>
        </w:rPr>
        <w:t>Immigration Workforce Sub.</w:t>
      </w:r>
      <w:r>
        <w:tab/>
        <w:t>Ms. Conlin also provided an update on the formation of an Immigration Workforce subcommittee.  The subcommittee has been formed to study and plan fo</w:t>
      </w:r>
      <w:r>
        <w:t>r the inclusion of immigrants in the elder care workforce, and the first meeting was held February 8.  Subcommittee participants include representatives from the Department of Elder Affairs, the Iowa Caregivers Association, Aging Resources of Central Iowa,</w:t>
      </w:r>
      <w:r>
        <w:t xml:space="preserve"> Hawkeye Valley Area Agency on Aging, and the Iowa Health Care Association.  The Department of Economic Development has also been invited to participate.  </w:t>
      </w:r>
    </w:p>
    <w:p w:rsidR="00000000" w:rsidRDefault="003E6013">
      <w:pPr>
        <w:pStyle w:val="Contactup"/>
      </w:pPr>
      <w:r>
        <w:t xml:space="preserve"> STAFF CONTACT:  Lisa Burk (Ext. 16765)</w:t>
      </w:r>
    </w:p>
    <w:p w:rsidR="00000000" w:rsidRDefault="003E6013">
      <w:pPr>
        <w:pStyle w:val="Blurbtitle"/>
      </w:pPr>
      <w:r>
        <w:t>Commission Approves Applications for the City of Denison</w:t>
      </w:r>
      <w:bookmarkEnd w:id="14"/>
    </w:p>
    <w:p w:rsidR="00000000" w:rsidRDefault="003E6013">
      <w:pPr>
        <w:framePr w:w="501" w:h="1159" w:hSpace="180" w:wrap="around" w:vAnchor="text" w:hAnchor="page" w:x="1535" w:y="440"/>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94665"/>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44"/>
                    <a:srcRect/>
                    <a:stretch>
                      <a:fillRect/>
                    </a:stretch>
                  </pic:blipFill>
                  <pic:spPr bwMode="auto">
                    <a:xfrm>
                      <a:off x="0" y="0"/>
                      <a:ext cx="311785" cy="494665"/>
                    </a:xfrm>
                    <a:prstGeom prst="rect">
                      <a:avLst/>
                    </a:prstGeom>
                    <a:noFill/>
                    <a:ln w="9525">
                      <a:noFill/>
                      <a:miter lim="800000"/>
                      <a:headEnd/>
                      <a:tailEnd/>
                    </a:ln>
                  </pic:spPr>
                </pic:pic>
              </a:graphicData>
            </a:graphic>
          </wp:inline>
        </w:drawing>
      </w:r>
    </w:p>
    <w:p w:rsidR="00000000" w:rsidRDefault="003E6013">
      <w:pPr>
        <w:pStyle w:val="textup"/>
      </w:pPr>
      <w:r>
        <w:rPr>
          <w:b/>
        </w:rPr>
        <w:t>D</w:t>
      </w:r>
      <w:r>
        <w:rPr>
          <w:b/>
        </w:rPr>
        <w:t xml:space="preserve">enison RISE Grant  </w:t>
      </w:r>
      <w:r>
        <w:tab/>
        <w:t>On January 9, the Department of Transportation (DOT) Commission approved the Revitalize Iowa’s Sound Economy (RISE) Immediate Opportunity grant and Rail Economic Development grant for the City of Denison.  Both grants are necessary to i</w:t>
      </w:r>
      <w:r>
        <w:t xml:space="preserve">mprove access to a proposed new Mechanized Distribution Services facility in Denison.  </w:t>
      </w:r>
    </w:p>
    <w:p w:rsidR="00000000" w:rsidRDefault="003E6013">
      <w:pPr>
        <w:pStyle w:val="textup"/>
      </w:pPr>
      <w:r>
        <w:rPr>
          <w:b/>
          <w:bCs/>
        </w:rPr>
        <w:t>Commission Approved</w:t>
      </w:r>
      <w:r>
        <w:tab/>
        <w:t>Under the RISE Immediate Opportunity grant, the Commission approved $300,000 to relocate approximately 1,050 feet and widen approximately 650 feet o</w:t>
      </w:r>
      <w:r>
        <w:t xml:space="preserve">f Industrial Drive in Denison.  The Commission approved $100,000 under the Rail Economic Development grant to construct a rail spur on the Canadian National Railroad in Denison.  </w:t>
      </w:r>
    </w:p>
    <w:p w:rsidR="00000000" w:rsidRDefault="003E6013">
      <w:pPr>
        <w:pStyle w:val="textup"/>
      </w:pPr>
      <w:r>
        <w:rPr>
          <w:b/>
        </w:rPr>
        <w:t>Economic Impact</w:t>
      </w:r>
      <w:r>
        <w:tab/>
        <w:t>According to the City, both projects will assist in the foll</w:t>
      </w:r>
      <w:r>
        <w:t>owing:</w:t>
      </w:r>
    </w:p>
    <w:p w:rsidR="00000000" w:rsidRDefault="003E6013">
      <w:pPr>
        <w:pStyle w:val="Bulletup"/>
      </w:pPr>
      <w:r>
        <w:t>The creation of 110 new jobs at Mechanized Distribution Services.</w:t>
      </w:r>
    </w:p>
    <w:p w:rsidR="00000000" w:rsidRDefault="003E6013">
      <w:pPr>
        <w:pStyle w:val="Bulletup"/>
      </w:pPr>
      <w:r>
        <w:t>$23.9 million in associated capital investments.</w:t>
      </w:r>
    </w:p>
    <w:p w:rsidR="00000000" w:rsidRDefault="003E6013">
      <w:pPr>
        <w:pStyle w:val="textup"/>
      </w:pPr>
      <w:r>
        <w:rPr>
          <w:b/>
        </w:rPr>
        <w:t>Road Project - Local Partic.</w:t>
      </w:r>
      <w:r>
        <w:tab/>
        <w:t>The City proposes $120,000 local participation (28.0%) in the $430,000 road project.  The RISE cost per j</w:t>
      </w:r>
      <w:r>
        <w:t>ob assisted will be $3,000, and there will be a total capital investment of $80 for each RISE dollar requested.</w:t>
      </w:r>
    </w:p>
    <w:p w:rsidR="00000000" w:rsidRDefault="003E6013"/>
    <w:p w:rsidR="00000000" w:rsidRDefault="003E6013">
      <w:pPr>
        <w:framePr w:w="797" w:h="865" w:hSpace="180" w:wrap="around" w:vAnchor="text" w:hAnchor="page" w:x="1535" w:y="572"/>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4665" cy="419735"/>
            <wp:effectExtent l="19050" t="0" r="635" b="0"/>
            <wp:docPr id="24" name="Picture 24" descr="D:\Clipart\Trans\Trancomm\TRAIN002.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D:\Clipart\Trans\Trancomm\TRAIN002.WMF"/>
                    <pic:cNvPicPr>
                      <a:picLocks noChangeAspect="1" noChangeArrowheads="1"/>
                    </pic:cNvPicPr>
                  </pic:nvPicPr>
                  <pic:blipFill>
                    <a:blip r:embed="rId45"/>
                    <a:srcRect/>
                    <a:stretch>
                      <a:fillRect/>
                    </a:stretch>
                  </pic:blipFill>
                  <pic:spPr bwMode="auto">
                    <a:xfrm>
                      <a:off x="0" y="0"/>
                      <a:ext cx="494665" cy="419735"/>
                    </a:xfrm>
                    <a:prstGeom prst="rect">
                      <a:avLst/>
                    </a:prstGeom>
                    <a:noFill/>
                    <a:ln w="9525">
                      <a:noFill/>
                      <a:miter lim="800000"/>
                      <a:headEnd/>
                      <a:tailEnd/>
                    </a:ln>
                  </pic:spPr>
                </pic:pic>
              </a:graphicData>
            </a:graphic>
          </wp:inline>
        </w:drawing>
      </w:r>
    </w:p>
    <w:p w:rsidR="00000000" w:rsidRDefault="003E6013">
      <w:pPr>
        <w:pStyle w:val="textup"/>
      </w:pPr>
      <w:r>
        <w:rPr>
          <w:b/>
        </w:rPr>
        <w:t>Rail Project – Local Partic.</w:t>
      </w:r>
      <w:r>
        <w:tab/>
        <w:t>The City proposes $100,000 local participation (50.0%) in the $200,000 rail project.  The Rail Economic Developm</w:t>
      </w:r>
      <w:r>
        <w:t>ent cost per job assisted will be $900, and there will be a total capital investment of $240 for each Rail Economic Development dollar requested.</w:t>
      </w:r>
    </w:p>
    <w:p w:rsidR="00000000" w:rsidRDefault="003E6013">
      <w:pPr>
        <w:pStyle w:val="Contactup"/>
      </w:pPr>
      <w:r>
        <w:t xml:space="preserve">STAFF CONTACT:  Mary Beth Mellick (Ext. 18223)  </w:t>
      </w:r>
    </w:p>
    <w:p w:rsidR="00000000" w:rsidRDefault="003E6013">
      <w:pPr>
        <w:pStyle w:val="Blurbtitle"/>
      </w:pPr>
      <w:bookmarkStart w:id="16" w:name="FU2LRBC"/>
      <w:bookmarkStart w:id="17" w:name="FU2MBMC"/>
      <w:r>
        <w:t>Department of Transportation in Short Supply of Salt</w:t>
      </w:r>
      <w:bookmarkEnd w:id="17"/>
    </w:p>
    <w:p w:rsidR="00000000" w:rsidRDefault="003E6013">
      <w:pPr>
        <w:pStyle w:val="textup"/>
      </w:pPr>
      <w:r>
        <w:rPr>
          <w:b/>
        </w:rPr>
        <w:t>State Sa</w:t>
      </w:r>
      <w:r>
        <w:rPr>
          <w:b/>
        </w:rPr>
        <w:t>lt Supply</w:t>
      </w:r>
      <w:r>
        <w:tab/>
        <w:t xml:space="preserve">On February 21, Mark Wandro, Director of the Department of Transportation (DOT), spoke with the Senate Transportation Standing </w:t>
      </w:r>
      <w:r>
        <w:lastRenderedPageBreak/>
        <w:t>Committee concerning the increasing depletion of the State’s salt supply.  Mr. Wandro said the DOT uses about 20,000 to</w:t>
      </w:r>
      <w:r>
        <w:t>ns of salt during a severe winter storm.  According to a DOT press release two weeks ago, the total salt supply was exhausted to approximately 35,000 tons.  Since then, however, the DOT has received another supply, and has a total of 50,000 tons in reserve</w:t>
      </w:r>
      <w:r>
        <w:t xml:space="preserve">.  </w:t>
      </w:r>
    </w:p>
    <w:p w:rsidR="00000000" w:rsidRDefault="003E6013">
      <w:pPr>
        <w:pStyle w:val="textup"/>
      </w:pPr>
      <w:r>
        <w:rPr>
          <w:b/>
          <w:noProof/>
        </w:rPr>
        <w:pict>
          <v:shape id="_x0000_s1039" type="#_x0000_t202" style="position:absolute;margin-left:-112.95pt;margin-top:-65.3pt;width:57.75pt;height:50.55pt;z-index:251660288">
            <v:textbox>
              <w:txbxContent>
                <w:p w:rsidR="00000000" w:rsidRDefault="003E6013">
                  <w:r>
                    <w:rPr>
                      <w:noProof/>
                    </w:rPr>
                    <w:drawing>
                      <wp:inline distT="0" distB="0" distL="0" distR="0">
                        <wp:extent cx="537845" cy="537845"/>
                        <wp:effectExtent l="19050" t="0" r="0" b="0"/>
                        <wp:docPr id="26" name="Picture 26" descr="C:\My Documents\W8-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My Documents\W8-5.gif"/>
                                <pic:cNvPicPr>
                                  <a:picLocks noChangeAspect="1" noChangeArrowheads="1"/>
                                </pic:cNvPicPr>
                              </pic:nvPicPr>
                              <pic:blipFill>
                                <a:blip r:embed="rId46"/>
                                <a:srcRect/>
                                <a:stretch>
                                  <a:fillRect/>
                                </a:stretch>
                              </pic:blipFill>
                              <pic:spPr bwMode="auto">
                                <a:xfrm>
                                  <a:off x="0" y="0"/>
                                  <a:ext cx="537845" cy="537845"/>
                                </a:xfrm>
                                <a:prstGeom prst="rect">
                                  <a:avLst/>
                                </a:prstGeom>
                                <a:noFill/>
                                <a:ln w="9525">
                                  <a:noFill/>
                                  <a:miter lim="800000"/>
                                  <a:headEnd/>
                                  <a:tailEnd/>
                                </a:ln>
                              </pic:spPr>
                            </pic:pic>
                          </a:graphicData>
                        </a:graphic>
                      </wp:inline>
                    </w:drawing>
                  </w:r>
                </w:p>
              </w:txbxContent>
            </v:textbox>
          </v:shape>
        </w:pict>
      </w:r>
      <w:r>
        <w:rPr>
          <w:b/>
        </w:rPr>
        <w:t>Increased Use &amp; Cost</w:t>
      </w:r>
      <w:r>
        <w:tab/>
        <w:t>The press release also stated that the DOT has used 205,000 tons of salt to date – a record level.  The DOT has ordered an additional 85,000 tons, but deliveries are not arriving as quickly as needed.  In addition, the cost of sal</w:t>
      </w:r>
      <w:r>
        <w:t xml:space="preserve">t has increased from $33 to $80 per ton.  The increase in cost is primarily attributable to a shortage in salt supplies and the salt transportation costs associated with rising fuel prices.  </w:t>
      </w:r>
    </w:p>
    <w:p w:rsidR="00000000" w:rsidRDefault="003E6013">
      <w:pPr>
        <w:pStyle w:val="textup"/>
      </w:pPr>
      <w:r>
        <w:rPr>
          <w:b/>
        </w:rPr>
        <w:t>May Need New Policy</w:t>
      </w:r>
      <w:r>
        <w:tab/>
        <w:t>Mr. Wandro stated that if the situation beco</w:t>
      </w:r>
      <w:r>
        <w:t>mes critical, a new policy will be implemented that will necessitate using 50.0% salt and 50.0% sand on interstates, and 30.0% salt and 70.0% sand on two-lane roads.</w:t>
      </w:r>
    </w:p>
    <w:p w:rsidR="00000000" w:rsidRDefault="003E6013">
      <w:pPr>
        <w:pStyle w:val="Contactup"/>
      </w:pPr>
      <w:r>
        <w:t>STAFF CONTACT:  Mary Beth Mellick (Ext. 18223)</w:t>
      </w:r>
    </w:p>
    <w:p w:rsidR="00000000" w:rsidRDefault="003E6013">
      <w:pPr>
        <w:pStyle w:val="Blurbtitle"/>
      </w:pPr>
      <w:r>
        <w:t xml:space="preserve">REQUIRED REPORT RECEIVED BY THE HEALTH AND </w:t>
      </w:r>
      <w:r>
        <w:t>HUMAN RIGHTS APPROPRIATIONS SUBCOMMITTEE</w:t>
      </w:r>
      <w:bookmarkEnd w:id="16"/>
    </w:p>
    <w:p w:rsidR="00000000" w:rsidRDefault="003E6013">
      <w:pPr>
        <w:framePr w:w="943" w:h="916" w:hSpace="180" w:wrap="around" w:vAnchor="text" w:hAnchor="page" w:x="1168" w:y="445"/>
      </w:pPr>
      <w:r>
        <w:object w:dxaOrig="1080" w:dyaOrig="941">
          <v:shape id="_x0000_i1049" type="#_x0000_t75" style="width:44.9pt;height:33.05pt" o:ole="">
            <v:imagedata r:id="rId47" o:title=""/>
          </v:shape>
          <o:OLEObject Type="Embed" ProgID="Word.Picture.8" ShapeID="_x0000_i1049" DrawAspect="Content" ObjectID="_1315217491" r:id="rId48"/>
        </w:object>
      </w:r>
    </w:p>
    <w:p w:rsidR="00000000" w:rsidRDefault="003E6013">
      <w:pPr>
        <w:pStyle w:val="textup"/>
      </w:pPr>
      <w:r>
        <w:rPr>
          <w:b/>
        </w:rPr>
        <w:t>Report Received</w:t>
      </w:r>
      <w:r>
        <w:tab/>
        <w:t>A report from the Department of Human Rights, Division of Criminal and Juvenile Justice Planning, required in Section 232.190, SF 2429 (FY 2001 Health and Human Rights App</w:t>
      </w:r>
      <w:r>
        <w:t>ropriations Act) has been received.</w:t>
      </w:r>
    </w:p>
    <w:p w:rsidR="00000000" w:rsidRDefault="003E6013">
      <w:pPr>
        <w:pStyle w:val="textup"/>
      </w:pPr>
      <w:r>
        <w:rPr>
          <w:b/>
        </w:rPr>
        <w:t>Juvenile Justice</w:t>
      </w:r>
      <w:r>
        <w:tab/>
        <w:t>The report, Fiscal Year 2001 Program Summary of Juvenile Justice Youth Development Allocation Funding and Juvenile Accountability Incentive Block Grant Funding to Cities and Counties, outlines the progra</w:t>
      </w:r>
      <w:r>
        <w:t xml:space="preserve">m performance measures and effectiveness of services and activities through the Community Grant Fund.  </w:t>
      </w:r>
    </w:p>
    <w:p w:rsidR="00000000" w:rsidRDefault="003E6013">
      <w:pPr>
        <w:pStyle w:val="textup"/>
      </w:pPr>
      <w:r>
        <w:rPr>
          <w:b/>
        </w:rPr>
        <w:t>Copies Available</w:t>
      </w:r>
      <w:r>
        <w:tab/>
        <w:t>The report was submitted on time and copies are available from the Legislative Fiscal Bureau.</w:t>
      </w:r>
    </w:p>
    <w:p w:rsidR="00000000" w:rsidRDefault="003E6013">
      <w:pPr>
        <w:pStyle w:val="Contactup"/>
      </w:pPr>
      <w:r>
        <w:t>STAFF CONTACT:  Lisa Burk (Ext. 16765)</w:t>
      </w:r>
    </w:p>
    <w:p w:rsidR="00000000" w:rsidRDefault="003E6013">
      <w:pPr>
        <w:pStyle w:val="Blurbtitle"/>
      </w:pPr>
    </w:p>
    <w:p w:rsidR="00000000" w:rsidRDefault="003E6013">
      <w:pPr>
        <w:pStyle w:val="Blurbtitle"/>
      </w:pPr>
      <w:r>
        <w:br w:type="page"/>
      </w:r>
      <w:r>
        <w:lastRenderedPageBreak/>
        <w:t>LOTTERY REVENUES AND EXPENDITURES THROUGH January</w:t>
      </w:r>
    </w:p>
    <w:p w:rsidR="00000000" w:rsidRDefault="003E6013">
      <w:pPr>
        <w:framePr w:w="949" w:h="1006" w:hSpace="180" w:wrap="auto" w:vAnchor="text" w:hAnchor="page" w:x="1362" w:y="1043"/>
        <w:pBdr>
          <w:top w:val="single" w:sz="12" w:space="5" w:color="auto" w:shadow="1"/>
          <w:left w:val="single" w:sz="12" w:space="5" w:color="auto" w:shadow="1"/>
          <w:bottom w:val="single" w:sz="12" w:space="5" w:color="auto" w:shadow="1"/>
          <w:right w:val="single" w:sz="12" w:space="5" w:color="auto" w:shadow="1"/>
        </w:pBdr>
      </w:pPr>
      <w:r>
        <w:object w:dxaOrig="960" w:dyaOrig="840">
          <v:shape id="_x0000_i1051" type="#_x0000_t75" style="width:47.45pt;height:41.5pt" o:ole="" fillcolor="window">
            <v:imagedata r:id="rId49" o:title=""/>
          </v:shape>
          <o:OLEObject Type="Embed" ProgID="Word.Picture.8" ShapeID="_x0000_i1051" DrawAspect="Content" ObjectID="_1315217492" r:id="rId50"/>
        </w:object>
      </w:r>
    </w:p>
    <w:p w:rsidR="00000000" w:rsidRDefault="003E6013">
      <w:pPr>
        <w:pStyle w:val="textup"/>
      </w:pPr>
      <w:r>
        <w:rPr>
          <w:noProof/>
        </w:rPr>
        <w:drawing>
          <wp:anchor distT="0" distB="0" distL="114300" distR="114300" simplePos="0" relativeHeight="251655168" behindDoc="0" locked="0" layoutInCell="1" allowOverlap="1">
            <wp:simplePos x="0" y="0"/>
            <wp:positionH relativeFrom="column">
              <wp:posOffset>51435</wp:posOffset>
            </wp:positionH>
            <wp:positionV relativeFrom="paragraph">
              <wp:posOffset>1036320</wp:posOffset>
            </wp:positionV>
            <wp:extent cx="4229100" cy="2940050"/>
            <wp:effectExtent l="0" t="0" r="0" b="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1"/>
                    <a:srcRect/>
                    <a:stretch>
                      <a:fillRect/>
                    </a:stretch>
                  </pic:blipFill>
                  <pic:spPr bwMode="auto">
                    <a:xfrm>
                      <a:off x="0" y="0"/>
                      <a:ext cx="4229100" cy="2940050"/>
                    </a:xfrm>
                    <a:prstGeom prst="rect">
                      <a:avLst/>
                    </a:prstGeom>
                    <a:noFill/>
                  </pic:spPr>
                </pic:pic>
              </a:graphicData>
            </a:graphic>
          </wp:anchor>
        </w:drawing>
      </w:r>
      <w:r>
        <w:t xml:space="preserve"> </w:t>
      </w:r>
      <w:r>
        <w:rPr>
          <w:b/>
          <w:bCs/>
        </w:rPr>
        <w:t>January Rev./Exp.</w:t>
      </w:r>
      <w:r>
        <w:tab/>
        <w:t>Through January, FY 2001 Lottery game revenues increased $3.2 million from the FY 2000 level.  Lottery prize expenses increased $1.9 million, operating expense</w:t>
      </w:r>
      <w:r>
        <w:t>s increased $1.6 million, and transfers to State funds decreased $824,000.  The following table details revenues, expenditures, and balances of the State Lottery.  Rows and columns may not add, due to rounding.</w:t>
      </w:r>
    </w:p>
    <w:p w:rsidR="00000000" w:rsidRDefault="003E6013">
      <w:pPr>
        <w:pStyle w:val="textup"/>
      </w:pPr>
      <w:r>
        <w:rPr>
          <w:b/>
          <w:bCs/>
        </w:rPr>
        <w:t>Comparison to FY 2000</w:t>
      </w:r>
      <w:r>
        <w:tab/>
        <w:t>Fiscal year sales throu</w:t>
      </w:r>
      <w:r>
        <w:t>gh January, compared to the same time period of FY 2000, were as follows:</w:t>
      </w:r>
    </w:p>
    <w:p w:rsidR="00000000" w:rsidRDefault="003E6013">
      <w:pPr>
        <w:pStyle w:val="Bulletup"/>
        <w:spacing w:after="120"/>
      </w:pPr>
      <w:r>
        <w:t>Instant ticket sales decreased $3.4 million (6.9%).</w:t>
      </w:r>
    </w:p>
    <w:p w:rsidR="00000000" w:rsidRDefault="003E6013">
      <w:pPr>
        <w:framePr w:hSpace="180" w:wrap="auto" w:vAnchor="text" w:hAnchor="page" w:x="1522" w:y="25"/>
      </w:pPr>
      <w:r>
        <w:rPr>
          <w:noProof/>
        </w:rPr>
        <w:drawing>
          <wp:inline distT="0" distB="0" distL="0" distR="0">
            <wp:extent cx="602615" cy="527050"/>
            <wp:effectExtent l="19050" t="0" r="6985"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2"/>
                    <a:srcRect/>
                    <a:stretch>
                      <a:fillRect/>
                    </a:stretch>
                  </pic:blipFill>
                  <pic:spPr bwMode="auto">
                    <a:xfrm>
                      <a:off x="0" y="0"/>
                      <a:ext cx="602615" cy="527050"/>
                    </a:xfrm>
                    <a:prstGeom prst="rect">
                      <a:avLst/>
                    </a:prstGeom>
                    <a:noFill/>
                    <a:ln w="9525">
                      <a:noFill/>
                      <a:miter lim="800000"/>
                      <a:headEnd/>
                      <a:tailEnd/>
                    </a:ln>
                  </pic:spPr>
                </pic:pic>
              </a:graphicData>
            </a:graphic>
          </wp:inline>
        </w:drawing>
      </w:r>
    </w:p>
    <w:p w:rsidR="00000000" w:rsidRDefault="003E6013">
      <w:pPr>
        <w:pStyle w:val="Bulletup"/>
        <w:spacing w:after="120"/>
      </w:pPr>
      <w:r>
        <w:t>Pick 3 sales increased $26,000 (1.2%).</w:t>
      </w:r>
    </w:p>
    <w:p w:rsidR="00000000" w:rsidRDefault="003E6013">
      <w:pPr>
        <w:pStyle w:val="Bulletup"/>
        <w:spacing w:after="120"/>
      </w:pPr>
      <w:r>
        <w:t>Multi-State Powerball sales increased $6.8 million (33.0%).</w:t>
      </w:r>
    </w:p>
    <w:p w:rsidR="00000000" w:rsidRDefault="003E6013">
      <w:pPr>
        <w:pStyle w:val="Bulletup"/>
        <w:spacing w:after="120"/>
      </w:pPr>
      <w:r>
        <w:t>Cash 4 Life sales decreased $</w:t>
      </w:r>
      <w:r>
        <w:t>1.4 million (73.9%).</w:t>
      </w:r>
    </w:p>
    <w:p w:rsidR="00000000" w:rsidRDefault="003E6013">
      <w:pPr>
        <w:pStyle w:val="Bulletup"/>
        <w:spacing w:after="120"/>
      </w:pPr>
      <w:r>
        <w:t>Daily Game sales decreased $331,000 (12.1%).</w:t>
      </w:r>
    </w:p>
    <w:p w:rsidR="00000000" w:rsidRDefault="003E6013">
      <w:pPr>
        <w:pStyle w:val="Bulletup"/>
        <w:spacing w:after="120"/>
      </w:pPr>
      <w:r>
        <w:t>Pull-tab sales decreased $245,000 (1.6%).</w:t>
      </w:r>
    </w:p>
    <w:p w:rsidR="00000000" w:rsidRDefault="003E6013">
      <w:pPr>
        <w:pStyle w:val="textup"/>
      </w:pPr>
      <w:r>
        <w:rPr>
          <w:b/>
          <w:bCs/>
        </w:rPr>
        <w:t>Ticket Sales</w:t>
      </w:r>
      <w:r>
        <w:tab/>
        <w:t>Total Lottery sales through January were $95.4 million, an increase of $3.2 million (3.4%) compared to January 2000.  July through Janu</w:t>
      </w:r>
      <w:r>
        <w:t>ary 2000 sales for Pick 3 and Powerball were above sales for the same period during FY 2000.  Freeplay Replay, which was not offered until March of 2000, had sales through January of $0.5 million, and Rolldown, which was not offered until September of 2000</w:t>
      </w:r>
      <w:r>
        <w:t>, had sales through January of $1.3 million.</w:t>
      </w:r>
    </w:p>
    <w:p w:rsidR="00000000" w:rsidRDefault="003E6013">
      <w:pPr>
        <w:pStyle w:val="textup"/>
      </w:pPr>
      <w:r>
        <w:rPr>
          <w:b/>
          <w:bCs/>
        </w:rPr>
        <w:t>Estimated Transfers</w:t>
      </w:r>
      <w:r>
        <w:tab/>
        <w:t xml:space="preserve">The December Revenue Estimating Conference (REC) projected FY 2001 Lottery profit transfers to the General Fund will total $32.5 million.  </w:t>
      </w:r>
      <w:r>
        <w:lastRenderedPageBreak/>
        <w:t>Actual profit transfer for FY 2000 was $35.7 million</w:t>
      </w:r>
      <w:r>
        <w:t>.  Therefore, the REC is currently estimating General Fund Lottery transfers will be $3.2 million (9.0%) lower in FY 2001 than in FY 2000.  Through January, FY 2001 transfers to the General Fund are $834,000 (4.1%) below FY 2000.</w:t>
      </w:r>
    </w:p>
    <w:p w:rsidR="00000000" w:rsidRDefault="003E6013">
      <w:pPr>
        <w:pStyle w:val="textup"/>
      </w:pPr>
      <w:r>
        <w:rPr>
          <w:b/>
          <w:bCs/>
        </w:rPr>
        <w:t>Sales Tax</w:t>
      </w:r>
      <w:r>
        <w:tab/>
        <w:t>In addition to t</w:t>
      </w:r>
      <w:r>
        <w:t>he amount transferred to the State as profits, the Lottery has transferred $4.8 million in sales tax during FY 2001.</w:t>
      </w:r>
    </w:p>
    <w:p w:rsidR="00000000" w:rsidRDefault="003E6013">
      <w:pPr>
        <w:pStyle w:val="Contactup"/>
      </w:pPr>
      <w:r>
        <w:t>STAFF CONTACT:  Ron Robinson (Ext. 16256)</w:t>
      </w:r>
    </w:p>
    <w:p w:rsidR="00000000" w:rsidRDefault="003E6013">
      <w:pPr>
        <w:pStyle w:val="Blurbtitle"/>
      </w:pPr>
      <w:bookmarkStart w:id="18" w:name="FU2BALC"/>
      <w:r>
        <w:rPr>
          <w:i/>
          <w:iCs/>
        </w:rPr>
        <w:t>Issue Review:</w:t>
      </w:r>
      <w:r>
        <w:t xml:space="preserve">  Department of Corrections - Telephone Rebate Fund</w:t>
      </w:r>
      <w:bookmarkEnd w:id="18"/>
    </w:p>
    <w:p w:rsidR="00000000" w:rsidRDefault="003E6013">
      <w:pPr>
        <w:framePr w:w="943" w:h="916" w:hSpace="180" w:wrap="around" w:vAnchor="text" w:hAnchor="page" w:x="1348" w:y="646"/>
      </w:pPr>
      <w:r>
        <w:object w:dxaOrig="1080" w:dyaOrig="941">
          <v:shape id="_x0000_i1064" type="#_x0000_t75" style="width:54.2pt;height:39.8pt" o:ole="">
            <v:imagedata r:id="rId53" o:title=""/>
          </v:shape>
          <o:OLEObject Type="Embed" ProgID="Word.Document.8" ShapeID="_x0000_i1064" DrawAspect="Content" ObjectID="_1315217493" r:id="rId54"/>
        </w:object>
      </w:r>
    </w:p>
    <w:p w:rsidR="00000000" w:rsidRDefault="003E6013">
      <w:pPr>
        <w:pStyle w:val="textup"/>
      </w:pPr>
      <w:r>
        <w:rPr>
          <w:b/>
        </w:rPr>
        <w:t>Tele</w:t>
      </w:r>
      <w:r>
        <w:rPr>
          <w:b/>
        </w:rPr>
        <w:t>phone Rebate Fund</w:t>
      </w:r>
      <w:r>
        <w:tab/>
        <w:t xml:space="preserve">The LFB recently released an </w:t>
      </w:r>
      <w:r>
        <w:rPr>
          <w:b/>
          <w:bCs/>
          <w:i/>
          <w:iCs/>
        </w:rPr>
        <w:t xml:space="preserve">Issue Review </w:t>
      </w:r>
      <w:r>
        <w:t>concerning</w:t>
      </w:r>
      <w:r>
        <w:rPr>
          <w:b/>
          <w:bCs/>
          <w:i/>
          <w:iCs/>
        </w:rPr>
        <w:t xml:space="preserve"> </w:t>
      </w:r>
      <w:r>
        <w:t>the Telephone Rebate Fund of the Department of Corrections (DOC).  Inmates of the DOC Institutions use a pay telephone system for personal calls, and the DOC receives the net receipts (</w:t>
      </w:r>
      <w:r>
        <w:t>rebates) from the vendor.  Receipts are to be used for the benefit of inmates, per statute.  The DOC is currently bidding services for equipment, equipment maintenance, call blocking and monitoring, taping equipment, billing details, and a direct billing s</w:t>
      </w:r>
      <w:r>
        <w:t>ystem.  Bids are being sought due to the expiration of the current contract.</w:t>
      </w:r>
    </w:p>
    <w:p w:rsidR="00000000" w:rsidRDefault="003E6013">
      <w:pPr>
        <w:pStyle w:val="textup"/>
      </w:pPr>
      <w:r>
        <w:rPr>
          <w:b/>
        </w:rPr>
        <w:t xml:space="preserve">Background </w:t>
      </w:r>
      <w:r>
        <w:tab/>
        <w:t>Much of the background information and many of the issues related to the telephone rebate system can be categorized as follows:</w:t>
      </w:r>
    </w:p>
    <w:p w:rsidR="00000000" w:rsidRDefault="003E6013">
      <w:pPr>
        <w:pStyle w:val="Bulletup"/>
      </w:pPr>
      <w:r>
        <w:t>Revenue and cash flow.</w:t>
      </w:r>
    </w:p>
    <w:p w:rsidR="00000000" w:rsidRDefault="003E6013">
      <w:pPr>
        <w:pStyle w:val="Bulletup"/>
      </w:pPr>
      <w:r>
        <w:t>Fund expenditure</w:t>
      </w:r>
      <w:r>
        <w:t>s.</w:t>
      </w:r>
    </w:p>
    <w:p w:rsidR="00000000" w:rsidRDefault="003E6013">
      <w:pPr>
        <w:pStyle w:val="Bulletup"/>
      </w:pPr>
      <w:r>
        <w:t>Distribution of receipts.</w:t>
      </w:r>
    </w:p>
    <w:p w:rsidR="00000000" w:rsidRDefault="003E6013">
      <w:pPr>
        <w:pStyle w:val="Bulletup"/>
      </w:pPr>
      <w:r>
        <w:t>Telephone call rates and monitoring.</w:t>
      </w:r>
    </w:p>
    <w:p w:rsidR="00000000" w:rsidRDefault="003E6013">
      <w:pPr>
        <w:pStyle w:val="textup"/>
      </w:pPr>
      <w:r>
        <w:rPr>
          <w:b/>
        </w:rPr>
        <w:t>Revenues/Cash Flow</w:t>
      </w:r>
      <w:r>
        <w:rPr>
          <w:b/>
          <w:bCs/>
        </w:rPr>
        <w:tab/>
        <w:t>Revenues and cash flow:</w:t>
      </w:r>
      <w:r>
        <w:t xml:space="preserve">  Revenues have been steadily decreasing and expenditures have been increasing since FY 1998, as indicated in the table below:</w:t>
      </w:r>
    </w:p>
    <w:p w:rsidR="00000000" w:rsidRDefault="003E6013">
      <w:pPr>
        <w:framePr w:w="501" w:h="1159" w:hSpace="180" w:wrap="around" w:vAnchor="text" w:hAnchor="page" w:x="1535" w:y="4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52120"/>
            <wp:effectExtent l="1905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srcRect/>
                    <a:stretch>
                      <a:fillRect/>
                    </a:stretch>
                  </pic:blipFill>
                  <pic:spPr bwMode="auto">
                    <a:xfrm>
                      <a:off x="0" y="0"/>
                      <a:ext cx="311785" cy="452120"/>
                    </a:xfrm>
                    <a:prstGeom prst="rect">
                      <a:avLst/>
                    </a:prstGeom>
                    <a:noFill/>
                    <a:ln w="9525">
                      <a:noFill/>
                      <a:miter lim="800000"/>
                      <a:headEnd/>
                      <a:tailEnd/>
                    </a:ln>
                  </pic:spPr>
                </pic:pic>
              </a:graphicData>
            </a:graphic>
          </wp:inline>
        </w:drawing>
      </w:r>
    </w:p>
    <w:p w:rsidR="00000000" w:rsidRDefault="003E6013">
      <w:pPr>
        <w:pStyle w:val="textup"/>
        <w:jc w:val="center"/>
        <w:rPr>
          <w:b/>
          <w:bCs/>
        </w:rPr>
      </w:pPr>
      <w:r>
        <w:rPr>
          <w:b/>
          <w:bCs/>
        </w:rPr>
        <w:t xml:space="preserve">                   </w:t>
      </w:r>
      <w:r>
        <w:rPr>
          <w:b/>
          <w:bCs/>
        </w:rPr>
        <w:t xml:space="preserve">                 Telephone Rebate Fund Financial History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3"/>
        <w:gridCol w:w="1730"/>
        <w:gridCol w:w="1352"/>
        <w:gridCol w:w="1352"/>
        <w:gridCol w:w="1478"/>
      </w:tblGrid>
      <w:tr w:rsidR="00000000">
        <w:tblPrEx>
          <w:tblCellMar>
            <w:top w:w="0" w:type="dxa"/>
            <w:bottom w:w="0" w:type="dxa"/>
          </w:tblCellMar>
        </w:tblPrEx>
        <w:trPr>
          <w:jc w:val="center"/>
        </w:trPr>
        <w:tc>
          <w:tcPr>
            <w:tcW w:w="0" w:type="auto"/>
          </w:tcPr>
          <w:p w:rsidR="00000000" w:rsidRDefault="003E6013">
            <w:pPr>
              <w:rPr>
                <w:rFonts w:ascii="Univers" w:hAnsi="Univers"/>
                <w:sz w:val="18"/>
              </w:rPr>
            </w:pPr>
            <w:r>
              <w:rPr>
                <w:rFonts w:ascii="Univers" w:hAnsi="Univers"/>
                <w:sz w:val="18"/>
              </w:rPr>
              <w:t>Fiscal Year</w:t>
            </w:r>
          </w:p>
        </w:tc>
        <w:tc>
          <w:tcPr>
            <w:tcW w:w="0" w:type="auto"/>
          </w:tcPr>
          <w:p w:rsidR="00000000" w:rsidRDefault="003E6013">
            <w:pPr>
              <w:rPr>
                <w:rFonts w:ascii="Univers" w:hAnsi="Univers"/>
                <w:sz w:val="18"/>
              </w:rPr>
            </w:pPr>
            <w:r>
              <w:rPr>
                <w:rFonts w:ascii="Univers" w:hAnsi="Univers"/>
                <w:sz w:val="18"/>
              </w:rPr>
              <w:t>Beginning Balance</w:t>
            </w:r>
          </w:p>
        </w:tc>
        <w:tc>
          <w:tcPr>
            <w:tcW w:w="0" w:type="auto"/>
          </w:tcPr>
          <w:p w:rsidR="00000000" w:rsidRDefault="003E6013">
            <w:pPr>
              <w:jc w:val="center"/>
              <w:rPr>
                <w:rFonts w:ascii="Univers" w:hAnsi="Univers"/>
                <w:sz w:val="18"/>
              </w:rPr>
            </w:pPr>
            <w:r>
              <w:rPr>
                <w:rFonts w:ascii="Univers" w:hAnsi="Univers"/>
                <w:sz w:val="18"/>
              </w:rPr>
              <w:t>Revenues</w:t>
            </w:r>
          </w:p>
        </w:tc>
        <w:tc>
          <w:tcPr>
            <w:tcW w:w="0" w:type="auto"/>
          </w:tcPr>
          <w:p w:rsidR="00000000" w:rsidRDefault="003E6013">
            <w:pPr>
              <w:rPr>
                <w:rFonts w:ascii="Univers" w:hAnsi="Univers"/>
                <w:sz w:val="18"/>
              </w:rPr>
            </w:pPr>
            <w:r>
              <w:rPr>
                <w:rFonts w:ascii="Univers" w:hAnsi="Univers"/>
                <w:sz w:val="18"/>
              </w:rPr>
              <w:t>Expenditures</w:t>
            </w:r>
          </w:p>
        </w:tc>
        <w:tc>
          <w:tcPr>
            <w:tcW w:w="0" w:type="auto"/>
          </w:tcPr>
          <w:p w:rsidR="00000000" w:rsidRDefault="003E6013">
            <w:pPr>
              <w:rPr>
                <w:rFonts w:ascii="Univers" w:hAnsi="Univers"/>
                <w:sz w:val="18"/>
              </w:rPr>
            </w:pPr>
            <w:r>
              <w:rPr>
                <w:rFonts w:ascii="Univers" w:hAnsi="Univers"/>
                <w:sz w:val="18"/>
              </w:rPr>
              <w:t>Ending Balance</w:t>
            </w:r>
          </w:p>
        </w:tc>
      </w:tr>
      <w:tr w:rsidR="00000000">
        <w:tblPrEx>
          <w:tblCellMar>
            <w:top w:w="0" w:type="dxa"/>
            <w:bottom w:w="0" w:type="dxa"/>
          </w:tblCellMar>
        </w:tblPrEx>
        <w:trPr>
          <w:jc w:val="center"/>
        </w:trPr>
        <w:tc>
          <w:tcPr>
            <w:tcW w:w="0" w:type="auto"/>
          </w:tcPr>
          <w:p w:rsidR="00000000" w:rsidRDefault="003E6013">
            <w:pPr>
              <w:rPr>
                <w:rFonts w:ascii="Univers" w:hAnsi="Univers"/>
                <w:sz w:val="18"/>
              </w:rPr>
            </w:pPr>
            <w:r>
              <w:rPr>
                <w:rFonts w:ascii="Univers" w:hAnsi="Univers"/>
                <w:sz w:val="18"/>
              </w:rPr>
              <w:t>1998</w:t>
            </w:r>
          </w:p>
        </w:tc>
        <w:tc>
          <w:tcPr>
            <w:tcW w:w="0" w:type="auto"/>
          </w:tcPr>
          <w:p w:rsidR="00000000" w:rsidRDefault="003E6013">
            <w:pPr>
              <w:jc w:val="right"/>
              <w:rPr>
                <w:rFonts w:ascii="Univers" w:hAnsi="Univers"/>
                <w:sz w:val="18"/>
              </w:rPr>
            </w:pPr>
            <w:r>
              <w:rPr>
                <w:rFonts w:ascii="Univers" w:hAnsi="Univers"/>
                <w:sz w:val="18"/>
              </w:rPr>
              <w:t>$826,500</w:t>
            </w:r>
          </w:p>
        </w:tc>
        <w:tc>
          <w:tcPr>
            <w:tcW w:w="0" w:type="auto"/>
          </w:tcPr>
          <w:p w:rsidR="00000000" w:rsidRDefault="003E6013">
            <w:pPr>
              <w:jc w:val="right"/>
              <w:rPr>
                <w:rFonts w:ascii="Univers" w:hAnsi="Univers"/>
                <w:sz w:val="18"/>
              </w:rPr>
            </w:pPr>
            <w:r>
              <w:rPr>
                <w:rFonts w:ascii="Univers" w:hAnsi="Univers"/>
                <w:sz w:val="18"/>
              </w:rPr>
              <w:t>$2,416,900</w:t>
            </w:r>
          </w:p>
        </w:tc>
        <w:tc>
          <w:tcPr>
            <w:tcW w:w="0" w:type="auto"/>
          </w:tcPr>
          <w:p w:rsidR="00000000" w:rsidRDefault="003E6013">
            <w:pPr>
              <w:jc w:val="right"/>
              <w:rPr>
                <w:rFonts w:ascii="Univers" w:hAnsi="Univers"/>
                <w:sz w:val="18"/>
              </w:rPr>
            </w:pPr>
            <w:r>
              <w:rPr>
                <w:rFonts w:ascii="Univers" w:hAnsi="Univers"/>
                <w:sz w:val="18"/>
              </w:rPr>
              <w:t>$1,322,500</w:t>
            </w:r>
          </w:p>
        </w:tc>
        <w:tc>
          <w:tcPr>
            <w:tcW w:w="0" w:type="auto"/>
          </w:tcPr>
          <w:p w:rsidR="00000000" w:rsidRDefault="003E6013">
            <w:pPr>
              <w:jc w:val="right"/>
              <w:rPr>
                <w:rFonts w:ascii="Univers" w:hAnsi="Univers"/>
                <w:sz w:val="18"/>
              </w:rPr>
            </w:pPr>
            <w:r>
              <w:rPr>
                <w:rFonts w:ascii="Univers" w:hAnsi="Univers"/>
                <w:sz w:val="18"/>
              </w:rPr>
              <w:t>$1,920,800</w:t>
            </w:r>
          </w:p>
        </w:tc>
      </w:tr>
      <w:tr w:rsidR="00000000">
        <w:tblPrEx>
          <w:tblCellMar>
            <w:top w:w="0" w:type="dxa"/>
            <w:bottom w:w="0" w:type="dxa"/>
          </w:tblCellMar>
        </w:tblPrEx>
        <w:trPr>
          <w:jc w:val="center"/>
        </w:trPr>
        <w:tc>
          <w:tcPr>
            <w:tcW w:w="0" w:type="auto"/>
          </w:tcPr>
          <w:p w:rsidR="00000000" w:rsidRDefault="003E6013">
            <w:pPr>
              <w:rPr>
                <w:rFonts w:ascii="Univers" w:hAnsi="Univers"/>
                <w:sz w:val="18"/>
              </w:rPr>
            </w:pPr>
            <w:r>
              <w:rPr>
                <w:rFonts w:ascii="Univers" w:hAnsi="Univers"/>
                <w:sz w:val="18"/>
              </w:rPr>
              <w:t>1999</w:t>
            </w:r>
          </w:p>
        </w:tc>
        <w:tc>
          <w:tcPr>
            <w:tcW w:w="0" w:type="auto"/>
          </w:tcPr>
          <w:p w:rsidR="00000000" w:rsidRDefault="003E6013">
            <w:pPr>
              <w:jc w:val="right"/>
              <w:rPr>
                <w:rFonts w:ascii="Univers" w:hAnsi="Univers"/>
                <w:sz w:val="18"/>
              </w:rPr>
            </w:pPr>
            <w:r>
              <w:rPr>
                <w:rFonts w:ascii="Univers" w:hAnsi="Univers"/>
                <w:sz w:val="18"/>
              </w:rPr>
              <w:t>$1,920,800</w:t>
            </w:r>
          </w:p>
        </w:tc>
        <w:tc>
          <w:tcPr>
            <w:tcW w:w="0" w:type="auto"/>
          </w:tcPr>
          <w:p w:rsidR="00000000" w:rsidRDefault="003E6013">
            <w:pPr>
              <w:jc w:val="right"/>
              <w:rPr>
                <w:rFonts w:ascii="Univers" w:hAnsi="Univers"/>
                <w:sz w:val="18"/>
              </w:rPr>
            </w:pPr>
            <w:r>
              <w:rPr>
                <w:rFonts w:ascii="Univers" w:hAnsi="Univers"/>
                <w:sz w:val="18"/>
              </w:rPr>
              <w:t>$2,378,900</w:t>
            </w:r>
          </w:p>
        </w:tc>
        <w:tc>
          <w:tcPr>
            <w:tcW w:w="0" w:type="auto"/>
          </w:tcPr>
          <w:p w:rsidR="00000000" w:rsidRDefault="003E6013">
            <w:pPr>
              <w:jc w:val="right"/>
              <w:rPr>
                <w:rFonts w:ascii="Univers" w:hAnsi="Univers"/>
                <w:sz w:val="18"/>
              </w:rPr>
            </w:pPr>
            <w:r>
              <w:rPr>
                <w:rFonts w:ascii="Univers" w:hAnsi="Univers"/>
                <w:sz w:val="18"/>
              </w:rPr>
              <w:t>$2,024,100</w:t>
            </w:r>
          </w:p>
        </w:tc>
        <w:tc>
          <w:tcPr>
            <w:tcW w:w="0" w:type="auto"/>
          </w:tcPr>
          <w:p w:rsidR="00000000" w:rsidRDefault="003E6013">
            <w:pPr>
              <w:jc w:val="right"/>
              <w:rPr>
                <w:rFonts w:ascii="Univers" w:hAnsi="Univers"/>
                <w:sz w:val="18"/>
              </w:rPr>
            </w:pPr>
            <w:r>
              <w:rPr>
                <w:rFonts w:ascii="Univers" w:hAnsi="Univers"/>
                <w:sz w:val="18"/>
              </w:rPr>
              <w:t>$2,275,600</w:t>
            </w:r>
          </w:p>
        </w:tc>
      </w:tr>
      <w:tr w:rsidR="00000000">
        <w:tblPrEx>
          <w:tblCellMar>
            <w:top w:w="0" w:type="dxa"/>
            <w:bottom w:w="0" w:type="dxa"/>
          </w:tblCellMar>
        </w:tblPrEx>
        <w:trPr>
          <w:jc w:val="center"/>
        </w:trPr>
        <w:tc>
          <w:tcPr>
            <w:tcW w:w="0" w:type="auto"/>
          </w:tcPr>
          <w:p w:rsidR="00000000" w:rsidRDefault="003E6013">
            <w:pPr>
              <w:rPr>
                <w:rFonts w:ascii="Univers" w:hAnsi="Univers"/>
                <w:sz w:val="18"/>
              </w:rPr>
            </w:pPr>
            <w:r>
              <w:rPr>
                <w:rFonts w:ascii="Univers" w:hAnsi="Univers"/>
                <w:sz w:val="18"/>
              </w:rPr>
              <w:t>2000</w:t>
            </w:r>
          </w:p>
        </w:tc>
        <w:tc>
          <w:tcPr>
            <w:tcW w:w="0" w:type="auto"/>
          </w:tcPr>
          <w:p w:rsidR="00000000" w:rsidRDefault="003E6013">
            <w:pPr>
              <w:jc w:val="right"/>
              <w:rPr>
                <w:rFonts w:ascii="Univers" w:hAnsi="Univers"/>
                <w:sz w:val="18"/>
              </w:rPr>
            </w:pPr>
            <w:r>
              <w:rPr>
                <w:rFonts w:ascii="Univers" w:hAnsi="Univers"/>
                <w:sz w:val="18"/>
              </w:rPr>
              <w:t>$2,275,600</w:t>
            </w:r>
          </w:p>
        </w:tc>
        <w:tc>
          <w:tcPr>
            <w:tcW w:w="0" w:type="auto"/>
          </w:tcPr>
          <w:p w:rsidR="00000000" w:rsidRDefault="003E6013">
            <w:pPr>
              <w:jc w:val="right"/>
              <w:rPr>
                <w:rFonts w:ascii="Univers" w:hAnsi="Univers"/>
                <w:sz w:val="18"/>
              </w:rPr>
            </w:pPr>
            <w:r>
              <w:rPr>
                <w:rFonts w:ascii="Univers" w:hAnsi="Univers"/>
                <w:sz w:val="18"/>
              </w:rPr>
              <w:t>$1,022,700</w:t>
            </w:r>
          </w:p>
        </w:tc>
        <w:tc>
          <w:tcPr>
            <w:tcW w:w="0" w:type="auto"/>
          </w:tcPr>
          <w:p w:rsidR="00000000" w:rsidRDefault="003E6013">
            <w:pPr>
              <w:jc w:val="right"/>
              <w:rPr>
                <w:rFonts w:ascii="Univers" w:hAnsi="Univers"/>
                <w:sz w:val="18"/>
              </w:rPr>
            </w:pPr>
            <w:r>
              <w:rPr>
                <w:rFonts w:ascii="Univers" w:hAnsi="Univers"/>
                <w:sz w:val="18"/>
              </w:rPr>
              <w:t>$2,159</w:t>
            </w:r>
            <w:r>
              <w:rPr>
                <w:rFonts w:ascii="Univers" w:hAnsi="Univers"/>
                <w:sz w:val="18"/>
              </w:rPr>
              <w:t>,900</w:t>
            </w:r>
          </w:p>
        </w:tc>
        <w:tc>
          <w:tcPr>
            <w:tcW w:w="0" w:type="auto"/>
          </w:tcPr>
          <w:p w:rsidR="00000000" w:rsidRDefault="003E6013">
            <w:pPr>
              <w:jc w:val="right"/>
              <w:rPr>
                <w:rFonts w:ascii="Univers" w:hAnsi="Univers"/>
                <w:sz w:val="18"/>
              </w:rPr>
            </w:pPr>
            <w:r>
              <w:rPr>
                <w:rFonts w:ascii="Univers" w:hAnsi="Univers"/>
                <w:sz w:val="18"/>
              </w:rPr>
              <w:t>$1,138,400</w:t>
            </w:r>
          </w:p>
        </w:tc>
      </w:tr>
      <w:tr w:rsidR="00000000">
        <w:tblPrEx>
          <w:tblCellMar>
            <w:top w:w="0" w:type="dxa"/>
            <w:bottom w:w="0" w:type="dxa"/>
          </w:tblCellMar>
        </w:tblPrEx>
        <w:trPr>
          <w:jc w:val="center"/>
        </w:trPr>
        <w:tc>
          <w:tcPr>
            <w:tcW w:w="0" w:type="auto"/>
          </w:tcPr>
          <w:p w:rsidR="00000000" w:rsidRDefault="003E6013">
            <w:pPr>
              <w:rPr>
                <w:rFonts w:ascii="Univers" w:hAnsi="Univers"/>
                <w:sz w:val="18"/>
              </w:rPr>
            </w:pPr>
            <w:r>
              <w:rPr>
                <w:rFonts w:ascii="Univers" w:hAnsi="Univers"/>
                <w:sz w:val="18"/>
              </w:rPr>
              <w:t>2001</w:t>
            </w:r>
          </w:p>
        </w:tc>
        <w:tc>
          <w:tcPr>
            <w:tcW w:w="0" w:type="auto"/>
          </w:tcPr>
          <w:p w:rsidR="00000000" w:rsidRDefault="003E6013">
            <w:pPr>
              <w:jc w:val="right"/>
              <w:rPr>
                <w:rFonts w:ascii="Univers" w:hAnsi="Univers"/>
                <w:sz w:val="18"/>
              </w:rPr>
            </w:pPr>
            <w:r>
              <w:rPr>
                <w:rFonts w:ascii="Univers" w:hAnsi="Univers"/>
                <w:sz w:val="18"/>
              </w:rPr>
              <w:t>$1,138,400</w:t>
            </w:r>
          </w:p>
        </w:tc>
        <w:tc>
          <w:tcPr>
            <w:tcW w:w="0" w:type="auto"/>
          </w:tcPr>
          <w:p w:rsidR="00000000" w:rsidRDefault="003E6013">
            <w:pPr>
              <w:jc w:val="right"/>
              <w:rPr>
                <w:rFonts w:ascii="Univers" w:hAnsi="Univers"/>
                <w:sz w:val="18"/>
              </w:rPr>
            </w:pPr>
            <w:r>
              <w:rPr>
                <w:rFonts w:ascii="Univers" w:hAnsi="Univers"/>
                <w:sz w:val="18"/>
              </w:rPr>
              <w:t>*$1,277,200</w:t>
            </w:r>
          </w:p>
        </w:tc>
        <w:tc>
          <w:tcPr>
            <w:tcW w:w="0" w:type="auto"/>
          </w:tcPr>
          <w:p w:rsidR="00000000" w:rsidRDefault="003E6013">
            <w:pPr>
              <w:jc w:val="right"/>
              <w:rPr>
                <w:rFonts w:ascii="Univers" w:hAnsi="Univers"/>
                <w:sz w:val="18"/>
              </w:rPr>
            </w:pPr>
            <w:r>
              <w:rPr>
                <w:rFonts w:ascii="Univers" w:hAnsi="Univers"/>
                <w:sz w:val="18"/>
              </w:rPr>
              <w:t>*$1,967,200</w:t>
            </w:r>
          </w:p>
        </w:tc>
        <w:tc>
          <w:tcPr>
            <w:tcW w:w="0" w:type="auto"/>
          </w:tcPr>
          <w:p w:rsidR="00000000" w:rsidRDefault="003E6013">
            <w:pPr>
              <w:jc w:val="right"/>
              <w:rPr>
                <w:rFonts w:ascii="Univers" w:hAnsi="Univers"/>
                <w:sz w:val="18"/>
              </w:rPr>
            </w:pPr>
            <w:r>
              <w:rPr>
                <w:rFonts w:ascii="Univers" w:hAnsi="Univers"/>
                <w:sz w:val="18"/>
              </w:rPr>
              <w:t>$448,400</w:t>
            </w:r>
          </w:p>
        </w:tc>
      </w:tr>
    </w:tbl>
    <w:p w:rsidR="00000000" w:rsidRDefault="003E6013">
      <w:pPr>
        <w:pStyle w:val="textup"/>
        <w:rPr>
          <w:sz w:val="18"/>
        </w:rPr>
      </w:pPr>
      <w:r>
        <w:rPr>
          <w:sz w:val="18"/>
        </w:rPr>
        <w:t xml:space="preserve">               </w:t>
      </w:r>
      <w:r>
        <w:rPr>
          <w:sz w:val="18"/>
        </w:rPr>
        <w:tab/>
        <w:t xml:space="preserve">    *Revenues and Expenditures are estimated for FY 2001.</w:t>
      </w:r>
    </w:p>
    <w:p w:rsidR="00000000" w:rsidRDefault="003E6013">
      <w:pPr>
        <w:pStyle w:val="textup"/>
      </w:pPr>
      <w:r>
        <w:rPr>
          <w:b/>
        </w:rPr>
        <w:t>Actual Receipts</w:t>
      </w:r>
      <w:r>
        <w:tab/>
        <w:t>Actual receipts for FY 2001 may only be $900,000.  This issue is further complicated by cash flow p</w:t>
      </w:r>
      <w:r>
        <w:t>roblems.  It may be up to 90 days from the end of the month when the telephone call was placed to when net receipts are provided to the DOC.</w:t>
      </w:r>
    </w:p>
    <w:p w:rsidR="00000000" w:rsidRDefault="003E6013">
      <w:pPr>
        <w:pStyle w:val="textup"/>
      </w:pPr>
      <w:r>
        <w:rPr>
          <w:b/>
        </w:rPr>
        <w:lastRenderedPageBreak/>
        <w:t>Revenue Decreasing</w:t>
      </w:r>
      <w:r>
        <w:tab/>
        <w:t>Revenue is decreasing due to:</w:t>
      </w:r>
    </w:p>
    <w:p w:rsidR="00000000" w:rsidRDefault="003E6013">
      <w:pPr>
        <w:framePr w:w="501" w:h="997" w:hSpace="180" w:wrap="around" w:vAnchor="text" w:hAnchor="page" w:x="1535" w:y="26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94665"/>
            <wp:effectExtent l="1905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a:srcRect/>
                    <a:stretch>
                      <a:fillRect/>
                    </a:stretch>
                  </pic:blipFill>
                  <pic:spPr bwMode="auto">
                    <a:xfrm>
                      <a:off x="0" y="0"/>
                      <a:ext cx="311785" cy="494665"/>
                    </a:xfrm>
                    <a:prstGeom prst="rect">
                      <a:avLst/>
                    </a:prstGeom>
                    <a:noFill/>
                    <a:ln w="9525">
                      <a:noFill/>
                      <a:miter lim="800000"/>
                      <a:headEnd/>
                      <a:tailEnd/>
                    </a:ln>
                  </pic:spPr>
                </pic:pic>
              </a:graphicData>
            </a:graphic>
          </wp:inline>
        </w:drawing>
      </w:r>
    </w:p>
    <w:p w:rsidR="00000000" w:rsidRDefault="003E6013">
      <w:pPr>
        <w:pStyle w:val="Bulletup"/>
      </w:pPr>
      <w:r>
        <w:t>The DOC lowered the calling rates.</w:t>
      </w:r>
    </w:p>
    <w:p w:rsidR="00000000" w:rsidRDefault="003E6013">
      <w:pPr>
        <w:pStyle w:val="Bulletup"/>
      </w:pPr>
      <w:r>
        <w:t>The federal 1996 Telecommunic</w:t>
      </w:r>
      <w:r>
        <w:t>ations Act changed the billing process relating to third party billing procedures.  For a period during FY 2000, some recipients may not have been billed for inmates’ telephone calls.  The vendor is in the process of billing these recipients.</w:t>
      </w:r>
    </w:p>
    <w:p w:rsidR="00000000" w:rsidRDefault="003E6013">
      <w:pPr>
        <w:pStyle w:val="Bulletup"/>
      </w:pPr>
      <w:r>
        <w:t>The DOC recei</w:t>
      </w:r>
      <w:r>
        <w:t>ved a guaranteed 52.0% commission when it used a private vendor’s services.  Now that the DOC uses the Iowa Communications Network (ICN) as the carrier, the DOC is paid net receipts.</w:t>
      </w:r>
    </w:p>
    <w:p w:rsidR="00000000" w:rsidRDefault="003E6013">
      <w:pPr>
        <w:pStyle w:val="textup"/>
      </w:pPr>
      <w:r>
        <w:rPr>
          <w:b/>
        </w:rPr>
        <w:t>Unpaid Accounts</w:t>
      </w:r>
      <w:r>
        <w:tab/>
        <w:t xml:space="preserve">The DOC and the ICN are reviewing options for collecting </w:t>
      </w:r>
      <w:r>
        <w:t xml:space="preserve">unpaid accounts.  Some states limit the amount of telephone numbers an inmate can call.  Some states use a calling card that the inmate purchases at the canteen.  Some states limit the unpaid calling account balance an inmate may accumulate before his/her </w:t>
      </w:r>
      <w:r>
        <w:t>ability to place collect calls is blocked.</w:t>
      </w:r>
    </w:p>
    <w:p w:rsidR="00000000" w:rsidRDefault="003E6013">
      <w:pPr>
        <w:pStyle w:val="textup"/>
      </w:pPr>
      <w:r>
        <w:rPr>
          <w:b/>
        </w:rPr>
        <w:t>Projects</w:t>
      </w:r>
      <w:r>
        <w:tab/>
        <w:t>Declining revenue creates a problem with ongoing expenditures.  The DOC has committed approximately $1.0 million annually for certain projects for multiple years.  These projects include:  victim programs</w:t>
      </w:r>
      <w:r>
        <w:t>, the InnerChange Program at Newton, inmate legal services, education, and the Braille and Automotive programs.  Revenues may be adequate for these dedicated expenditures, but there will be a significant decrease in the FY 2001 ending fund balance.</w:t>
      </w:r>
    </w:p>
    <w:p w:rsidR="00000000" w:rsidRDefault="003E6013">
      <w:pPr>
        <w:framePr w:w="1066" w:h="1003" w:hSpace="180" w:wrap="around" w:vAnchor="text" w:hAnchor="page" w:x="1416" w:y="636"/>
        <w:pBdr>
          <w:top w:val="single" w:sz="6" w:space="1" w:color="auto" w:shadow="1"/>
          <w:left w:val="single" w:sz="6" w:space="1" w:color="auto" w:shadow="1"/>
          <w:bottom w:val="single" w:sz="6" w:space="1" w:color="auto" w:shadow="1"/>
          <w:right w:val="single" w:sz="6" w:space="1" w:color="auto" w:shadow="1"/>
        </w:pBdr>
      </w:pPr>
      <w:r>
        <w:rPr>
          <w:noProof/>
        </w:rPr>
        <w:drawing>
          <wp:inline distT="0" distB="0" distL="0" distR="0">
            <wp:extent cx="677545" cy="505460"/>
            <wp:effectExtent l="19050" t="0" r="825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7"/>
                    <a:srcRect/>
                    <a:stretch>
                      <a:fillRect/>
                    </a:stretch>
                  </pic:blipFill>
                  <pic:spPr bwMode="auto">
                    <a:xfrm>
                      <a:off x="0" y="0"/>
                      <a:ext cx="677545" cy="505460"/>
                    </a:xfrm>
                    <a:prstGeom prst="rect">
                      <a:avLst/>
                    </a:prstGeom>
                    <a:noFill/>
                    <a:ln w="9525">
                      <a:noFill/>
                      <a:miter lim="800000"/>
                      <a:headEnd/>
                      <a:tailEnd/>
                    </a:ln>
                  </pic:spPr>
                </pic:pic>
              </a:graphicData>
            </a:graphic>
          </wp:inline>
        </w:drawing>
      </w:r>
    </w:p>
    <w:p w:rsidR="00000000" w:rsidRDefault="003E6013">
      <w:pPr>
        <w:pStyle w:val="textup"/>
      </w:pPr>
      <w:r>
        <w:rPr>
          <w:b/>
        </w:rPr>
        <w:t xml:space="preserve">Fund </w:t>
      </w:r>
      <w:r>
        <w:rPr>
          <w:b/>
        </w:rPr>
        <w:t>Expenditures</w:t>
      </w:r>
      <w:r>
        <w:rPr>
          <w:b/>
          <w:bCs/>
        </w:rPr>
        <w:tab/>
        <w:t xml:space="preserve">Fund Expenditures:  </w:t>
      </w:r>
      <w:r>
        <w:t xml:space="preserve">The receipts are to “be used for the benefit of inmates” according to Chapter 904.508A, </w:t>
      </w:r>
      <w:r>
        <w:rPr>
          <w:u w:val="single"/>
        </w:rPr>
        <w:t>Code of Iowa</w:t>
      </w:r>
      <w:r>
        <w:t>.  Inmate benefits are defined in 201 Iowa Administrative Code, 20.20(5) “as educational, vocational or recreational servic</w:t>
      </w:r>
      <w:r>
        <w:t>es or programs, or work or treatment programs for offenders.  Expenditures may also be used to initiate new programs, services, or projects”.  There are concerns that the DOC is defining “benefit of inmates” rather broadly, including the physical structure</w:t>
      </w:r>
      <w:r>
        <w:t xml:space="preserve">s to house programs that benefit inmates (for example a green house or a chapel).  </w:t>
      </w:r>
    </w:p>
    <w:p w:rsidR="00000000" w:rsidRDefault="003E6013">
      <w:pPr>
        <w:pStyle w:val="textup"/>
      </w:pPr>
      <w:r>
        <w:rPr>
          <w:b/>
        </w:rPr>
        <w:t>Receipts</w:t>
      </w:r>
      <w:r>
        <w:rPr>
          <w:b/>
          <w:bCs/>
        </w:rPr>
        <w:tab/>
        <w:t xml:space="preserve">Distribution of Receipts:  </w:t>
      </w:r>
      <w:r>
        <w:t xml:space="preserve">Chapter 904.508A, </w:t>
      </w:r>
      <w:r>
        <w:rPr>
          <w:u w:val="single"/>
        </w:rPr>
        <w:t>Code of Iowa</w:t>
      </w:r>
      <w:r>
        <w:t>, requires the DOC to “establish and maintain” a telephone rebate fund at each Institution.  Each Institut</w:t>
      </w:r>
      <w:r>
        <w:t>ion does have a telephone rebate fund.  Currently, one check is received from ICN that is split among the nine Institutions, based on inmate usage rates, per administrative rules.  However, Central Office and the Board of Corrections must approve all reque</w:t>
      </w:r>
      <w:r>
        <w:t>sts from Wardens and Superintendents.  Institutions have been directed by Central Office to not spend funds during FY 2001 due to declining revenue and the dedicated expenditures cited previously.</w:t>
      </w:r>
    </w:p>
    <w:p w:rsidR="00000000" w:rsidRDefault="003E6013">
      <w:pPr>
        <w:framePr w:w="796" w:h="865" w:hSpace="180" w:wrap="around" w:vAnchor="text" w:hAnchor="page" w:x="1535" w:y="623"/>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4665" cy="344170"/>
            <wp:effectExtent l="1905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2"/>
                    <a:srcRect/>
                    <a:stretch>
                      <a:fillRect/>
                    </a:stretch>
                  </pic:blipFill>
                  <pic:spPr bwMode="auto">
                    <a:xfrm>
                      <a:off x="0" y="0"/>
                      <a:ext cx="494665" cy="344170"/>
                    </a:xfrm>
                    <a:prstGeom prst="rect">
                      <a:avLst/>
                    </a:prstGeom>
                    <a:noFill/>
                    <a:ln w="9525">
                      <a:noFill/>
                      <a:miter lim="800000"/>
                      <a:headEnd/>
                      <a:tailEnd/>
                    </a:ln>
                  </pic:spPr>
                </pic:pic>
              </a:graphicData>
            </a:graphic>
          </wp:inline>
        </w:drawing>
      </w:r>
    </w:p>
    <w:p w:rsidR="00000000" w:rsidRDefault="003E6013">
      <w:pPr>
        <w:pStyle w:val="textup"/>
      </w:pPr>
      <w:r>
        <w:rPr>
          <w:b/>
        </w:rPr>
        <w:t>Rates &amp; Monitoring</w:t>
      </w:r>
      <w:r>
        <w:rPr>
          <w:b/>
          <w:bCs/>
        </w:rPr>
        <w:tab/>
        <w:t xml:space="preserve">Telephone Call Rates and Monitoring:  </w:t>
      </w:r>
      <w:r>
        <w:t>States surrounding Iowa were surveyed.  The Iowa DOC’s rates are comparable to rates in South Dakota, Wisconsin, Missouri, and Illinois.  Generally, rates vary by mileage and time of day the call is placed.  All states contacted record or monitor inmate te</w:t>
      </w:r>
      <w:r>
        <w:t xml:space="preserve">lephone calls due to security concerns.  All states </w:t>
      </w:r>
      <w:r>
        <w:lastRenderedPageBreak/>
        <w:t xml:space="preserve">contacted, including Iowa, indicate that calls to attorneys are not recorded.  </w:t>
      </w:r>
    </w:p>
    <w:p w:rsidR="00000000" w:rsidRDefault="003E6013">
      <w:pPr>
        <w:framePr w:w="796" w:h="865" w:hSpace="180" w:wrap="around" w:vAnchor="text" w:hAnchor="page" w:x="1535" w:y="110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52120" cy="441325"/>
            <wp:effectExtent l="1905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4"/>
                    <a:srcRect/>
                    <a:stretch>
                      <a:fillRect/>
                    </a:stretch>
                  </pic:blipFill>
                  <pic:spPr bwMode="auto">
                    <a:xfrm>
                      <a:off x="0" y="0"/>
                      <a:ext cx="452120" cy="441325"/>
                    </a:xfrm>
                    <a:prstGeom prst="rect">
                      <a:avLst/>
                    </a:prstGeom>
                    <a:noFill/>
                    <a:ln w="9525">
                      <a:noFill/>
                      <a:miter lim="800000"/>
                      <a:headEnd/>
                      <a:tailEnd/>
                    </a:ln>
                  </pic:spPr>
                </pic:pic>
              </a:graphicData>
            </a:graphic>
          </wp:inline>
        </w:drawing>
      </w:r>
    </w:p>
    <w:p w:rsidR="00000000" w:rsidRDefault="003E6013">
      <w:pPr>
        <w:pStyle w:val="textup"/>
      </w:pPr>
      <w:r>
        <w:rPr>
          <w:b/>
        </w:rPr>
        <w:t>Alternatives</w:t>
      </w:r>
      <w:r>
        <w:rPr>
          <w:b/>
          <w:bCs/>
        </w:rPr>
        <w:tab/>
        <w:t xml:space="preserve">Alternatives:  </w:t>
      </w:r>
      <w:r>
        <w:t xml:space="preserve">The General Assembly has amended the </w:t>
      </w:r>
      <w:r>
        <w:rPr>
          <w:u w:val="single"/>
        </w:rPr>
        <w:t>Code of Iowa</w:t>
      </w:r>
      <w:r>
        <w:t xml:space="preserve"> to enhance legislative oversight.  However, </w:t>
      </w:r>
      <w:r>
        <w:t xml:space="preserve">the Governor vetoed the amendments to Chapter 904.508A, </w:t>
      </w:r>
      <w:r>
        <w:rPr>
          <w:u w:val="single"/>
        </w:rPr>
        <w:t>Code of Iowa</w:t>
      </w:r>
      <w:r>
        <w:t>.  There are several other alternatives the General Assembly may choose to consider:</w:t>
      </w:r>
    </w:p>
    <w:p w:rsidR="00000000" w:rsidRDefault="003E6013">
      <w:pPr>
        <w:pStyle w:val="Bulletup"/>
      </w:pPr>
      <w:r>
        <w:t>Implement a system where the inmates use the State phone system and Personal Identification Number (PIN</w:t>
      </w:r>
      <w:r>
        <w:t>).  The PIN could track which inmate made the call, so the cost could be deducted from the inmate’s account.  If the inmate has no funds in his/her account, the telephone call could not be made.  This is similar to the Minnesota and Nebraska systems.</w:t>
      </w:r>
    </w:p>
    <w:p w:rsidR="00000000" w:rsidRDefault="003E6013">
      <w:pPr>
        <w:pStyle w:val="Bulletup"/>
      </w:pPr>
      <w:r>
        <w:t>Elimi</w:t>
      </w:r>
      <w:r>
        <w:t>nate any net receipts.  This option may result in lower telephone rates.  This is similar to the Missouri system, where the DOC requests cost recovery from the General Fund.</w:t>
      </w:r>
    </w:p>
    <w:p w:rsidR="00000000" w:rsidRDefault="003E6013">
      <w:pPr>
        <w:pStyle w:val="Bulletup"/>
      </w:pPr>
      <w:r>
        <w:t>Deposit receipts into the General Fund and appropriate funds to the DOC for projec</w:t>
      </w:r>
      <w:r>
        <w:t>ts that benefit inmates.  This enhances legislative oversight and resolves the cash flow issue.</w:t>
      </w:r>
    </w:p>
    <w:p w:rsidR="00000000" w:rsidRDefault="003E6013">
      <w:pPr>
        <w:pStyle w:val="Bulletup"/>
      </w:pPr>
      <w:r>
        <w:t>Deposit receipts in the General Fund to be used for general purposes.  This option would increase General Fund receipts by approximately $1.0 million.  It may e</w:t>
      </w:r>
      <w:r>
        <w:t xml:space="preserve">liminate currently funded projects that benefit inmates, such as victim programs.  </w:t>
      </w:r>
    </w:p>
    <w:p w:rsidR="00000000" w:rsidRDefault="003E6013">
      <w:pPr>
        <w:pStyle w:val="textup"/>
      </w:pPr>
      <w:r>
        <w:rPr>
          <w:b/>
        </w:rPr>
        <w:t>Copies Available</w:t>
      </w:r>
      <w:r>
        <w:tab/>
        <w:t>The General Assembly may wish to review the administration of pay telephone systems used by the Department of Transportation and the Board of Regents.  Cop</w:t>
      </w:r>
      <w:r>
        <w:t>ies of the</w:t>
      </w:r>
      <w:r>
        <w:rPr>
          <w:b/>
          <w:bCs/>
          <w:i/>
          <w:iCs/>
        </w:rPr>
        <w:t xml:space="preserve"> Issue Review</w:t>
      </w:r>
      <w:r>
        <w:t xml:space="preserve"> are available upon request from the LFB.</w:t>
      </w:r>
    </w:p>
    <w:p w:rsidR="00000000" w:rsidRDefault="003E6013">
      <w:pPr>
        <w:pStyle w:val="Contactup"/>
      </w:pPr>
      <w:r>
        <w:t>STAFF CONTACT:  Beth Lenstra (Ext. 16301)</w:t>
      </w:r>
    </w:p>
    <w:p w:rsidR="00000000" w:rsidRDefault="003E6013">
      <w:pPr>
        <w:pStyle w:val="Blurbtitle"/>
      </w:pPr>
      <w:bookmarkStart w:id="19" w:name="FU2MDFA"/>
      <w:r>
        <w:rPr>
          <w:i/>
          <w:iCs/>
        </w:rPr>
        <w:t>Issue Review:</w:t>
      </w:r>
      <w:r>
        <w:t xml:space="preserve">  Iowa Finance Authority Housing Loan Program</w:t>
      </w:r>
      <w:bookmarkEnd w:id="19"/>
    </w:p>
    <w:p w:rsidR="00000000" w:rsidRDefault="003E6013">
      <w:pPr>
        <w:framePr w:w="943" w:h="916" w:hSpace="180" w:wrap="around" w:vAnchor="text" w:hAnchor="page" w:x="1348" w:y="794"/>
      </w:pPr>
      <w:r>
        <w:object w:dxaOrig="1080" w:dyaOrig="941">
          <v:shape id="_x0000_i1058" type="#_x0000_t75" style="width:54.2pt;height:39.8pt" o:ole="">
            <v:imagedata r:id="rId55" o:title=""/>
          </v:shape>
          <o:OLEObject Type="Embed" ProgID="Word.Picture.8" ShapeID="_x0000_i1058" DrawAspect="Content" ObjectID="_1315217494" r:id="rId56"/>
        </w:object>
      </w:r>
    </w:p>
    <w:p w:rsidR="00000000" w:rsidRDefault="003E6013">
      <w:pPr>
        <w:pStyle w:val="textup"/>
      </w:pPr>
      <w:r>
        <w:rPr>
          <w:b/>
        </w:rPr>
        <w:t>Finance Authority Loan Prg.</w:t>
      </w:r>
      <w:r>
        <w:tab/>
        <w:t xml:space="preserve">The Legislative Fiscal Bureau has </w:t>
      </w:r>
      <w:r>
        <w:t xml:space="preserve">completed an </w:t>
      </w:r>
      <w:r>
        <w:rPr>
          <w:b/>
          <w:bCs/>
          <w:i/>
          <w:iCs/>
        </w:rPr>
        <w:t>Issue Review</w:t>
      </w:r>
      <w:r>
        <w:t xml:space="preserve"> examining the Housing Assistance Fund and the First-Time Home Buyers Mortgage Loan Programs in regard to loan payment delinquencies and defaults.  The Housing Assistance Fund Programs make loans for a variety of housing projects, </w:t>
      </w:r>
      <w:r>
        <w:t>programs, and activities.  The Program provides financial assistance for creative and innovative housing projects, which are often multi-family rental units.  The First-Time Home Buyer Mortgage Loan Program (also called Iowa FirstHome) assists first-time h</w:t>
      </w:r>
      <w:r>
        <w:t xml:space="preserve">omebuyers to obtain below-market interest rates on their mortgage loans.  The Authority issues bonds to obtain funding for the Iowa FirstHome Program.  </w:t>
      </w:r>
    </w:p>
    <w:p w:rsidR="00000000" w:rsidRDefault="003E6013">
      <w:pPr>
        <w:pStyle w:val="textup"/>
      </w:pPr>
      <w:r>
        <w:rPr>
          <w:b/>
        </w:rPr>
        <w:t>Two Programs</w:t>
      </w:r>
      <w:r>
        <w:tab/>
        <w:t>The report discusses the loan delinquencies and defaults by the two programs and the diffe</w:t>
      </w:r>
      <w:r>
        <w:t>rent budget implications for each program.  The Housing Assistance Fund Program has greater risk of loss since the Authority typically does not hold the first mortgage on the projects.  The Iowa FirstHome Program operates differently.  Financial institutio</w:t>
      </w:r>
      <w:r>
        <w:t xml:space="preserve">ns make </w:t>
      </w:r>
      <w:r>
        <w:lastRenderedPageBreak/>
        <w:t>loans to Iowa FirstHome Program participants, following standard underwriting guidelines.  These loans are sold on the secondary market, such as Fannie Mae, and the Authority is not directly at risk for loan defaults.</w:t>
      </w:r>
    </w:p>
    <w:p w:rsidR="00000000" w:rsidRDefault="003E6013">
      <w:pPr>
        <w:framePr w:w="796" w:h="865" w:hSpace="180" w:wrap="around" w:vAnchor="text" w:hAnchor="page" w:x="1535" w:y="-1176"/>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494665" cy="236855"/>
            <wp:effectExtent l="1905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57"/>
                    <a:srcRect/>
                    <a:stretch>
                      <a:fillRect/>
                    </a:stretch>
                  </pic:blipFill>
                  <pic:spPr bwMode="auto">
                    <a:xfrm>
                      <a:off x="0" y="0"/>
                      <a:ext cx="494665" cy="236855"/>
                    </a:xfrm>
                    <a:prstGeom prst="rect">
                      <a:avLst/>
                    </a:prstGeom>
                    <a:noFill/>
                    <a:ln w="9525">
                      <a:noFill/>
                      <a:miter lim="800000"/>
                      <a:headEnd/>
                      <a:tailEnd/>
                    </a:ln>
                  </pic:spPr>
                </pic:pic>
              </a:graphicData>
            </a:graphic>
          </wp:inline>
        </w:drawing>
      </w:r>
    </w:p>
    <w:p w:rsidR="00000000" w:rsidRDefault="003E6013">
      <w:pPr>
        <w:pStyle w:val="textup"/>
      </w:pPr>
      <w:r>
        <w:rPr>
          <w:b/>
        </w:rPr>
        <w:t>Foreclosures</w:t>
      </w:r>
      <w:r>
        <w:tab/>
        <w:t>By August 2000,</w:t>
      </w:r>
      <w:r>
        <w:t xml:space="preserve"> the Housing Assistance Fund Program had five loans in foreclosure, and a sixth was 17 months delinquent.  The Authority reports the issues with the projects are being resolved, and the foreclosures are not expected to proceed.  The Authority is implementi</w:t>
      </w:r>
      <w:r>
        <w:t xml:space="preserve">ng new underwriting standards to avoid funding future projects that are likely to encounter cashflow problems like those experienced by these projects.  </w:t>
      </w:r>
    </w:p>
    <w:p w:rsidR="00000000" w:rsidRDefault="003E6013">
      <w:pPr>
        <w:pStyle w:val="textup"/>
      </w:pPr>
      <w:r>
        <w:rPr>
          <w:b/>
        </w:rPr>
        <w:t>Copies Available</w:t>
      </w:r>
      <w:r>
        <w:tab/>
        <w:t xml:space="preserve">Copies of the </w:t>
      </w:r>
      <w:r>
        <w:rPr>
          <w:b/>
          <w:bCs/>
          <w:i/>
          <w:iCs/>
        </w:rPr>
        <w:t>Issue Review</w:t>
      </w:r>
      <w:r>
        <w:t xml:space="preserve"> are available from the Legislative Fiscal Bureau or on the</w:t>
      </w:r>
      <w:r>
        <w:t xml:space="preserve"> LFB web site at </w:t>
      </w:r>
      <w:hyperlink r:id="rId58" w:history="1">
        <w:r>
          <w:rPr>
            <w:rStyle w:val="Hyperlink"/>
          </w:rPr>
          <w:t>http://staffweb.legis.state.ia.us/lfb/ireview/ireview.htm</w:t>
        </w:r>
      </w:hyperlink>
      <w:r>
        <w:t xml:space="preserve">.  </w:t>
      </w:r>
    </w:p>
    <w:p w:rsidR="00000000" w:rsidRDefault="003E6013">
      <w:pPr>
        <w:pStyle w:val="Contactup"/>
      </w:pPr>
      <w:r>
        <w:t>STAFF CONTACT:  Dwayne Ferguson (Ext. 16561)</w:t>
      </w:r>
    </w:p>
    <w:p w:rsidR="00000000" w:rsidRDefault="003E6013">
      <w:pPr>
        <w:pStyle w:val="Blurbtitle"/>
      </w:pPr>
      <w:bookmarkStart w:id="20" w:name="FU2RITB"/>
      <w:r>
        <w:rPr>
          <w:i/>
          <w:iCs/>
        </w:rPr>
        <w:t>ISSUE REVIEW</w:t>
      </w:r>
      <w:r>
        <w:t xml:space="preserve"> - CHILDHOOD LEAD POISONING AND PREVENTION</w:t>
      </w:r>
      <w:bookmarkEnd w:id="20"/>
    </w:p>
    <w:p w:rsidR="00000000" w:rsidRDefault="003E6013">
      <w:pPr>
        <w:framePr w:w="943" w:h="916" w:hSpace="180" w:wrap="around" w:vAnchor="text" w:hAnchor="page" w:x="1348" w:y="669"/>
      </w:pPr>
      <w:r>
        <w:object w:dxaOrig="1080" w:dyaOrig="941">
          <v:shape id="_x0000_i1065" type="#_x0000_t75" style="width:54.2pt;height:39.8pt" o:ole="">
            <v:imagedata r:id="rId53" o:title=""/>
          </v:shape>
          <o:OLEObject Type="Embed" ProgID="Word.Document.8" ShapeID="_x0000_i1065" DrawAspect="Content" ObjectID="_1315217495" r:id="rId59"/>
        </w:object>
      </w:r>
    </w:p>
    <w:p w:rsidR="00000000" w:rsidRDefault="003E6013">
      <w:pPr>
        <w:pStyle w:val="textup"/>
      </w:pPr>
      <w:r>
        <w:rPr>
          <w:b/>
          <w:noProof/>
        </w:rPr>
        <w:pict>
          <v:shape id="_x0000_s1040" type="#_x0000_t202" style="position:absolute;margin-left:-130.95pt;margin-top:204.8pt;width:45pt;height:54pt;z-index:251661312">
            <v:textbox>
              <w:txbxContent>
                <w:p w:rsidR="00000000" w:rsidRDefault="003E6013">
                  <w:pPr>
                    <w:rPr>
                      <w:rFonts w:ascii="Wingdings" w:hAnsi="Wingdings"/>
                      <w:sz w:val="96"/>
                    </w:rPr>
                  </w:pPr>
                  <w:r>
                    <w:rPr>
                      <w:rFonts w:ascii="Wingdings" w:hAnsi="Wingdings"/>
                      <w:sz w:val="96"/>
                    </w:rPr>
                    <w:t></w:t>
                  </w:r>
                </w:p>
              </w:txbxContent>
            </v:textbox>
          </v:shape>
        </w:pict>
      </w:r>
      <w:r>
        <w:rPr>
          <w:b/>
        </w:rPr>
        <w:t>Childhood Lead Poisoning</w:t>
      </w:r>
      <w:r>
        <w:tab/>
        <w:t xml:space="preserve">The Legislative Fiscal Bureau recently released an </w:t>
      </w:r>
      <w:r>
        <w:rPr>
          <w:b/>
          <w:bCs/>
          <w:i/>
          <w:iCs/>
        </w:rPr>
        <w:t xml:space="preserve">Issue Review </w:t>
      </w:r>
      <w:r>
        <w:t xml:space="preserve">regarding Childhood Lead Poisoning and Prevention.  Lead poisoning is measured in micrograms (one millionth of a gram) of lead per deciliter </w:t>
      </w:r>
      <w:r>
        <w:t>(one-tenth of a liter) of blood.  A child is determined to be lead-poisoned if a blood lead test indicates a measurement of 10 micrograms of lead per deciliter of blood.  This is the level at which the Centers for Disease Control and Prevention (CDC) has d</w:t>
      </w:r>
      <w:r>
        <w:t>etermined health effects can start to become significant and the level at which action should be taken to keep the blood lead level from increasing.  Iowa’s incidence of childhood lead poisoning is three times higher than the national average.  The Iowa De</w:t>
      </w:r>
      <w:r>
        <w:t>partment of Public Health has determined that lead-based paint is most often the source of childhood lead poisoning.  Lead-based paint is typically found in older homes, most often built prior to 1960.  When compared to the nation, Iowa ranks 6</w:t>
      </w:r>
      <w:r>
        <w:rPr>
          <w:vertAlign w:val="superscript"/>
        </w:rPr>
        <w:t>th</w:t>
      </w:r>
      <w:r>
        <w:t xml:space="preserve"> in the pe</w:t>
      </w:r>
      <w:r>
        <w:t>rcentage of pre-1960, pre-1950, and pre-1940 housing.  In efforts to combat childhood lead poisoning, the Iowa Department of Public Health provides financial assistance to counties to start up and maintain local lead poisoning prevention programs.  Local p</w:t>
      </w:r>
      <w:r>
        <w:t>rograms serve to:</w:t>
      </w:r>
    </w:p>
    <w:p w:rsidR="00000000" w:rsidRDefault="003E6013">
      <w:pPr>
        <w:pStyle w:val="Bulletup"/>
      </w:pPr>
      <w:r>
        <w:t>Assure that children are tested for lead poisoning.</w:t>
      </w:r>
    </w:p>
    <w:p w:rsidR="00000000" w:rsidRDefault="003E6013">
      <w:pPr>
        <w:pStyle w:val="Bulletup"/>
      </w:pPr>
      <w:r>
        <w:t>Provide blood testing for children when funding is available.</w:t>
      </w:r>
    </w:p>
    <w:p w:rsidR="00000000" w:rsidRDefault="003E6013">
      <w:pPr>
        <w:pStyle w:val="Bulletup"/>
      </w:pPr>
      <w:r>
        <w:t>Conduct environmental and medical case management of lead-poisoned children.</w:t>
      </w:r>
    </w:p>
    <w:p w:rsidR="00000000" w:rsidRDefault="003E6013">
      <w:pPr>
        <w:pStyle w:val="Bulletup"/>
      </w:pPr>
      <w:r>
        <w:t>Provide education and outreach regarding childh</w:t>
      </w:r>
      <w:r>
        <w:t xml:space="preserve">ood lead poisoning.  </w:t>
      </w:r>
    </w:p>
    <w:p w:rsidR="00000000" w:rsidRDefault="003E6013">
      <w:pPr>
        <w:pStyle w:val="Bulletup"/>
      </w:pPr>
      <w:r>
        <w:t xml:space="preserve">Help manage blood lead testing data and data regarding case management activities. </w:t>
      </w:r>
    </w:p>
    <w:p w:rsidR="00000000" w:rsidRDefault="003E6013">
      <w:pPr>
        <w:framePr w:w="783" w:h="981" w:hSpace="180" w:wrap="around" w:vAnchor="text" w:hAnchor="page" w:x="1535" w:y="815"/>
        <w:pBdr>
          <w:top w:val="single" w:sz="12" w:space="5" w:color="auto" w:shadow="1"/>
          <w:left w:val="single" w:sz="12" w:space="5" w:color="auto" w:shadow="1"/>
          <w:bottom w:val="single" w:sz="12" w:space="5" w:color="auto" w:shadow="1"/>
          <w:right w:val="single" w:sz="12" w:space="5" w:color="auto" w:shadow="1"/>
        </w:pBdr>
        <w:rPr>
          <w:rFonts w:ascii="Univers" w:hAnsi="Univers"/>
          <w:b/>
        </w:rPr>
      </w:pPr>
      <w:r>
        <w:rPr>
          <w:rFonts w:ascii="Univers" w:hAnsi="Univers"/>
          <w:b/>
          <w:noProof/>
        </w:rPr>
        <w:lastRenderedPageBreak/>
        <w:drawing>
          <wp:inline distT="0" distB="0" distL="0" distR="0">
            <wp:extent cx="494665" cy="322580"/>
            <wp:effectExtent l="19050" t="0" r="63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0"/>
                    <a:srcRect/>
                    <a:stretch>
                      <a:fillRect/>
                    </a:stretch>
                  </pic:blipFill>
                  <pic:spPr bwMode="auto">
                    <a:xfrm>
                      <a:off x="0" y="0"/>
                      <a:ext cx="494665" cy="322580"/>
                    </a:xfrm>
                    <a:prstGeom prst="rect">
                      <a:avLst/>
                    </a:prstGeom>
                    <a:noFill/>
                    <a:ln w="9525">
                      <a:noFill/>
                      <a:miter lim="800000"/>
                      <a:headEnd/>
                      <a:tailEnd/>
                    </a:ln>
                  </pic:spPr>
                </pic:pic>
              </a:graphicData>
            </a:graphic>
          </wp:inline>
        </w:drawing>
      </w:r>
    </w:p>
    <w:p w:rsidR="00000000" w:rsidRDefault="003E6013">
      <w:pPr>
        <w:pStyle w:val="textup"/>
      </w:pPr>
      <w:r>
        <w:rPr>
          <w:b/>
        </w:rPr>
        <w:t>Program Goal</w:t>
      </w:r>
      <w:r>
        <w:tab/>
        <w:t>The goal of the Childhood Lead Poisoning Prevention Program is to expand local prevention programs to all of Iowa’s 99 counties.  Curre</w:t>
      </w:r>
      <w:r>
        <w:t>ntly, there are 28 counties in Iowa that do not have local lead poisoning prevention programs.  The Department of Public Health estimates that it will cost an average of $17,000 per county to start a new local prevention program.  However, since new progra</w:t>
      </w:r>
      <w:r>
        <w:t>ms require a significant amount of technical support from the Department, the Department recommends that 9 new programs be started per year.  Below is the Department of Public Health estimate to expand and maintain local programs for FY 2002.</w:t>
      </w:r>
    </w:p>
    <w:p w:rsidR="00000000" w:rsidRDefault="003E6013">
      <w:pPr>
        <w:pStyle w:val="BodyText"/>
        <w:spacing w:before="0"/>
        <w:jc w:val="center"/>
        <w:rPr>
          <w:b/>
          <w:bCs/>
          <w:sz w:val="20"/>
        </w:rPr>
      </w:pPr>
      <w:r>
        <w:rPr>
          <w:b/>
          <w:bCs/>
          <w:sz w:val="20"/>
        </w:rPr>
        <w:t>FY 2002 Fundi</w:t>
      </w:r>
      <w:r>
        <w:rPr>
          <w:b/>
          <w:bCs/>
          <w:sz w:val="20"/>
        </w:rPr>
        <w:t>ng Estimates to Expand/Maintain Local Programs</w:t>
      </w:r>
    </w:p>
    <w:tbl>
      <w:tblPr>
        <w:tblW w:w="6577" w:type="dxa"/>
        <w:jc w:val="center"/>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359"/>
        <w:gridCol w:w="1218"/>
      </w:tblGrid>
      <w:tr w:rsidR="00000000">
        <w:tblPrEx>
          <w:tblCellMar>
            <w:top w:w="0" w:type="dxa"/>
            <w:bottom w:w="0" w:type="dxa"/>
          </w:tblCellMar>
        </w:tblPrEx>
        <w:trPr>
          <w:jc w:val="center"/>
        </w:trPr>
        <w:tc>
          <w:tcPr>
            <w:tcW w:w="5359" w:type="dxa"/>
            <w:tcBorders>
              <w:top w:val="single" w:sz="4" w:space="0" w:color="auto"/>
              <w:left w:val="single" w:sz="4" w:space="0" w:color="auto"/>
              <w:bottom w:val="single" w:sz="4" w:space="0" w:color="auto"/>
              <w:right w:val="single" w:sz="4" w:space="0" w:color="auto"/>
            </w:tcBorders>
          </w:tcPr>
          <w:p w:rsidR="00000000" w:rsidRDefault="003E6013">
            <w:pPr>
              <w:pStyle w:val="BodyText"/>
              <w:rPr>
                <w:sz w:val="18"/>
                <w:szCs w:val="18"/>
              </w:rPr>
            </w:pPr>
            <w:r>
              <w:rPr>
                <w:sz w:val="18"/>
                <w:szCs w:val="18"/>
              </w:rPr>
              <w:t>Restores funding for original 64 counties*</w:t>
            </w:r>
          </w:p>
        </w:tc>
        <w:tc>
          <w:tcPr>
            <w:tcW w:w="1218" w:type="dxa"/>
            <w:tcBorders>
              <w:top w:val="single" w:sz="4" w:space="0" w:color="auto"/>
              <w:left w:val="single" w:sz="4" w:space="0" w:color="auto"/>
              <w:bottom w:val="single" w:sz="4" w:space="0" w:color="auto"/>
              <w:right w:val="single" w:sz="4" w:space="0" w:color="auto"/>
            </w:tcBorders>
          </w:tcPr>
          <w:p w:rsidR="00000000" w:rsidRDefault="003E6013">
            <w:pPr>
              <w:pStyle w:val="BodyText"/>
              <w:rPr>
                <w:sz w:val="18"/>
                <w:szCs w:val="18"/>
              </w:rPr>
            </w:pPr>
            <w:r>
              <w:rPr>
                <w:sz w:val="18"/>
                <w:szCs w:val="18"/>
              </w:rPr>
              <w:t xml:space="preserve">$  100,000   </w:t>
            </w:r>
          </w:p>
        </w:tc>
      </w:tr>
      <w:tr w:rsidR="00000000">
        <w:tblPrEx>
          <w:tblCellMar>
            <w:top w:w="0" w:type="dxa"/>
            <w:bottom w:w="0" w:type="dxa"/>
          </w:tblCellMar>
        </w:tblPrEx>
        <w:trPr>
          <w:jc w:val="center"/>
        </w:trPr>
        <w:tc>
          <w:tcPr>
            <w:tcW w:w="5359" w:type="dxa"/>
            <w:tcBorders>
              <w:top w:val="single" w:sz="4" w:space="0" w:color="auto"/>
              <w:left w:val="single" w:sz="4" w:space="0" w:color="auto"/>
              <w:bottom w:val="single" w:sz="4" w:space="0" w:color="auto"/>
              <w:right w:val="single" w:sz="4" w:space="0" w:color="auto"/>
            </w:tcBorders>
          </w:tcPr>
          <w:p w:rsidR="00000000" w:rsidRDefault="003E6013">
            <w:pPr>
              <w:pStyle w:val="BodyText"/>
              <w:rPr>
                <w:sz w:val="18"/>
                <w:szCs w:val="18"/>
              </w:rPr>
            </w:pPr>
            <w:r>
              <w:rPr>
                <w:sz w:val="18"/>
                <w:szCs w:val="18"/>
              </w:rPr>
              <w:t>Maintenance funding for 7 new counties created in FY 2001</w:t>
            </w:r>
          </w:p>
        </w:tc>
        <w:tc>
          <w:tcPr>
            <w:tcW w:w="1218" w:type="dxa"/>
            <w:tcBorders>
              <w:top w:val="single" w:sz="4" w:space="0" w:color="auto"/>
              <w:left w:val="single" w:sz="4" w:space="0" w:color="auto"/>
              <w:bottom w:val="single" w:sz="4" w:space="0" w:color="auto"/>
              <w:right w:val="single" w:sz="4" w:space="0" w:color="auto"/>
            </w:tcBorders>
          </w:tcPr>
          <w:p w:rsidR="00000000" w:rsidRDefault="003E6013">
            <w:pPr>
              <w:pStyle w:val="BodyText"/>
              <w:jc w:val="right"/>
              <w:rPr>
                <w:sz w:val="18"/>
                <w:szCs w:val="18"/>
              </w:rPr>
            </w:pPr>
            <w:r>
              <w:rPr>
                <w:sz w:val="18"/>
                <w:szCs w:val="18"/>
              </w:rPr>
              <w:t>56,000</w:t>
            </w:r>
          </w:p>
        </w:tc>
      </w:tr>
      <w:tr w:rsidR="00000000">
        <w:tblPrEx>
          <w:tblCellMar>
            <w:top w:w="0" w:type="dxa"/>
            <w:bottom w:w="0" w:type="dxa"/>
          </w:tblCellMar>
        </w:tblPrEx>
        <w:trPr>
          <w:jc w:val="center"/>
        </w:trPr>
        <w:tc>
          <w:tcPr>
            <w:tcW w:w="5359" w:type="dxa"/>
            <w:tcBorders>
              <w:top w:val="single" w:sz="4" w:space="0" w:color="auto"/>
              <w:left w:val="single" w:sz="4" w:space="0" w:color="auto"/>
              <w:bottom w:val="single" w:sz="4" w:space="0" w:color="auto"/>
              <w:right w:val="single" w:sz="4" w:space="0" w:color="auto"/>
            </w:tcBorders>
          </w:tcPr>
          <w:p w:rsidR="00000000" w:rsidRDefault="003E6013">
            <w:pPr>
              <w:pStyle w:val="BodyText"/>
              <w:rPr>
                <w:sz w:val="18"/>
                <w:szCs w:val="18"/>
              </w:rPr>
            </w:pPr>
            <w:r>
              <w:rPr>
                <w:sz w:val="18"/>
                <w:szCs w:val="18"/>
              </w:rPr>
              <w:t>Start-up funding for 9 new counties in FY 2002</w:t>
            </w:r>
          </w:p>
        </w:tc>
        <w:tc>
          <w:tcPr>
            <w:tcW w:w="1218" w:type="dxa"/>
            <w:tcBorders>
              <w:top w:val="single" w:sz="4" w:space="0" w:color="auto"/>
              <w:left w:val="single" w:sz="4" w:space="0" w:color="auto"/>
              <w:bottom w:val="single" w:sz="4" w:space="0" w:color="auto"/>
              <w:right w:val="single" w:sz="4" w:space="0" w:color="auto"/>
            </w:tcBorders>
          </w:tcPr>
          <w:p w:rsidR="00000000" w:rsidRDefault="003E6013">
            <w:pPr>
              <w:pStyle w:val="BodyText"/>
              <w:jc w:val="right"/>
              <w:rPr>
                <w:sz w:val="18"/>
                <w:szCs w:val="18"/>
              </w:rPr>
            </w:pPr>
            <w:r>
              <w:rPr>
                <w:sz w:val="18"/>
                <w:szCs w:val="18"/>
              </w:rPr>
              <w:t>153,000</w:t>
            </w:r>
          </w:p>
        </w:tc>
      </w:tr>
      <w:tr w:rsidR="00000000">
        <w:tblPrEx>
          <w:tblCellMar>
            <w:top w:w="0" w:type="dxa"/>
            <w:bottom w:w="0" w:type="dxa"/>
          </w:tblCellMar>
        </w:tblPrEx>
        <w:trPr>
          <w:jc w:val="center"/>
        </w:trPr>
        <w:tc>
          <w:tcPr>
            <w:tcW w:w="5359" w:type="dxa"/>
            <w:tcBorders>
              <w:top w:val="single" w:sz="4" w:space="0" w:color="auto"/>
              <w:left w:val="single" w:sz="4" w:space="0" w:color="auto"/>
              <w:bottom w:val="single" w:sz="4" w:space="0" w:color="auto"/>
              <w:right w:val="single" w:sz="4" w:space="0" w:color="auto"/>
            </w:tcBorders>
          </w:tcPr>
          <w:p w:rsidR="00000000" w:rsidRDefault="003E6013">
            <w:pPr>
              <w:pStyle w:val="BodyText"/>
              <w:rPr>
                <w:sz w:val="18"/>
                <w:szCs w:val="18"/>
              </w:rPr>
            </w:pPr>
            <w:r>
              <w:rPr>
                <w:sz w:val="18"/>
                <w:szCs w:val="18"/>
              </w:rPr>
              <w:t>Current State annual appropri</w:t>
            </w:r>
            <w:r>
              <w:rPr>
                <w:sz w:val="18"/>
                <w:szCs w:val="18"/>
              </w:rPr>
              <w:t xml:space="preserve">ation </w:t>
            </w:r>
          </w:p>
        </w:tc>
        <w:tc>
          <w:tcPr>
            <w:tcW w:w="1218" w:type="dxa"/>
            <w:tcBorders>
              <w:top w:val="single" w:sz="4" w:space="0" w:color="auto"/>
              <w:left w:val="single" w:sz="4" w:space="0" w:color="auto"/>
              <w:bottom w:val="single" w:sz="4" w:space="0" w:color="auto"/>
              <w:right w:val="single" w:sz="4" w:space="0" w:color="auto"/>
            </w:tcBorders>
          </w:tcPr>
          <w:p w:rsidR="00000000" w:rsidRDefault="003E6013">
            <w:pPr>
              <w:pStyle w:val="BodyText"/>
              <w:jc w:val="right"/>
              <w:rPr>
                <w:sz w:val="18"/>
                <w:szCs w:val="18"/>
              </w:rPr>
            </w:pPr>
            <w:r>
              <w:rPr>
                <w:sz w:val="18"/>
                <w:szCs w:val="18"/>
              </w:rPr>
              <w:t>39,000</w:t>
            </w:r>
          </w:p>
        </w:tc>
      </w:tr>
      <w:tr w:rsidR="00000000">
        <w:tblPrEx>
          <w:tblCellMar>
            <w:top w:w="0" w:type="dxa"/>
            <w:bottom w:w="0" w:type="dxa"/>
          </w:tblCellMar>
        </w:tblPrEx>
        <w:trPr>
          <w:jc w:val="center"/>
        </w:trPr>
        <w:tc>
          <w:tcPr>
            <w:tcW w:w="5359" w:type="dxa"/>
            <w:tcBorders>
              <w:top w:val="single" w:sz="4" w:space="0" w:color="auto"/>
              <w:left w:val="single" w:sz="4" w:space="0" w:color="auto"/>
              <w:bottom w:val="single" w:sz="4" w:space="0" w:color="auto"/>
              <w:right w:val="single" w:sz="4" w:space="0" w:color="auto"/>
            </w:tcBorders>
          </w:tcPr>
          <w:p w:rsidR="00000000" w:rsidRDefault="003E6013">
            <w:pPr>
              <w:pStyle w:val="BodyText"/>
              <w:rPr>
                <w:sz w:val="18"/>
                <w:szCs w:val="18"/>
              </w:rPr>
            </w:pPr>
            <w:r>
              <w:rPr>
                <w:sz w:val="18"/>
                <w:szCs w:val="18"/>
              </w:rPr>
              <w:t>Total State funding FY 2002</w:t>
            </w:r>
          </w:p>
        </w:tc>
        <w:tc>
          <w:tcPr>
            <w:tcW w:w="1218" w:type="dxa"/>
            <w:tcBorders>
              <w:top w:val="single" w:sz="4" w:space="0" w:color="auto"/>
              <w:left w:val="single" w:sz="4" w:space="0" w:color="auto"/>
              <w:bottom w:val="single" w:sz="4" w:space="0" w:color="auto"/>
              <w:right w:val="single" w:sz="4" w:space="0" w:color="auto"/>
            </w:tcBorders>
          </w:tcPr>
          <w:p w:rsidR="00000000" w:rsidRDefault="003E6013">
            <w:pPr>
              <w:pStyle w:val="BodyText"/>
              <w:jc w:val="right"/>
              <w:rPr>
                <w:sz w:val="18"/>
                <w:szCs w:val="18"/>
              </w:rPr>
            </w:pPr>
            <w:r>
              <w:rPr>
                <w:sz w:val="18"/>
                <w:szCs w:val="18"/>
              </w:rPr>
              <w:t xml:space="preserve">$  348,000            </w:t>
            </w:r>
          </w:p>
        </w:tc>
      </w:tr>
    </w:tbl>
    <w:p w:rsidR="00000000" w:rsidRDefault="003E6013">
      <w:pPr>
        <w:pStyle w:val="BodyText"/>
        <w:spacing w:before="0"/>
        <w:rPr>
          <w:sz w:val="18"/>
          <w:szCs w:val="18"/>
        </w:rPr>
      </w:pPr>
      <w:r>
        <w:rPr>
          <w:sz w:val="18"/>
          <w:szCs w:val="18"/>
        </w:rPr>
        <w:t xml:space="preserve">    * Funding to these counties was reduced to start new programs.</w:t>
      </w:r>
    </w:p>
    <w:p w:rsidR="00000000" w:rsidRDefault="003E6013">
      <w:pPr>
        <w:framePr w:w="501" w:h="1159" w:hSpace="180" w:wrap="around" w:vAnchor="text" w:hAnchor="page" w:x="1355" w:y="814"/>
        <w:pBdr>
          <w:top w:val="single" w:sz="12" w:space="5" w:color="auto" w:shadow="1"/>
          <w:left w:val="single" w:sz="12" w:space="5" w:color="auto" w:shadow="1"/>
          <w:bottom w:val="single" w:sz="12" w:space="5" w:color="auto" w:shadow="1"/>
          <w:right w:val="single" w:sz="12" w:space="5" w:color="auto" w:shadow="1"/>
        </w:pBdr>
      </w:pPr>
      <w:r>
        <w:rPr>
          <w:noProof/>
        </w:rPr>
        <w:drawing>
          <wp:inline distT="0" distB="0" distL="0" distR="0">
            <wp:extent cx="311785" cy="452120"/>
            <wp:effectExtent l="1905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9"/>
                    <a:srcRect/>
                    <a:stretch>
                      <a:fillRect/>
                    </a:stretch>
                  </pic:blipFill>
                  <pic:spPr bwMode="auto">
                    <a:xfrm>
                      <a:off x="0" y="0"/>
                      <a:ext cx="311785" cy="452120"/>
                    </a:xfrm>
                    <a:prstGeom prst="rect">
                      <a:avLst/>
                    </a:prstGeom>
                    <a:noFill/>
                    <a:ln w="9525">
                      <a:noFill/>
                      <a:miter lim="800000"/>
                      <a:headEnd/>
                      <a:tailEnd/>
                    </a:ln>
                  </pic:spPr>
                </pic:pic>
              </a:graphicData>
            </a:graphic>
          </wp:inline>
        </w:drawing>
      </w:r>
    </w:p>
    <w:p w:rsidR="00000000" w:rsidRDefault="003E6013">
      <w:pPr>
        <w:pStyle w:val="textup"/>
      </w:pPr>
      <w:r>
        <w:rPr>
          <w:b/>
        </w:rPr>
        <w:t>Program Funding</w:t>
      </w:r>
      <w:r>
        <w:tab/>
        <w:t>The Childhood Lead Poisoning Prevention Program in the Department of Public Health currently receives St</w:t>
      </w:r>
      <w:r>
        <w:t>ate General Fund dollars, as well as federal dollars from the CDC, to support its operations.  Below is a five-year history of the federal and State funding for the Childhood Lead Poisoning Prevention Program in the Department of Public Health and the gene</w:t>
      </w:r>
      <w:r>
        <w:t>ral expenditures of the Program.</w:t>
      </w:r>
    </w:p>
    <w:p w:rsidR="00000000" w:rsidRDefault="003E6013">
      <w:pPr>
        <w:pStyle w:val="BodyText"/>
        <w:spacing w:before="0"/>
        <w:jc w:val="center"/>
      </w:pPr>
      <w:r>
        <w:t xml:space="preserve"> </w:t>
      </w:r>
    </w:p>
    <w:p w:rsidR="00000000" w:rsidRDefault="003E6013">
      <w:pPr>
        <w:pStyle w:val="BodyText"/>
        <w:spacing w:before="0"/>
        <w:jc w:val="center"/>
        <w:rPr>
          <w:b/>
          <w:bCs/>
        </w:rPr>
      </w:pPr>
      <w:r>
        <w:t xml:space="preserve"> </w:t>
      </w:r>
      <w:r>
        <w:rPr>
          <w:b/>
          <w:bCs/>
        </w:rPr>
        <w:t>Funding for Childhood Lead Poisoning Prevention Program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8"/>
        <w:gridCol w:w="901"/>
        <w:gridCol w:w="801"/>
        <w:gridCol w:w="1372"/>
        <w:gridCol w:w="2260"/>
        <w:gridCol w:w="1160"/>
        <w:gridCol w:w="1238"/>
      </w:tblGrid>
      <w:tr w:rsidR="00000000">
        <w:tblPrEx>
          <w:tblCellMar>
            <w:top w:w="0" w:type="dxa"/>
            <w:left w:w="0" w:type="dxa"/>
            <w:bottom w:w="0" w:type="dxa"/>
            <w:right w:w="0" w:type="dxa"/>
          </w:tblCellMar>
        </w:tblPrEx>
        <w:trPr>
          <w:trHeight w:val="474"/>
          <w:jc w:val="center"/>
        </w:trPr>
        <w:tc>
          <w:tcPr>
            <w:tcW w:w="698" w:type="dxa"/>
            <w:tcBorders>
              <w:top w:val="single" w:sz="4" w:space="0" w:color="auto"/>
              <w:left w:val="single" w:sz="4" w:space="0" w:color="auto"/>
              <w:bottom w:val="single" w:sz="4" w:space="0" w:color="auto"/>
              <w:right w:val="single" w:sz="4" w:space="0" w:color="auto"/>
            </w:tcBorders>
            <w:vAlign w:val="bottom"/>
          </w:tcPr>
          <w:p w:rsidR="00000000" w:rsidRDefault="003E6013">
            <w:pPr>
              <w:jc w:val="center"/>
              <w:rPr>
                <w:rFonts w:ascii="Univers" w:hAnsi="Univers" w:cs="Arial"/>
                <w:b/>
                <w:bCs/>
                <w:sz w:val="18"/>
                <w:szCs w:val="18"/>
              </w:rPr>
            </w:pPr>
            <w:r>
              <w:rPr>
                <w:rFonts w:ascii="Univers" w:hAnsi="Univers" w:cs="Arial"/>
                <w:b/>
                <w:bCs/>
                <w:sz w:val="18"/>
                <w:szCs w:val="18"/>
              </w:rPr>
              <w:t>Fiscal</w:t>
            </w:r>
          </w:p>
          <w:p w:rsidR="00000000" w:rsidRDefault="003E6013">
            <w:pPr>
              <w:jc w:val="center"/>
              <w:rPr>
                <w:rFonts w:ascii="Univers" w:hAnsi="Univers"/>
                <w:b/>
                <w:bCs/>
                <w:sz w:val="18"/>
                <w:szCs w:val="18"/>
              </w:rPr>
            </w:pPr>
            <w:r>
              <w:rPr>
                <w:rFonts w:ascii="Univers" w:hAnsi="Univers" w:cs="Arial"/>
                <w:b/>
                <w:bCs/>
                <w:sz w:val="18"/>
                <w:szCs w:val="18"/>
              </w:rPr>
              <w:t xml:space="preserve">Year </w:t>
            </w:r>
          </w:p>
        </w:tc>
        <w:tc>
          <w:tcPr>
            <w:tcW w:w="901" w:type="dxa"/>
            <w:tcBorders>
              <w:top w:val="single" w:sz="4" w:space="0" w:color="auto"/>
              <w:left w:val="single" w:sz="4" w:space="0" w:color="auto"/>
              <w:bottom w:val="single" w:sz="4" w:space="0" w:color="auto"/>
              <w:right w:val="single" w:sz="4" w:space="0" w:color="auto"/>
            </w:tcBorders>
            <w:vAlign w:val="bottom"/>
          </w:tcPr>
          <w:p w:rsidR="00000000" w:rsidRDefault="003E6013">
            <w:pPr>
              <w:jc w:val="center"/>
              <w:rPr>
                <w:rFonts w:ascii="Univers" w:hAnsi="Univers" w:cs="Arial"/>
                <w:b/>
                <w:bCs/>
                <w:sz w:val="18"/>
                <w:szCs w:val="18"/>
              </w:rPr>
            </w:pPr>
            <w:r>
              <w:rPr>
                <w:rFonts w:ascii="Univers" w:hAnsi="Univers" w:cs="Arial"/>
                <w:b/>
                <w:bCs/>
                <w:sz w:val="18"/>
                <w:szCs w:val="18"/>
              </w:rPr>
              <w:t>Federal</w:t>
            </w:r>
          </w:p>
          <w:p w:rsidR="00000000" w:rsidRDefault="003E6013">
            <w:pPr>
              <w:jc w:val="center"/>
              <w:rPr>
                <w:rFonts w:ascii="Univers" w:hAnsi="Univers"/>
                <w:b/>
                <w:bCs/>
                <w:sz w:val="18"/>
                <w:szCs w:val="18"/>
              </w:rPr>
            </w:pPr>
            <w:r>
              <w:rPr>
                <w:rFonts w:ascii="Univers" w:hAnsi="Univers" w:cs="Arial"/>
                <w:b/>
                <w:bCs/>
                <w:sz w:val="18"/>
                <w:szCs w:val="18"/>
              </w:rPr>
              <w:t>Funds</w:t>
            </w:r>
          </w:p>
        </w:tc>
        <w:tc>
          <w:tcPr>
            <w:tcW w:w="801" w:type="dxa"/>
            <w:tcBorders>
              <w:top w:val="single" w:sz="4" w:space="0" w:color="auto"/>
              <w:left w:val="single" w:sz="4" w:space="0" w:color="auto"/>
              <w:bottom w:val="single" w:sz="4" w:space="0" w:color="auto"/>
              <w:right w:val="single" w:sz="4" w:space="0" w:color="auto"/>
            </w:tcBorders>
            <w:vAlign w:val="bottom"/>
          </w:tcPr>
          <w:p w:rsidR="00000000" w:rsidRDefault="003E6013">
            <w:pPr>
              <w:jc w:val="center"/>
              <w:rPr>
                <w:rFonts w:ascii="Univers" w:hAnsi="Univers" w:cs="Arial"/>
                <w:b/>
                <w:bCs/>
                <w:sz w:val="18"/>
                <w:szCs w:val="18"/>
              </w:rPr>
            </w:pPr>
            <w:r>
              <w:rPr>
                <w:rFonts w:ascii="Univers" w:hAnsi="Univers" w:cs="Arial"/>
                <w:b/>
                <w:bCs/>
                <w:sz w:val="18"/>
                <w:szCs w:val="18"/>
              </w:rPr>
              <w:t>State</w:t>
            </w:r>
          </w:p>
          <w:p w:rsidR="00000000" w:rsidRDefault="003E6013">
            <w:pPr>
              <w:jc w:val="center"/>
              <w:rPr>
                <w:rFonts w:ascii="Univers" w:hAnsi="Univers"/>
                <w:b/>
                <w:bCs/>
                <w:sz w:val="18"/>
                <w:szCs w:val="18"/>
              </w:rPr>
            </w:pPr>
            <w:r>
              <w:rPr>
                <w:rFonts w:ascii="Univers" w:hAnsi="Univers" w:cs="Arial"/>
                <w:b/>
                <w:bCs/>
                <w:sz w:val="18"/>
                <w:szCs w:val="18"/>
              </w:rPr>
              <w:t>Funds</w:t>
            </w:r>
          </w:p>
        </w:tc>
        <w:tc>
          <w:tcPr>
            <w:tcW w:w="1372" w:type="dxa"/>
            <w:tcBorders>
              <w:top w:val="single" w:sz="4" w:space="0" w:color="auto"/>
              <w:left w:val="single" w:sz="4" w:space="0" w:color="auto"/>
              <w:bottom w:val="single" w:sz="4" w:space="0" w:color="auto"/>
              <w:right w:val="single" w:sz="4" w:space="0" w:color="auto"/>
            </w:tcBorders>
            <w:vAlign w:val="bottom"/>
          </w:tcPr>
          <w:p w:rsidR="00000000" w:rsidRDefault="003E6013">
            <w:pPr>
              <w:jc w:val="center"/>
              <w:rPr>
                <w:rFonts w:ascii="Univers" w:hAnsi="Univers" w:cs="Arial"/>
                <w:b/>
                <w:bCs/>
                <w:sz w:val="18"/>
                <w:szCs w:val="18"/>
              </w:rPr>
            </w:pPr>
            <w:r>
              <w:rPr>
                <w:rFonts w:ascii="Univers" w:hAnsi="Univers" w:cs="Arial"/>
                <w:b/>
                <w:bCs/>
                <w:sz w:val="18"/>
                <w:szCs w:val="18"/>
              </w:rPr>
              <w:t>Number of</w:t>
            </w:r>
          </w:p>
          <w:p w:rsidR="00000000" w:rsidRDefault="003E6013">
            <w:pPr>
              <w:jc w:val="center"/>
              <w:rPr>
                <w:rFonts w:ascii="Univers" w:hAnsi="Univers"/>
                <w:b/>
                <w:bCs/>
                <w:sz w:val="18"/>
                <w:szCs w:val="18"/>
              </w:rPr>
            </w:pPr>
            <w:r>
              <w:rPr>
                <w:rFonts w:ascii="Univers" w:hAnsi="Univers" w:cs="Arial"/>
                <w:b/>
                <w:bCs/>
                <w:sz w:val="18"/>
                <w:szCs w:val="18"/>
              </w:rPr>
              <w:t>Counties funded</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E6013">
            <w:pPr>
              <w:jc w:val="center"/>
              <w:rPr>
                <w:rFonts w:ascii="Univers" w:hAnsi="Univers"/>
                <w:b/>
                <w:bCs/>
                <w:sz w:val="18"/>
                <w:szCs w:val="18"/>
              </w:rPr>
            </w:pPr>
            <w:r>
              <w:rPr>
                <w:rFonts w:ascii="Univers" w:hAnsi="Univers" w:cs="Arial"/>
                <w:b/>
                <w:bCs/>
                <w:sz w:val="18"/>
                <w:szCs w:val="18"/>
              </w:rPr>
              <w:t>Dollars Contracted</w:t>
            </w:r>
          </w:p>
        </w:tc>
        <w:tc>
          <w:tcPr>
            <w:tcW w:w="1160" w:type="dxa"/>
            <w:tcBorders>
              <w:top w:val="single" w:sz="4" w:space="0" w:color="auto"/>
              <w:left w:val="single" w:sz="4" w:space="0" w:color="auto"/>
              <w:bottom w:val="single" w:sz="4" w:space="0" w:color="auto"/>
              <w:right w:val="single" w:sz="4" w:space="0" w:color="auto"/>
            </w:tcBorders>
            <w:vAlign w:val="bottom"/>
          </w:tcPr>
          <w:p w:rsidR="00000000" w:rsidRDefault="003E6013">
            <w:pPr>
              <w:jc w:val="center"/>
              <w:rPr>
                <w:rFonts w:ascii="Univers" w:hAnsi="Univers"/>
                <w:b/>
                <w:bCs/>
                <w:sz w:val="18"/>
                <w:szCs w:val="18"/>
              </w:rPr>
            </w:pPr>
            <w:r>
              <w:rPr>
                <w:rFonts w:ascii="Univers" w:hAnsi="Univers" w:cs="Arial"/>
                <w:b/>
                <w:bCs/>
                <w:sz w:val="18"/>
                <w:szCs w:val="18"/>
              </w:rPr>
              <w:t>IDPH Direct Services</w:t>
            </w:r>
          </w:p>
        </w:tc>
        <w:tc>
          <w:tcPr>
            <w:tcW w:w="1238" w:type="dxa"/>
            <w:tcBorders>
              <w:top w:val="single" w:sz="4" w:space="0" w:color="auto"/>
              <w:left w:val="single" w:sz="4" w:space="0" w:color="auto"/>
              <w:bottom w:val="single" w:sz="4" w:space="0" w:color="auto"/>
              <w:right w:val="single" w:sz="4" w:space="0" w:color="auto"/>
            </w:tcBorders>
            <w:vAlign w:val="bottom"/>
          </w:tcPr>
          <w:p w:rsidR="00000000" w:rsidRDefault="003E6013">
            <w:pPr>
              <w:jc w:val="center"/>
              <w:rPr>
                <w:rFonts w:ascii="Univers" w:hAnsi="Univers" w:cs="Arial"/>
                <w:b/>
                <w:bCs/>
                <w:sz w:val="18"/>
                <w:szCs w:val="18"/>
              </w:rPr>
            </w:pPr>
            <w:r>
              <w:rPr>
                <w:rFonts w:ascii="Univers" w:hAnsi="Univers" w:cs="Arial"/>
                <w:b/>
                <w:bCs/>
                <w:sz w:val="18"/>
                <w:szCs w:val="18"/>
              </w:rPr>
              <w:t>Administration</w:t>
            </w:r>
          </w:p>
          <w:p w:rsidR="00000000" w:rsidRDefault="003E6013">
            <w:pPr>
              <w:jc w:val="center"/>
              <w:rPr>
                <w:rFonts w:ascii="Univers" w:hAnsi="Univers"/>
                <w:b/>
                <w:bCs/>
                <w:sz w:val="18"/>
                <w:szCs w:val="18"/>
              </w:rPr>
            </w:pPr>
            <w:r>
              <w:rPr>
                <w:rFonts w:ascii="Univers" w:hAnsi="Univers" w:cs="Arial"/>
                <w:b/>
                <w:bCs/>
                <w:sz w:val="18"/>
                <w:szCs w:val="18"/>
              </w:rPr>
              <w:t>&amp; Support</w:t>
            </w:r>
          </w:p>
        </w:tc>
      </w:tr>
      <w:tr w:rsidR="00000000">
        <w:tblPrEx>
          <w:tblCellMar>
            <w:top w:w="0" w:type="dxa"/>
            <w:left w:w="0" w:type="dxa"/>
            <w:bottom w:w="0" w:type="dxa"/>
            <w:right w:w="0" w:type="dxa"/>
          </w:tblCellMar>
        </w:tblPrEx>
        <w:trPr>
          <w:trHeight w:val="70"/>
          <w:jc w:val="center"/>
        </w:trPr>
        <w:tc>
          <w:tcPr>
            <w:tcW w:w="698" w:type="dxa"/>
            <w:tcBorders>
              <w:top w:val="single" w:sz="4" w:space="0" w:color="auto"/>
              <w:left w:val="single" w:sz="4" w:space="0" w:color="auto"/>
              <w:bottom w:val="single" w:sz="4" w:space="0" w:color="auto"/>
              <w:right w:val="single" w:sz="4" w:space="0" w:color="auto"/>
            </w:tcBorders>
            <w:vAlign w:val="bottom"/>
          </w:tcPr>
          <w:p w:rsidR="00000000" w:rsidRDefault="003E6013">
            <w:pPr>
              <w:jc w:val="center"/>
              <w:rPr>
                <w:rFonts w:ascii="Univers" w:hAnsi="Univers"/>
                <w:sz w:val="18"/>
                <w:szCs w:val="18"/>
              </w:rPr>
            </w:pPr>
            <w:r>
              <w:rPr>
                <w:rFonts w:ascii="Univers" w:hAnsi="Univers" w:cs="Arial"/>
                <w:sz w:val="18"/>
                <w:szCs w:val="18"/>
              </w:rPr>
              <w:t>1997</w:t>
            </w:r>
          </w:p>
        </w:tc>
        <w:tc>
          <w:tcPr>
            <w:tcW w:w="901" w:type="dxa"/>
            <w:tcBorders>
              <w:top w:val="single" w:sz="4" w:space="0" w:color="auto"/>
              <w:left w:val="single" w:sz="4" w:space="0" w:color="auto"/>
              <w:bottom w:val="single" w:sz="4" w:space="0" w:color="auto"/>
              <w:right w:val="single" w:sz="4" w:space="0" w:color="auto"/>
            </w:tcBorders>
            <w:vAlign w:val="bottom"/>
          </w:tcPr>
          <w:p w:rsidR="00000000" w:rsidRDefault="003E6013">
            <w:pPr>
              <w:jc w:val="right"/>
              <w:rPr>
                <w:rFonts w:ascii="Univers" w:hAnsi="Univers"/>
                <w:sz w:val="18"/>
                <w:szCs w:val="18"/>
              </w:rPr>
            </w:pPr>
            <w:r>
              <w:rPr>
                <w:rFonts w:ascii="Univers" w:hAnsi="Univers" w:cs="Arial"/>
                <w:sz w:val="18"/>
                <w:szCs w:val="18"/>
              </w:rPr>
              <w:t xml:space="preserve">$802,799 </w:t>
            </w:r>
          </w:p>
        </w:tc>
        <w:tc>
          <w:tcPr>
            <w:tcW w:w="801" w:type="dxa"/>
            <w:tcBorders>
              <w:top w:val="single" w:sz="4" w:space="0" w:color="auto"/>
              <w:left w:val="single" w:sz="4" w:space="0" w:color="auto"/>
              <w:bottom w:val="single" w:sz="4" w:space="0" w:color="auto"/>
              <w:right w:val="single" w:sz="4" w:space="0" w:color="auto"/>
            </w:tcBorders>
            <w:vAlign w:val="bottom"/>
          </w:tcPr>
          <w:p w:rsidR="00000000" w:rsidRDefault="003E6013">
            <w:pPr>
              <w:jc w:val="right"/>
              <w:rPr>
                <w:rFonts w:ascii="Univers" w:hAnsi="Univers"/>
                <w:sz w:val="18"/>
                <w:szCs w:val="18"/>
              </w:rPr>
            </w:pPr>
            <w:r>
              <w:rPr>
                <w:rFonts w:ascii="Univers" w:hAnsi="Univers" w:cs="Arial"/>
                <w:sz w:val="18"/>
                <w:szCs w:val="18"/>
              </w:rPr>
              <w:t xml:space="preserve">$75,000 </w:t>
            </w:r>
          </w:p>
        </w:tc>
        <w:tc>
          <w:tcPr>
            <w:tcW w:w="1372" w:type="dxa"/>
            <w:tcBorders>
              <w:top w:val="single" w:sz="4" w:space="0" w:color="auto"/>
              <w:left w:val="single" w:sz="4" w:space="0" w:color="auto"/>
              <w:bottom w:val="single" w:sz="4" w:space="0" w:color="auto"/>
              <w:right w:val="single" w:sz="4" w:space="0" w:color="auto"/>
            </w:tcBorders>
            <w:vAlign w:val="bottom"/>
          </w:tcPr>
          <w:p w:rsidR="00000000" w:rsidRDefault="003E6013">
            <w:pPr>
              <w:pStyle w:val="Contact"/>
              <w:jc w:val="right"/>
            </w:pPr>
            <w:r>
              <w:rPr>
                <w:rFonts w:cs="Arial"/>
              </w:rPr>
              <w:t>46 Old  1</w:t>
            </w:r>
            <w:r>
              <w:rPr>
                <w:rFonts w:cs="Arial"/>
              </w:rPr>
              <w:t>2 New</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E6013">
            <w:pPr>
              <w:jc w:val="right"/>
              <w:rPr>
                <w:rFonts w:ascii="Univers" w:hAnsi="Univers"/>
                <w:sz w:val="18"/>
                <w:szCs w:val="18"/>
              </w:rPr>
            </w:pPr>
            <w:r>
              <w:rPr>
                <w:rFonts w:ascii="Univers" w:hAnsi="Univers" w:cs="Arial"/>
                <w:sz w:val="18"/>
                <w:szCs w:val="18"/>
              </w:rPr>
              <w:t xml:space="preserve">$436,940 to counties </w:t>
            </w:r>
          </w:p>
        </w:tc>
        <w:tc>
          <w:tcPr>
            <w:tcW w:w="1160" w:type="dxa"/>
            <w:tcBorders>
              <w:top w:val="single" w:sz="4" w:space="0" w:color="auto"/>
              <w:left w:val="single" w:sz="4" w:space="0" w:color="auto"/>
              <w:bottom w:val="single" w:sz="4" w:space="0" w:color="auto"/>
              <w:right w:val="single" w:sz="4" w:space="0" w:color="auto"/>
            </w:tcBorders>
            <w:vAlign w:val="bottom"/>
          </w:tcPr>
          <w:p w:rsidR="00000000" w:rsidRDefault="003E6013">
            <w:pPr>
              <w:jc w:val="right"/>
              <w:rPr>
                <w:rFonts w:ascii="Univers" w:hAnsi="Univers"/>
                <w:sz w:val="18"/>
                <w:szCs w:val="18"/>
              </w:rPr>
            </w:pPr>
            <w:r>
              <w:rPr>
                <w:rFonts w:ascii="Univers" w:hAnsi="Univers" w:cs="Arial"/>
                <w:sz w:val="18"/>
                <w:szCs w:val="18"/>
              </w:rPr>
              <w:t xml:space="preserve">$340,859 </w:t>
            </w:r>
          </w:p>
        </w:tc>
        <w:tc>
          <w:tcPr>
            <w:tcW w:w="1238" w:type="dxa"/>
            <w:tcBorders>
              <w:top w:val="single" w:sz="4" w:space="0" w:color="auto"/>
              <w:left w:val="single" w:sz="4" w:space="0" w:color="auto"/>
              <w:bottom w:val="single" w:sz="4" w:space="0" w:color="auto"/>
              <w:right w:val="single" w:sz="4" w:space="0" w:color="auto"/>
            </w:tcBorders>
            <w:vAlign w:val="bottom"/>
          </w:tcPr>
          <w:p w:rsidR="00000000" w:rsidRDefault="003E6013">
            <w:pPr>
              <w:jc w:val="right"/>
              <w:rPr>
                <w:rFonts w:ascii="Univers" w:hAnsi="Univers"/>
                <w:sz w:val="18"/>
                <w:szCs w:val="18"/>
              </w:rPr>
            </w:pPr>
            <w:r>
              <w:rPr>
                <w:rFonts w:ascii="Univers" w:hAnsi="Univers" w:cs="Arial"/>
                <w:sz w:val="18"/>
                <w:szCs w:val="18"/>
              </w:rPr>
              <w:t xml:space="preserve">$100,000 </w:t>
            </w:r>
          </w:p>
        </w:tc>
      </w:tr>
      <w:tr w:rsidR="00000000">
        <w:tblPrEx>
          <w:tblCellMar>
            <w:top w:w="0" w:type="dxa"/>
            <w:left w:w="0" w:type="dxa"/>
            <w:bottom w:w="0" w:type="dxa"/>
            <w:right w:w="0" w:type="dxa"/>
          </w:tblCellMar>
        </w:tblPrEx>
        <w:trPr>
          <w:trHeight w:val="366"/>
          <w:jc w:val="center"/>
        </w:trPr>
        <w:tc>
          <w:tcPr>
            <w:tcW w:w="698" w:type="dxa"/>
            <w:tcBorders>
              <w:top w:val="single" w:sz="4" w:space="0" w:color="auto"/>
              <w:left w:val="single" w:sz="4" w:space="0" w:color="auto"/>
              <w:bottom w:val="single" w:sz="4" w:space="0" w:color="auto"/>
              <w:right w:val="single" w:sz="4" w:space="0" w:color="auto"/>
            </w:tcBorders>
          </w:tcPr>
          <w:p w:rsidR="00000000" w:rsidRDefault="003E6013">
            <w:pPr>
              <w:jc w:val="center"/>
              <w:rPr>
                <w:rFonts w:ascii="Univers" w:hAnsi="Univers"/>
                <w:sz w:val="18"/>
                <w:szCs w:val="18"/>
              </w:rPr>
            </w:pPr>
            <w:r>
              <w:rPr>
                <w:rFonts w:ascii="Univers" w:hAnsi="Univers" w:cs="Arial"/>
                <w:sz w:val="18"/>
                <w:szCs w:val="18"/>
              </w:rPr>
              <w:t>1998</w:t>
            </w:r>
          </w:p>
        </w:tc>
        <w:tc>
          <w:tcPr>
            <w:tcW w:w="901"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$738,315 </w:t>
            </w:r>
          </w:p>
        </w:tc>
        <w:tc>
          <w:tcPr>
            <w:tcW w:w="801"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$39,547 </w:t>
            </w:r>
          </w:p>
        </w:tc>
        <w:tc>
          <w:tcPr>
            <w:tcW w:w="1372"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58 Old    3 New</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E6013">
            <w:pPr>
              <w:jc w:val="right"/>
              <w:rPr>
                <w:rFonts w:ascii="Univers" w:hAnsi="Univers"/>
                <w:sz w:val="18"/>
                <w:szCs w:val="18"/>
              </w:rPr>
            </w:pPr>
            <w:r>
              <w:rPr>
                <w:rFonts w:ascii="Univers" w:hAnsi="Univers" w:cs="Arial"/>
                <w:sz w:val="18"/>
                <w:szCs w:val="18"/>
              </w:rPr>
              <w:t>$374,542 to counties $89,889 lab services</w:t>
            </w:r>
          </w:p>
        </w:tc>
        <w:tc>
          <w:tcPr>
            <w:tcW w:w="1160"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$213,431 </w:t>
            </w:r>
          </w:p>
        </w:tc>
        <w:tc>
          <w:tcPr>
            <w:tcW w:w="1238"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$100,000 </w:t>
            </w:r>
          </w:p>
        </w:tc>
      </w:tr>
      <w:tr w:rsidR="00000000">
        <w:tblPrEx>
          <w:tblCellMar>
            <w:top w:w="0" w:type="dxa"/>
            <w:left w:w="0" w:type="dxa"/>
            <w:bottom w:w="0" w:type="dxa"/>
            <w:right w:w="0" w:type="dxa"/>
          </w:tblCellMar>
        </w:tblPrEx>
        <w:trPr>
          <w:trHeight w:val="294"/>
          <w:jc w:val="center"/>
        </w:trPr>
        <w:tc>
          <w:tcPr>
            <w:tcW w:w="698" w:type="dxa"/>
            <w:tcBorders>
              <w:top w:val="single" w:sz="4" w:space="0" w:color="auto"/>
              <w:left w:val="single" w:sz="4" w:space="0" w:color="auto"/>
              <w:bottom w:val="single" w:sz="4" w:space="0" w:color="auto"/>
              <w:right w:val="single" w:sz="4" w:space="0" w:color="auto"/>
            </w:tcBorders>
          </w:tcPr>
          <w:p w:rsidR="00000000" w:rsidRDefault="003E6013">
            <w:pPr>
              <w:jc w:val="center"/>
              <w:rPr>
                <w:rFonts w:ascii="Univers" w:hAnsi="Univers"/>
                <w:sz w:val="18"/>
                <w:szCs w:val="18"/>
              </w:rPr>
            </w:pPr>
            <w:r>
              <w:rPr>
                <w:rFonts w:ascii="Univers" w:hAnsi="Univers" w:cs="Arial"/>
                <w:sz w:val="18"/>
                <w:szCs w:val="18"/>
              </w:rPr>
              <w:t>1999</w:t>
            </w:r>
          </w:p>
        </w:tc>
        <w:tc>
          <w:tcPr>
            <w:tcW w:w="901"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$800,000 </w:t>
            </w:r>
          </w:p>
        </w:tc>
        <w:tc>
          <w:tcPr>
            <w:tcW w:w="801"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$39,547 </w:t>
            </w:r>
          </w:p>
        </w:tc>
        <w:tc>
          <w:tcPr>
            <w:tcW w:w="1372"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61 Old    3 New</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E6013">
            <w:pPr>
              <w:jc w:val="right"/>
              <w:rPr>
                <w:rFonts w:ascii="Univers" w:hAnsi="Univers"/>
                <w:sz w:val="18"/>
                <w:szCs w:val="18"/>
              </w:rPr>
            </w:pPr>
            <w:r>
              <w:rPr>
                <w:rFonts w:ascii="Univers" w:hAnsi="Univers" w:cs="Arial"/>
                <w:sz w:val="18"/>
                <w:szCs w:val="18"/>
              </w:rPr>
              <w:t>$587,662 to counties $103,345 lab services</w:t>
            </w:r>
          </w:p>
        </w:tc>
        <w:tc>
          <w:tcPr>
            <w:tcW w:w="1160"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$74,225 </w:t>
            </w:r>
          </w:p>
        </w:tc>
        <w:tc>
          <w:tcPr>
            <w:tcW w:w="1238"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$74,225 </w:t>
            </w:r>
          </w:p>
        </w:tc>
      </w:tr>
      <w:tr w:rsidR="00000000">
        <w:tblPrEx>
          <w:tblCellMar>
            <w:top w:w="0" w:type="dxa"/>
            <w:left w:w="0" w:type="dxa"/>
            <w:bottom w:w="0" w:type="dxa"/>
            <w:right w:w="0" w:type="dxa"/>
          </w:tblCellMar>
        </w:tblPrEx>
        <w:trPr>
          <w:trHeight w:val="276"/>
          <w:jc w:val="center"/>
        </w:trPr>
        <w:tc>
          <w:tcPr>
            <w:tcW w:w="698" w:type="dxa"/>
            <w:tcBorders>
              <w:top w:val="single" w:sz="4" w:space="0" w:color="auto"/>
              <w:left w:val="single" w:sz="4" w:space="0" w:color="auto"/>
              <w:bottom w:val="single" w:sz="4" w:space="0" w:color="auto"/>
              <w:right w:val="single" w:sz="4" w:space="0" w:color="auto"/>
            </w:tcBorders>
          </w:tcPr>
          <w:p w:rsidR="00000000" w:rsidRDefault="003E6013">
            <w:pPr>
              <w:jc w:val="center"/>
              <w:rPr>
                <w:rFonts w:ascii="Univers" w:hAnsi="Univers"/>
                <w:sz w:val="18"/>
                <w:szCs w:val="18"/>
              </w:rPr>
            </w:pPr>
            <w:r>
              <w:rPr>
                <w:rFonts w:ascii="Univers" w:hAnsi="Univers" w:cs="Arial"/>
                <w:sz w:val="18"/>
                <w:szCs w:val="18"/>
              </w:rPr>
              <w:t>20</w:t>
            </w:r>
            <w:r>
              <w:rPr>
                <w:rFonts w:ascii="Univers" w:hAnsi="Univers" w:cs="Arial"/>
                <w:sz w:val="18"/>
                <w:szCs w:val="18"/>
              </w:rPr>
              <w:t>00</w:t>
            </w:r>
          </w:p>
        </w:tc>
        <w:tc>
          <w:tcPr>
            <w:tcW w:w="901"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$750,000 </w:t>
            </w:r>
          </w:p>
        </w:tc>
        <w:tc>
          <w:tcPr>
            <w:tcW w:w="801"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$39,547 </w:t>
            </w:r>
          </w:p>
        </w:tc>
        <w:tc>
          <w:tcPr>
            <w:tcW w:w="1372"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64 Old    0 New</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E6013">
            <w:pPr>
              <w:jc w:val="right"/>
              <w:rPr>
                <w:rFonts w:ascii="Univers" w:hAnsi="Univers"/>
                <w:sz w:val="18"/>
                <w:szCs w:val="18"/>
              </w:rPr>
            </w:pPr>
            <w:r>
              <w:rPr>
                <w:rFonts w:ascii="Univers" w:hAnsi="Univers" w:cs="Arial"/>
                <w:sz w:val="18"/>
                <w:szCs w:val="18"/>
              </w:rPr>
              <w:t>$544,725 to counties $75,000 lab services</w:t>
            </w:r>
          </w:p>
        </w:tc>
        <w:tc>
          <w:tcPr>
            <w:tcW w:w="1160"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$84,911 </w:t>
            </w:r>
          </w:p>
        </w:tc>
        <w:tc>
          <w:tcPr>
            <w:tcW w:w="1238"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$84,911 </w:t>
            </w:r>
          </w:p>
        </w:tc>
      </w:tr>
      <w:tr w:rsidR="00000000">
        <w:tblPrEx>
          <w:tblCellMar>
            <w:top w:w="0" w:type="dxa"/>
            <w:left w:w="0" w:type="dxa"/>
            <w:bottom w:w="0" w:type="dxa"/>
            <w:right w:w="0" w:type="dxa"/>
          </w:tblCellMar>
        </w:tblPrEx>
        <w:trPr>
          <w:trHeight w:val="204"/>
          <w:jc w:val="center"/>
        </w:trPr>
        <w:tc>
          <w:tcPr>
            <w:tcW w:w="698" w:type="dxa"/>
            <w:tcBorders>
              <w:top w:val="single" w:sz="4" w:space="0" w:color="auto"/>
              <w:left w:val="single" w:sz="4" w:space="0" w:color="auto"/>
              <w:bottom w:val="single" w:sz="4" w:space="0" w:color="auto"/>
              <w:right w:val="single" w:sz="4" w:space="0" w:color="auto"/>
            </w:tcBorders>
          </w:tcPr>
          <w:p w:rsidR="00000000" w:rsidRDefault="003E6013">
            <w:pPr>
              <w:jc w:val="center"/>
              <w:rPr>
                <w:rFonts w:ascii="Univers" w:hAnsi="Univers"/>
                <w:sz w:val="18"/>
                <w:szCs w:val="18"/>
              </w:rPr>
            </w:pPr>
            <w:r>
              <w:rPr>
                <w:rFonts w:ascii="Univers" w:hAnsi="Univers" w:cs="Arial"/>
                <w:sz w:val="18"/>
                <w:szCs w:val="18"/>
              </w:rPr>
              <w:t>2001*</w:t>
            </w:r>
          </w:p>
        </w:tc>
        <w:tc>
          <w:tcPr>
            <w:tcW w:w="901"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$800,000 </w:t>
            </w:r>
          </w:p>
        </w:tc>
        <w:tc>
          <w:tcPr>
            <w:tcW w:w="801"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$39,547 </w:t>
            </w:r>
          </w:p>
        </w:tc>
        <w:tc>
          <w:tcPr>
            <w:tcW w:w="1372"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64 Old   7 New</w:t>
            </w:r>
          </w:p>
        </w:tc>
        <w:tc>
          <w:tcPr>
            <w:tcW w:w="2260" w:type="dxa"/>
            <w:tcBorders>
              <w:top w:val="single" w:sz="4" w:space="0" w:color="auto"/>
              <w:left w:val="single" w:sz="4" w:space="0" w:color="auto"/>
              <w:bottom w:val="single" w:sz="4" w:space="0" w:color="auto"/>
              <w:right w:val="single" w:sz="4" w:space="0" w:color="auto"/>
            </w:tcBorders>
            <w:vAlign w:val="bottom"/>
          </w:tcPr>
          <w:p w:rsidR="00000000" w:rsidRDefault="003E6013">
            <w:pPr>
              <w:jc w:val="right"/>
              <w:rPr>
                <w:rFonts w:ascii="Univers" w:hAnsi="Univers"/>
                <w:sz w:val="18"/>
                <w:szCs w:val="18"/>
              </w:rPr>
            </w:pPr>
            <w:r>
              <w:rPr>
                <w:rFonts w:ascii="Univers" w:hAnsi="Univers" w:cs="Arial"/>
                <w:sz w:val="18"/>
                <w:szCs w:val="18"/>
              </w:rPr>
              <w:t>$617,000 to counties $100,000 lab services</w:t>
            </w:r>
          </w:p>
        </w:tc>
        <w:tc>
          <w:tcPr>
            <w:tcW w:w="1160"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$99,774 </w:t>
            </w:r>
          </w:p>
        </w:tc>
        <w:tc>
          <w:tcPr>
            <w:tcW w:w="1238" w:type="dxa"/>
            <w:tcBorders>
              <w:top w:val="single" w:sz="4" w:space="0" w:color="auto"/>
              <w:left w:val="single" w:sz="4" w:space="0" w:color="auto"/>
              <w:bottom w:val="single" w:sz="4" w:space="0" w:color="auto"/>
              <w:right w:val="single" w:sz="4" w:space="0" w:color="auto"/>
            </w:tcBorders>
          </w:tcPr>
          <w:p w:rsidR="00000000" w:rsidRDefault="003E6013">
            <w:pPr>
              <w:jc w:val="right"/>
              <w:rPr>
                <w:rFonts w:ascii="Univers" w:hAnsi="Univers"/>
                <w:sz w:val="18"/>
                <w:szCs w:val="18"/>
              </w:rPr>
            </w:pPr>
            <w:r>
              <w:rPr>
                <w:rFonts w:ascii="Univers" w:hAnsi="Univers" w:cs="Arial"/>
                <w:sz w:val="18"/>
                <w:szCs w:val="18"/>
              </w:rPr>
              <w:t xml:space="preserve">$99,774 </w:t>
            </w:r>
          </w:p>
        </w:tc>
      </w:tr>
    </w:tbl>
    <w:p w:rsidR="00000000" w:rsidRDefault="003E6013">
      <w:pPr>
        <w:pStyle w:val="BodyText"/>
        <w:rPr>
          <w:sz w:val="18"/>
          <w:szCs w:val="18"/>
        </w:rPr>
      </w:pPr>
      <w:r>
        <w:rPr>
          <w:sz w:val="18"/>
          <w:szCs w:val="18"/>
        </w:rPr>
        <w:t>*Expenditures reflect an additional $77,000 received fr</w:t>
      </w:r>
      <w:r>
        <w:rPr>
          <w:sz w:val="18"/>
          <w:szCs w:val="18"/>
        </w:rPr>
        <w:t>om Wellmark Foundation.</w:t>
      </w:r>
    </w:p>
    <w:p w:rsidR="00000000" w:rsidRDefault="003E6013">
      <w:pPr>
        <w:pStyle w:val="textup"/>
      </w:pPr>
      <w:r>
        <w:rPr>
          <w:b/>
        </w:rPr>
        <w:t>Copies Available</w:t>
      </w:r>
      <w:r>
        <w:tab/>
        <w:t>Copies of the</w:t>
      </w:r>
      <w:r>
        <w:rPr>
          <w:b/>
          <w:bCs/>
          <w:i/>
          <w:iCs/>
        </w:rPr>
        <w:t xml:space="preserve"> Issue Review</w:t>
      </w:r>
      <w:r>
        <w:t xml:space="preserve"> are available upon request from the LFB.  You may also find a copy on the LFB web site at </w:t>
      </w:r>
      <w:hyperlink r:id="rId61" w:history="1">
        <w:r>
          <w:rPr>
            <w:rStyle w:val="Hyperlink"/>
          </w:rPr>
          <w:t>http://staffweb.le</w:t>
        </w:r>
        <w:r>
          <w:rPr>
            <w:rStyle w:val="Hyperlink"/>
          </w:rPr>
          <w:t>g</w:t>
        </w:r>
        <w:r>
          <w:rPr>
            <w:rStyle w:val="Hyperlink"/>
          </w:rPr>
          <w:t>is.st</w:t>
        </w:r>
        <w:r>
          <w:rPr>
            <w:rStyle w:val="Hyperlink"/>
          </w:rPr>
          <w:t>ate.ia.us/lfb/ireview/ireview.htm</w:t>
        </w:r>
      </w:hyperlink>
      <w:r>
        <w:t xml:space="preserve">.  You will find this particular </w:t>
      </w:r>
      <w:r>
        <w:rPr>
          <w:b/>
          <w:bCs/>
          <w:i/>
          <w:iCs/>
        </w:rPr>
        <w:t>Issue Review</w:t>
      </w:r>
      <w:r>
        <w:t xml:space="preserve"> under the Health and Human Rights heading.</w:t>
      </w:r>
    </w:p>
    <w:p w:rsidR="00000000" w:rsidRDefault="003E6013">
      <w:pPr>
        <w:pStyle w:val="Contactup"/>
      </w:pPr>
      <w:r>
        <w:t>STAFF CONTACT:  Russ Trimble (Ext. 14613)</w:t>
      </w:r>
    </w:p>
    <w:p w:rsidR="00000000" w:rsidRDefault="003E6013">
      <w:r>
        <w:t xml:space="preserve">This document can be found on the LFB web site:  </w:t>
      </w:r>
      <w:hyperlink r:id="rId62" w:history="1">
        <w:r>
          <w:rPr>
            <w:rStyle w:val="Hyperlink"/>
          </w:rPr>
          <w:t>http://staffweb.legis.state.ia.us/lfb/fupdate/fupdate.htm</w:t>
        </w:r>
      </w:hyperlink>
    </w:p>
    <w:sectPr w:rsidR="00000000">
      <w:headerReference w:type="even" r:id="rId63"/>
      <w:headerReference w:type="default" r:id="rId64"/>
      <w:type w:val="continuous"/>
      <w:pgSz w:w="12240" w:h="15840" w:code="1"/>
      <w:pgMar w:top="1710" w:right="1440" w:bottom="1440" w:left="396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0000" w:rsidRDefault="003E6013">
      <w:r>
        <w:separator/>
      </w:r>
    </w:p>
  </w:endnote>
  <w:endnote w:type="continuationSeparator" w:id="1">
    <w:p w:rsidR="00000000" w:rsidRDefault="003E60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Univers">
    <w:panose1 w:val="020B0603020202030204"/>
    <w:charset w:val="00"/>
    <w:family w:val="swiss"/>
    <w:pitch w:val="variable"/>
    <w:sig w:usb0="00000007" w:usb1="00000000" w:usb2="00000000" w:usb3="00000000" w:csb0="00000093"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0000" w:rsidRDefault="003E6013">
      <w:r>
        <w:separator/>
      </w:r>
    </w:p>
  </w:footnote>
  <w:footnote w:type="continuationSeparator" w:id="1">
    <w:p w:rsidR="00000000" w:rsidRDefault="003E60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6013">
    <w:pPr>
      <w:pStyle w:val="PageE"/>
    </w:pPr>
    <w:r>
      <w:t>FISCAL UPDATE</w:t>
    </w:r>
  </w:p>
  <w:p w:rsidR="00000000" w:rsidRDefault="003E6013">
    <w:pPr>
      <w:pStyle w:val="PageE"/>
    </w:pPr>
    <w:bookmarkStart w:id="21" w:name="HeaderEvenLockDate"/>
    <w:r>
      <w:rPr>
        <w:noProof/>
      </w:rPr>
      <w:pict>
        <v:line id="_x0000_s2049" style="position:absolute;left:0;text-align:left;z-index:251657216" from="-2in,21.4pt" to="345.6pt,21.4pt" o:allowincell="f" strokeweight="2pt"/>
      </w:pict>
    </w:r>
    <w:r>
      <w:rPr>
        <w:noProof/>
      </w:rPr>
      <w:t>February 26, 2001</w:t>
    </w:r>
    <w:bookmarkEnd w:id="21"/>
    <w:r>
      <w:tab/>
    </w:r>
    <w:r>
      <w:rPr>
        <w:b w:val="0"/>
      </w:rPr>
      <w:fldChar w:fldCharType="begin"/>
    </w:r>
    <w:r>
      <w:rPr>
        <w:b w:val="0"/>
      </w:rPr>
      <w:instrText xml:space="preserve"> PAGE </w:instrText>
    </w:r>
    <w:r>
      <w:rPr>
        <w:b w:val="0"/>
      </w:rPr>
      <w:fldChar w:fldCharType="separate"/>
    </w:r>
    <w:r>
      <w:rPr>
        <w:b w:val="0"/>
        <w:noProof/>
      </w:rPr>
      <w:t>20</w:t>
    </w:r>
    <w:r>
      <w:rPr>
        <w:b w:val="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3E6013">
    <w:pPr>
      <w:pStyle w:val="PageO"/>
      <w:rPr>
        <w:b/>
      </w:rPr>
    </w:pPr>
    <w:r>
      <w:rPr>
        <w:b/>
      </w:rPr>
      <w:t>FISCAL UPDATE</w:t>
    </w:r>
  </w:p>
  <w:p w:rsidR="00000000" w:rsidRDefault="003E6013">
    <w:pPr>
      <w:pStyle w:val="PageO"/>
      <w:tabs>
        <w:tab w:val="left" w:pos="2160"/>
      </w:tabs>
      <w:jc w:val="left"/>
      <w:rPr>
        <w:b/>
      </w:rPr>
    </w:pPr>
    <w:r>
      <w:rPr>
        <w:b/>
        <w:noProof/>
      </w:rPr>
      <w:pict>
        <v:line id="_x0000_s2050" style="position:absolute;left:0;text-align:left;z-index:251658240" from="-140.4pt,21.4pt" to="349.2pt,21.4pt" o:allowincell="f" strokeweight="2pt"/>
      </w:pict>
    </w:r>
    <w:r>
      <w:rPr>
        <w:b/>
      </w:rPr>
      <w:tab/>
    </w:r>
    <w:r>
      <w:rPr>
        <w:bCs/>
      </w:rPr>
      <w:fldChar w:fldCharType="begin"/>
    </w:r>
    <w:r>
      <w:rPr>
        <w:bCs/>
      </w:rPr>
      <w:instrText xml:space="preserve"> PAGE </w:instrText>
    </w:r>
    <w:r>
      <w:rPr>
        <w:bCs/>
      </w:rPr>
      <w:fldChar w:fldCharType="separate"/>
    </w:r>
    <w:r>
      <w:rPr>
        <w:bCs/>
        <w:noProof/>
      </w:rPr>
      <w:t>19</w:t>
    </w:r>
    <w:r>
      <w:rPr>
        <w:bCs/>
      </w:rPr>
      <w:fldChar w:fldCharType="end"/>
    </w:r>
    <w:r>
      <w:rPr>
        <w:bCs/>
      </w:rPr>
      <w:t xml:space="preserve"> </w:t>
    </w:r>
    <w:r>
      <w:rPr>
        <w:b/>
      </w:rPr>
      <w:t xml:space="preserve"> </w:t>
    </w:r>
    <w:r>
      <w:rPr>
        <w:b/>
      </w:rPr>
      <w:tab/>
      <w:t xml:space="preserve">                                </w:t>
    </w:r>
    <w:r>
      <w:rPr>
        <w:b/>
        <w:noProof/>
      </w:rPr>
      <w:t>February 26, 2001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D7440"/>
    <w:multiLevelType w:val="singleLevel"/>
    <w:tmpl w:val="D75EB612"/>
    <w:lvl w:ilvl="0">
      <w:start w:val="1"/>
      <w:numFmt w:val="bullet"/>
      <w:pStyle w:val="Bulletup1"/>
      <w:lvlText w:val=""/>
      <w:lvlJc w:val="left"/>
      <w:pPr>
        <w:tabs>
          <w:tab w:val="num" w:pos="792"/>
        </w:tabs>
        <w:ind w:left="792" w:hanging="432"/>
      </w:pPr>
      <w:rPr>
        <w:rFonts w:ascii="Symbol" w:hAnsi="Symbol" w:hint="default"/>
        <w:sz w:val="14"/>
      </w:rPr>
    </w:lvl>
  </w:abstractNum>
  <w:abstractNum w:abstractNumId="1">
    <w:nsid w:val="14121CE8"/>
    <w:multiLevelType w:val="singleLevel"/>
    <w:tmpl w:val="A106DC9E"/>
    <w:lvl w:ilvl="0">
      <w:start w:val="1"/>
      <w:numFmt w:val="bullet"/>
      <w:lvlText w:val=""/>
      <w:lvlJc w:val="left"/>
      <w:pPr>
        <w:tabs>
          <w:tab w:val="num" w:pos="360"/>
        </w:tabs>
        <w:ind w:left="360" w:hanging="360"/>
      </w:pPr>
      <w:rPr>
        <w:rFonts w:ascii="Symbol" w:hAnsi="Symbol" w:hint="default"/>
        <w:sz w:val="18"/>
      </w:rPr>
    </w:lvl>
  </w:abstractNum>
  <w:abstractNum w:abstractNumId="2">
    <w:nsid w:val="144021E0"/>
    <w:multiLevelType w:val="singleLevel"/>
    <w:tmpl w:val="8B6AF0F2"/>
    <w:lvl w:ilvl="0">
      <w:start w:val="1"/>
      <w:numFmt w:val="bullet"/>
      <w:pStyle w:val="Style2"/>
      <w:lvlText w:val=""/>
      <w:lvlJc w:val="left"/>
      <w:pPr>
        <w:tabs>
          <w:tab w:val="num" w:pos="360"/>
        </w:tabs>
        <w:ind w:left="360" w:hanging="360"/>
      </w:pPr>
      <w:rPr>
        <w:rFonts w:ascii="Wingdings" w:hAnsi="Wingdings" w:hint="default"/>
        <w:sz w:val="16"/>
      </w:rPr>
    </w:lvl>
  </w:abstractNum>
  <w:abstractNum w:abstractNumId="3">
    <w:nsid w:val="1CA17654"/>
    <w:multiLevelType w:val="singleLevel"/>
    <w:tmpl w:val="05864200"/>
    <w:lvl w:ilvl="0">
      <w:start w:val="1"/>
      <w:numFmt w:val="bullet"/>
      <w:lvlText w:val=""/>
      <w:lvlJc w:val="left"/>
      <w:pPr>
        <w:tabs>
          <w:tab w:val="num" w:pos="360"/>
        </w:tabs>
        <w:ind w:left="360" w:hanging="360"/>
      </w:pPr>
      <w:rPr>
        <w:rFonts w:ascii="Symbol" w:hAnsi="Symbol" w:hint="default"/>
        <w:sz w:val="18"/>
      </w:rPr>
    </w:lvl>
  </w:abstractNum>
  <w:abstractNum w:abstractNumId="4">
    <w:nsid w:val="270E7F1E"/>
    <w:multiLevelType w:val="singleLevel"/>
    <w:tmpl w:val="F8125A30"/>
    <w:lvl w:ilvl="0">
      <w:start w:val="1"/>
      <w:numFmt w:val="bullet"/>
      <w:lvlText w:val=""/>
      <w:lvlJc w:val="left"/>
      <w:pPr>
        <w:tabs>
          <w:tab w:val="num" w:pos="720"/>
        </w:tabs>
        <w:ind w:left="648" w:hanging="288"/>
      </w:pPr>
      <w:rPr>
        <w:rFonts w:ascii="Wingdings" w:hAnsi="Wingdings" w:hint="default"/>
        <w:sz w:val="16"/>
      </w:rPr>
    </w:lvl>
  </w:abstractNum>
  <w:abstractNum w:abstractNumId="5">
    <w:nsid w:val="2CF72941"/>
    <w:multiLevelType w:val="singleLevel"/>
    <w:tmpl w:val="6B7250A8"/>
    <w:lvl w:ilvl="0">
      <w:start w:val="1"/>
      <w:numFmt w:val="bullet"/>
      <w:lvlText w:val=""/>
      <w:lvlJc w:val="left"/>
      <w:pPr>
        <w:tabs>
          <w:tab w:val="num" w:pos="360"/>
        </w:tabs>
        <w:ind w:left="360" w:hanging="360"/>
      </w:pPr>
      <w:rPr>
        <w:rFonts w:ascii="Symbol" w:hAnsi="Symbol" w:hint="default"/>
        <w:sz w:val="18"/>
      </w:rPr>
    </w:lvl>
  </w:abstractNum>
  <w:abstractNum w:abstractNumId="6">
    <w:nsid w:val="31122BE0"/>
    <w:multiLevelType w:val="singleLevel"/>
    <w:tmpl w:val="B5005496"/>
    <w:lvl w:ilvl="0">
      <w:start w:val="1"/>
      <w:numFmt w:val="bullet"/>
      <w:lvlText w:val=""/>
      <w:lvlJc w:val="left"/>
      <w:pPr>
        <w:tabs>
          <w:tab w:val="num" w:pos="360"/>
        </w:tabs>
        <w:ind w:left="360" w:hanging="360"/>
      </w:pPr>
      <w:rPr>
        <w:rFonts w:ascii="Symbol" w:hAnsi="Symbol" w:hint="default"/>
        <w:sz w:val="14"/>
      </w:rPr>
    </w:lvl>
  </w:abstractNum>
  <w:abstractNum w:abstractNumId="7">
    <w:nsid w:val="37B60705"/>
    <w:multiLevelType w:val="singleLevel"/>
    <w:tmpl w:val="2682D53A"/>
    <w:lvl w:ilvl="0">
      <w:start w:val="1"/>
      <w:numFmt w:val="bullet"/>
      <w:lvlText w:val=""/>
      <w:lvlJc w:val="left"/>
      <w:pPr>
        <w:tabs>
          <w:tab w:val="num" w:pos="360"/>
        </w:tabs>
        <w:ind w:left="360" w:hanging="360"/>
      </w:pPr>
      <w:rPr>
        <w:rFonts w:ascii="Symbol" w:hAnsi="Symbol" w:hint="default"/>
        <w:sz w:val="18"/>
      </w:rPr>
    </w:lvl>
  </w:abstractNum>
  <w:abstractNum w:abstractNumId="8">
    <w:nsid w:val="3DAA7566"/>
    <w:multiLevelType w:val="singleLevel"/>
    <w:tmpl w:val="A4109A12"/>
    <w:lvl w:ilvl="0">
      <w:start w:val="1"/>
      <w:numFmt w:val="bullet"/>
      <w:lvlText w:val=""/>
      <w:lvlJc w:val="left"/>
      <w:pPr>
        <w:tabs>
          <w:tab w:val="num" w:pos="360"/>
        </w:tabs>
        <w:ind w:left="360" w:hanging="360"/>
      </w:pPr>
      <w:rPr>
        <w:rFonts w:ascii="Symbol" w:hAnsi="Symbol" w:hint="default"/>
        <w:sz w:val="18"/>
      </w:rPr>
    </w:lvl>
  </w:abstractNum>
  <w:abstractNum w:abstractNumId="9">
    <w:nsid w:val="45FE5491"/>
    <w:multiLevelType w:val="singleLevel"/>
    <w:tmpl w:val="7FEE514E"/>
    <w:lvl w:ilvl="0">
      <w:start w:val="1"/>
      <w:numFmt w:val="bullet"/>
      <w:pStyle w:val="Bulletup2"/>
      <w:lvlText w:val=""/>
      <w:lvlJc w:val="left"/>
      <w:pPr>
        <w:tabs>
          <w:tab w:val="num" w:pos="720"/>
        </w:tabs>
        <w:ind w:left="648" w:hanging="288"/>
      </w:pPr>
      <w:rPr>
        <w:rFonts w:ascii="Wingdings" w:hAnsi="Wingdings" w:hint="default"/>
        <w:sz w:val="16"/>
      </w:rPr>
    </w:lvl>
  </w:abstractNum>
  <w:abstractNum w:abstractNumId="10">
    <w:nsid w:val="489D665D"/>
    <w:multiLevelType w:val="singleLevel"/>
    <w:tmpl w:val="42D8D95E"/>
    <w:lvl w:ilvl="0">
      <w:start w:val="1"/>
      <w:numFmt w:val="bullet"/>
      <w:lvlText w:val=""/>
      <w:lvlJc w:val="left"/>
      <w:pPr>
        <w:tabs>
          <w:tab w:val="num" w:pos="360"/>
        </w:tabs>
        <w:ind w:left="360" w:hanging="360"/>
      </w:pPr>
      <w:rPr>
        <w:rFonts w:ascii="Symbol" w:hAnsi="Symbol" w:hint="default"/>
        <w:sz w:val="18"/>
      </w:rPr>
    </w:lvl>
  </w:abstractNum>
  <w:abstractNum w:abstractNumId="11">
    <w:nsid w:val="536C2EEE"/>
    <w:multiLevelType w:val="singleLevel"/>
    <w:tmpl w:val="B6882B76"/>
    <w:lvl w:ilvl="0">
      <w:start w:val="1"/>
      <w:numFmt w:val="bullet"/>
      <w:pStyle w:val="Bulletup"/>
      <w:lvlText w:val=""/>
      <w:lvlJc w:val="left"/>
      <w:pPr>
        <w:tabs>
          <w:tab w:val="num" w:pos="360"/>
        </w:tabs>
        <w:ind w:left="360" w:hanging="360"/>
      </w:pPr>
      <w:rPr>
        <w:rFonts w:ascii="Symbol" w:hAnsi="Symbol" w:hint="default"/>
        <w:sz w:val="18"/>
      </w:rPr>
    </w:lvl>
  </w:abstractNum>
  <w:num w:numId="1">
    <w:abstractNumId w:val="3"/>
  </w:num>
  <w:num w:numId="2">
    <w:abstractNumId w:val="4"/>
  </w:num>
  <w:num w:numId="3">
    <w:abstractNumId w:val="4"/>
  </w:num>
  <w:num w:numId="4">
    <w:abstractNumId w:val="4"/>
  </w:num>
  <w:num w:numId="5">
    <w:abstractNumId w:val="4"/>
  </w:num>
  <w:num w:numId="6">
    <w:abstractNumId w:val="2"/>
  </w:num>
  <w:num w:numId="7">
    <w:abstractNumId w:val="4"/>
  </w:num>
  <w:num w:numId="8">
    <w:abstractNumId w:val="4"/>
  </w:num>
  <w:num w:numId="9">
    <w:abstractNumId w:val="8"/>
  </w:num>
  <w:num w:numId="10">
    <w:abstractNumId w:val="5"/>
  </w:num>
  <w:num w:numId="11">
    <w:abstractNumId w:val="1"/>
  </w:num>
  <w:num w:numId="12">
    <w:abstractNumId w:val="10"/>
  </w:num>
  <w:num w:numId="13">
    <w:abstractNumId w:val="11"/>
  </w:num>
  <w:num w:numId="14">
    <w:abstractNumId w:val="9"/>
  </w:num>
  <w:num w:numId="15">
    <w:abstractNumId w:val="7"/>
  </w:num>
  <w:num w:numId="16">
    <w:abstractNumId w:val="0"/>
  </w:num>
  <w:num w:numId="1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attachedTemplate r:id="rId1"/>
  <w:defaultTabStop w:val="720"/>
  <w:evenAndOddHeaders/>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3E6013"/>
    <w:rsid w:val="003E601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jc w:val="center"/>
      <w:outlineLvl w:val="1"/>
    </w:pPr>
    <w:rPr>
      <w:rFonts w:ascii="Univers" w:hAnsi="Univers" w:cs="Arial"/>
      <w:b/>
      <w:bCs/>
      <w:sz w:val="24"/>
      <w:szCs w:val="28"/>
    </w:rPr>
  </w:style>
  <w:style w:type="paragraph" w:styleId="Heading3">
    <w:name w:val="heading 3"/>
    <w:basedOn w:val="Normal"/>
    <w:next w:val="Normal"/>
    <w:qFormat/>
    <w:pPr>
      <w:keepNext/>
      <w:framePr w:w="497" w:h="425" w:hSpace="180" w:wrap="auto" w:vAnchor="text" w:hAnchor="page" w:x="1362" w:y="107"/>
      <w:pBdr>
        <w:top w:val="single" w:sz="12" w:space="5" w:color="auto" w:shadow="1"/>
        <w:left w:val="single" w:sz="12" w:space="5" w:color="auto" w:shadow="1"/>
        <w:bottom w:val="single" w:sz="12" w:space="5" w:color="auto" w:shadow="1"/>
        <w:right w:val="single" w:sz="12" w:space="5" w:color="auto" w:shadow="1"/>
      </w:pBdr>
      <w:outlineLvl w:val="2"/>
    </w:pPr>
    <w:rPr>
      <w:rFonts w:ascii="Tahoma" w:hAnsi="Tahoma"/>
      <w:b/>
      <w:color w:val="339966"/>
      <w:sz w:val="16"/>
    </w:rPr>
  </w:style>
  <w:style w:type="paragraph" w:styleId="Heading4">
    <w:name w:val="heading 4"/>
    <w:basedOn w:val="Normal"/>
    <w:next w:val="Normal"/>
    <w:qFormat/>
    <w:pPr>
      <w:keepNext/>
      <w:jc w:val="center"/>
      <w:outlineLvl w:val="3"/>
    </w:pPr>
    <w:rPr>
      <w:rFonts w:ascii="Univers" w:hAnsi="Univers" w:cs="Arial"/>
      <w:sz w:val="24"/>
      <w:szCs w:val="28"/>
    </w:rPr>
  </w:style>
  <w:style w:type="paragraph" w:styleId="Heading5">
    <w:name w:val="heading 5"/>
    <w:basedOn w:val="Normal"/>
    <w:next w:val="Normal"/>
    <w:qFormat/>
    <w:pPr>
      <w:keepNext/>
      <w:jc w:val="center"/>
      <w:outlineLvl w:val="4"/>
    </w:pPr>
    <w:rPr>
      <w:rFonts w:ascii="Univers" w:hAnsi="Univers" w:cs="Arial"/>
      <w:b/>
      <w:bCs/>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customStyle="1" w:styleId="Titleup">
    <w:name w:val="Titleup"/>
    <w:basedOn w:val="Normal"/>
    <w:pPr>
      <w:framePr w:w="12240" w:h="1570" w:hSpace="187" w:wrap="around" w:vAnchor="text" w:hAnchor="page" w:x="1" w:y="-705"/>
      <w:shd w:val="solid" w:color="FFFFFF" w:fill="FFFFFF"/>
      <w:ind w:left="720" w:right="720"/>
    </w:pPr>
    <w:rPr>
      <w:rFonts w:ascii="Univers" w:hAnsi="Univers"/>
      <w:b/>
      <w:sz w:val="72"/>
    </w:rPr>
  </w:style>
  <w:style w:type="paragraph" w:customStyle="1" w:styleId="Title3up">
    <w:name w:val="Title3up"/>
    <w:basedOn w:val="Titleup"/>
    <w:pPr>
      <w:framePr w:wrap="around"/>
      <w:tabs>
        <w:tab w:val="left" w:pos="900"/>
        <w:tab w:val="right" w:pos="11347"/>
      </w:tabs>
      <w:spacing w:after="120"/>
      <w:ind w:left="864"/>
    </w:pPr>
    <w:rPr>
      <w:sz w:val="40"/>
    </w:rPr>
  </w:style>
  <w:style w:type="paragraph" w:styleId="Footer">
    <w:name w:val="footer"/>
    <w:basedOn w:val="Normal"/>
    <w:semiHidden/>
    <w:pPr>
      <w:tabs>
        <w:tab w:val="center" w:pos="4320"/>
        <w:tab w:val="right" w:pos="8640"/>
      </w:tabs>
    </w:pPr>
  </w:style>
  <w:style w:type="paragraph" w:customStyle="1" w:styleId="ISSUE">
    <w:name w:val="ISSUE"/>
    <w:basedOn w:val="Normal"/>
    <w:pPr>
      <w:framePr w:w="11009" w:h="2881" w:hSpace="180" w:wrap="around" w:vAnchor="text" w:hAnchor="page" w:x="617" w:y="9844"/>
    </w:pPr>
    <w:rPr>
      <w:rFonts w:ascii="Univers" w:hAnsi="Univers"/>
      <w:sz w:val="18"/>
    </w:rPr>
  </w:style>
  <w:style w:type="paragraph" w:customStyle="1" w:styleId="HeaderA">
    <w:name w:val="HeaderA"/>
    <w:basedOn w:val="Header"/>
    <w:rPr>
      <w:rFonts w:ascii="Univers" w:hAnsi="Univers"/>
      <w:b/>
      <w:sz w:val="24"/>
    </w:rPr>
  </w:style>
  <w:style w:type="paragraph" w:customStyle="1" w:styleId="PageE">
    <w:name w:val="PageE"/>
    <w:basedOn w:val="Header"/>
    <w:pPr>
      <w:tabs>
        <w:tab w:val="clear" w:pos="4320"/>
        <w:tab w:val="center" w:pos="1440"/>
      </w:tabs>
      <w:ind w:left="-2880"/>
    </w:pPr>
    <w:rPr>
      <w:rFonts w:ascii="Univers" w:hAnsi="Univers"/>
      <w:b/>
      <w:sz w:val="24"/>
    </w:rPr>
  </w:style>
  <w:style w:type="character" w:styleId="Hyperlink">
    <w:name w:val="Hyperlink"/>
    <w:basedOn w:val="DefaultParagraphFont"/>
    <w:semiHidden/>
    <w:rPr>
      <w:color w:val="0000FF"/>
      <w:u w:val="single"/>
    </w:rPr>
  </w:style>
  <w:style w:type="paragraph" w:customStyle="1" w:styleId="PageO">
    <w:name w:val="PageO"/>
    <w:basedOn w:val="PageE"/>
    <w:pPr>
      <w:jc w:val="right"/>
    </w:pPr>
    <w:rPr>
      <w:b w:val="0"/>
    </w:rPr>
  </w:style>
  <w:style w:type="paragraph" w:customStyle="1" w:styleId="textup">
    <w:name w:val="textup"/>
    <w:basedOn w:val="Normal"/>
    <w:pPr>
      <w:tabs>
        <w:tab w:val="left" w:pos="2880"/>
      </w:tabs>
      <w:spacing w:before="120" w:after="120"/>
      <w:ind w:hanging="2880"/>
    </w:pPr>
    <w:rPr>
      <w:rFonts w:ascii="Univers" w:hAnsi="Univers"/>
    </w:rPr>
  </w:style>
  <w:style w:type="paragraph" w:customStyle="1" w:styleId="Blurbtitle">
    <w:name w:val="Blurbtitle"/>
    <w:basedOn w:val="Heading1"/>
    <w:pPr>
      <w:spacing w:before="0"/>
      <w:outlineLvl w:val="9"/>
    </w:pPr>
    <w:rPr>
      <w:rFonts w:ascii="Univers" w:hAnsi="Univers"/>
      <w:caps/>
      <w:sz w:val="24"/>
    </w:rPr>
  </w:style>
  <w:style w:type="paragraph" w:customStyle="1" w:styleId="Bulletup">
    <w:name w:val="Bulletup"/>
    <w:basedOn w:val="Normal"/>
    <w:pPr>
      <w:numPr>
        <w:numId w:val="13"/>
      </w:numPr>
      <w:spacing w:after="200"/>
    </w:pPr>
    <w:rPr>
      <w:rFonts w:ascii="Univers" w:hAnsi="Univers"/>
      <w:sz w:val="18"/>
    </w:rPr>
  </w:style>
  <w:style w:type="paragraph" w:customStyle="1" w:styleId="Contactup">
    <w:name w:val="Contactup"/>
    <w:pPr>
      <w:pBdr>
        <w:bottom w:val="single" w:sz="4" w:space="1" w:color="auto"/>
      </w:pBdr>
      <w:shd w:val="clear" w:color="auto" w:fill="FFFFFF"/>
      <w:tabs>
        <w:tab w:val="left" w:pos="900"/>
        <w:tab w:val="right" w:pos="11347"/>
      </w:tabs>
      <w:spacing w:before="160" w:after="120"/>
      <w:ind w:left="-2880" w:firstLine="2880"/>
    </w:pPr>
    <w:rPr>
      <w:rFonts w:ascii="Univers" w:hAnsi="Univers"/>
      <w:noProof/>
      <w:sz w:val="18"/>
    </w:rPr>
  </w:style>
  <w:style w:type="paragraph" w:customStyle="1" w:styleId="tabletitle2">
    <w:name w:val="tabletitle2"/>
    <w:basedOn w:val="Normal"/>
    <w:pPr>
      <w:jc w:val="center"/>
    </w:pPr>
    <w:rPr>
      <w:rFonts w:ascii="Univers" w:hAnsi="Univers"/>
      <w:sz w:val="16"/>
    </w:rPr>
  </w:style>
  <w:style w:type="paragraph" w:customStyle="1" w:styleId="Titlea">
    <w:name w:val="Titlea"/>
    <w:basedOn w:val="Blurbtitle"/>
    <w:autoRedefine/>
    <w:pPr>
      <w:spacing w:before="120" w:after="120"/>
      <w:ind w:hanging="2880"/>
    </w:pPr>
    <w:rPr>
      <w:i/>
      <w:caps w:val="0"/>
      <w:sz w:val="40"/>
    </w:rPr>
  </w:style>
  <w:style w:type="paragraph" w:customStyle="1" w:styleId="Titleb">
    <w:name w:val="Titleb"/>
    <w:basedOn w:val="Title"/>
    <w:autoRedefine/>
    <w:pPr>
      <w:jc w:val="left"/>
    </w:pPr>
    <w:rPr>
      <w:rFonts w:ascii="Univers" w:hAnsi="Univers"/>
      <w:caps/>
      <w:sz w:val="24"/>
    </w:rPr>
  </w:style>
  <w:style w:type="paragraph" w:styleId="Title">
    <w:name w:val="Title"/>
    <w:basedOn w:val="Normal"/>
    <w:qFormat/>
    <w:pPr>
      <w:spacing w:before="240" w:after="60"/>
      <w:jc w:val="center"/>
      <w:outlineLvl w:val="0"/>
    </w:pPr>
    <w:rPr>
      <w:rFonts w:ascii="Arial" w:hAnsi="Arial"/>
      <w:b/>
      <w:kern w:val="28"/>
      <w:sz w:val="32"/>
    </w:rPr>
  </w:style>
  <w:style w:type="paragraph" w:customStyle="1" w:styleId="tabletitle">
    <w:name w:val="tabletitle"/>
    <w:basedOn w:val="Normal"/>
    <w:autoRedefine/>
    <w:pPr>
      <w:jc w:val="center"/>
    </w:pPr>
    <w:rPr>
      <w:rFonts w:ascii="Univers" w:hAnsi="Univers"/>
      <w:sz w:val="16"/>
    </w:rPr>
  </w:style>
  <w:style w:type="paragraph" w:customStyle="1" w:styleId="space">
    <w:name w:val="space"/>
    <w:basedOn w:val="textup"/>
    <w:rPr>
      <w:sz w:val="12"/>
    </w:rPr>
  </w:style>
  <w:style w:type="paragraph" w:customStyle="1" w:styleId="tabletx">
    <w:name w:val="tabletx"/>
    <w:basedOn w:val="textup"/>
    <w:autoRedefine/>
    <w:pPr>
      <w:spacing w:before="0" w:after="0"/>
      <w:ind w:firstLine="0"/>
    </w:pPr>
    <w:rPr>
      <w:sz w:val="16"/>
    </w:rPr>
  </w:style>
  <w:style w:type="paragraph" w:customStyle="1" w:styleId="titlec">
    <w:name w:val="titlec"/>
    <w:basedOn w:val="Titleb"/>
    <w:autoRedefine/>
    <w:rPr>
      <w:sz w:val="20"/>
    </w:rPr>
  </w:style>
  <w:style w:type="paragraph" w:customStyle="1" w:styleId="Bulletup10">
    <w:name w:val="Bulletup 1"/>
    <w:basedOn w:val="Bulletup"/>
    <w:pPr>
      <w:numPr>
        <w:numId w:val="8"/>
      </w:numPr>
      <w:tabs>
        <w:tab w:val="clear" w:pos="720"/>
        <w:tab w:val="num" w:pos="792"/>
      </w:tabs>
      <w:ind w:left="792" w:hanging="432"/>
    </w:pPr>
  </w:style>
  <w:style w:type="paragraph" w:customStyle="1" w:styleId="Style1">
    <w:name w:val="Style1"/>
    <w:basedOn w:val="Bulletup"/>
  </w:style>
  <w:style w:type="paragraph" w:customStyle="1" w:styleId="Style2">
    <w:name w:val="Style2"/>
    <w:basedOn w:val="Bulletup"/>
    <w:autoRedefine/>
    <w:pPr>
      <w:numPr>
        <w:numId w:val="6"/>
      </w:numPr>
    </w:pPr>
  </w:style>
  <w:style w:type="paragraph" w:customStyle="1" w:styleId="Bulletup2">
    <w:name w:val="Bulletup2"/>
    <w:basedOn w:val="Bulletup10"/>
    <w:pPr>
      <w:numPr>
        <w:numId w:val="14"/>
      </w:numPr>
      <w:ind w:left="1166" w:hanging="360"/>
    </w:pPr>
  </w:style>
  <w:style w:type="paragraph" w:styleId="List2">
    <w:name w:val="List 2"/>
    <w:basedOn w:val="Normal"/>
    <w:semiHidden/>
    <w:pPr>
      <w:ind w:left="720" w:hanging="360"/>
    </w:pPr>
  </w:style>
  <w:style w:type="paragraph" w:customStyle="1" w:styleId="Bulletup1">
    <w:name w:val="Bulletup1"/>
    <w:basedOn w:val="Bulletup"/>
    <w:autoRedefine/>
    <w:pPr>
      <w:numPr>
        <w:numId w:val="16"/>
      </w:numPr>
      <w:tabs>
        <w:tab w:val="clear" w:pos="792"/>
        <w:tab w:val="num" w:pos="720"/>
      </w:tabs>
      <w:ind w:left="720" w:hanging="360"/>
    </w:pPr>
  </w:style>
  <w:style w:type="paragraph" w:styleId="BodyText">
    <w:name w:val="Body Text"/>
    <w:basedOn w:val="Normal"/>
    <w:semiHidden/>
    <w:pPr>
      <w:autoSpaceDE w:val="0"/>
      <w:autoSpaceDN w:val="0"/>
      <w:spacing w:before="72" w:after="72"/>
    </w:pPr>
    <w:rPr>
      <w:rFonts w:ascii="Univers" w:hAnsi="Univers"/>
      <w:color w:val="000000"/>
      <w:sz w:val="22"/>
      <w:szCs w:val="22"/>
    </w:rPr>
  </w:style>
  <w:style w:type="paragraph" w:customStyle="1" w:styleId="Contact">
    <w:name w:val="Contact"/>
    <w:basedOn w:val="Normal"/>
    <w:pPr>
      <w:autoSpaceDE w:val="0"/>
      <w:autoSpaceDN w:val="0"/>
    </w:pPr>
    <w:rPr>
      <w:rFonts w:ascii="Univers" w:hAnsi="Univers"/>
      <w:sz w:val="18"/>
      <w:szCs w:val="18"/>
    </w:rPr>
  </w:style>
  <w:style w:type="character" w:styleId="FollowedHyperlink">
    <w:name w:val="FollowedHyperlink"/>
    <w:basedOn w:val="DefaultParagraphFont"/>
    <w:semiHidden/>
    <w:rPr>
      <w:color w:val="800080"/>
      <w:u w:val="single"/>
    </w:rPr>
  </w:style>
  <w:style w:type="paragraph" w:customStyle="1" w:styleId="DEPTTEXT">
    <w:name w:val="DEPTTEXT"/>
    <w:pPr>
      <w:spacing w:after="240"/>
    </w:pPr>
    <w:rPr>
      <w:rFonts w:ascii="Univers" w:hAnsi="Univers"/>
      <w:sz w:val="24"/>
    </w:rPr>
  </w:style>
  <w:style w:type="paragraph" w:styleId="BodyText2">
    <w:name w:val="Body Text 2"/>
    <w:basedOn w:val="Normal"/>
    <w:semiHidden/>
    <w:pPr>
      <w:framePr w:w="796" w:h="865" w:hSpace="180" w:wrap="around" w:vAnchor="text" w:hAnchor="page" w:x="1535" w:y="755"/>
      <w:pBdr>
        <w:top w:val="single" w:sz="12" w:space="5" w:color="auto" w:shadow="1"/>
        <w:left w:val="single" w:sz="12" w:space="5" w:color="auto" w:shadow="1"/>
        <w:bottom w:val="single" w:sz="12" w:space="5" w:color="auto" w:shadow="1"/>
        <w:right w:val="single" w:sz="12" w:space="5" w:color="auto" w:shadow="1"/>
      </w:pBdr>
    </w:pPr>
    <w:rPr>
      <w:sz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image" Target="media/image7.wmf"/><Relationship Id="rId26" Type="http://schemas.openxmlformats.org/officeDocument/2006/relationships/image" Target="media/image12.png"/><Relationship Id="rId39" Type="http://schemas.openxmlformats.org/officeDocument/2006/relationships/image" Target="media/image21.wmf"/><Relationship Id="rId21" Type="http://schemas.openxmlformats.org/officeDocument/2006/relationships/image" Target="media/image9.wmf"/><Relationship Id="rId34" Type="http://schemas.openxmlformats.org/officeDocument/2006/relationships/image" Target="media/image17.wmf"/><Relationship Id="rId42" Type="http://schemas.openxmlformats.org/officeDocument/2006/relationships/image" Target="media/image22.wmf"/><Relationship Id="rId47" Type="http://schemas.openxmlformats.org/officeDocument/2006/relationships/image" Target="media/image27.wmf"/><Relationship Id="rId50" Type="http://schemas.openxmlformats.org/officeDocument/2006/relationships/oleObject" Target="embeddings/oleObject7.bin"/><Relationship Id="rId55" Type="http://schemas.openxmlformats.org/officeDocument/2006/relationships/image" Target="media/image32.wmf"/><Relationship Id="rId63" Type="http://schemas.openxmlformats.org/officeDocument/2006/relationships/header" Target="header1.xml"/><Relationship Id="rId7" Type="http://schemas.openxmlformats.org/officeDocument/2006/relationships/hyperlink" Target="http://staffweb.legis.state.ia.us/lfb/" TargetMode="Externa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yperlink" Target="http://staffweb.legis.state.ia.us/lfb/subcom/admin_reg/admin_reg.htm" TargetMode="External"/><Relationship Id="rId29" Type="http://schemas.openxmlformats.org/officeDocument/2006/relationships/image" Target="media/image14.wmf"/><Relationship Id="rId41" Type="http://schemas.openxmlformats.org/officeDocument/2006/relationships/oleObject" Target="embeddings/oleObject5.bin"/><Relationship Id="rId54" Type="http://schemas.openxmlformats.org/officeDocument/2006/relationships/oleObject" Target="embeddings/oleObject8.bin"/><Relationship Id="rId62" Type="http://schemas.openxmlformats.org/officeDocument/2006/relationships/hyperlink" Target="http://staffweb.legis.state.ia.us/lfb/fupdate/fupdate.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2.bin"/><Relationship Id="rId32" Type="http://schemas.openxmlformats.org/officeDocument/2006/relationships/hyperlink" Target="http://staffweb.legis.state.ia.us/lfb/subcom/human_serv/human_serv.htm" TargetMode="External"/><Relationship Id="rId37" Type="http://schemas.openxmlformats.org/officeDocument/2006/relationships/image" Target="media/image19.wmf"/><Relationship Id="rId40" Type="http://schemas.openxmlformats.org/officeDocument/2006/relationships/oleObject" Target="embeddings/oleObject4.bin"/><Relationship Id="rId45" Type="http://schemas.openxmlformats.org/officeDocument/2006/relationships/image" Target="media/image25.wmf"/><Relationship Id="rId53" Type="http://schemas.openxmlformats.org/officeDocument/2006/relationships/image" Target="media/image31.wmf"/><Relationship Id="rId58" Type="http://schemas.openxmlformats.org/officeDocument/2006/relationships/hyperlink" Target="http://staffweb.legis.state.ia.us/lfb/ireview/ireview.htm" TargetMode="External"/><Relationship Id="rId66"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taffweb.legis.state.ia.us/lfb/subcom/ed_standing/Spreadsheets.htm" TargetMode="External"/><Relationship Id="rId23" Type="http://schemas.openxmlformats.org/officeDocument/2006/relationships/image" Target="media/image10.wmf"/><Relationship Id="rId28" Type="http://schemas.openxmlformats.org/officeDocument/2006/relationships/image" Target="media/image13.wmf"/><Relationship Id="rId36" Type="http://schemas.openxmlformats.org/officeDocument/2006/relationships/hyperlink" Target="http://staffweb.legis.state.ia.us/lfb/subcom/justice/justice.htm" TargetMode="External"/><Relationship Id="rId49" Type="http://schemas.openxmlformats.org/officeDocument/2006/relationships/image" Target="media/image28.wmf"/><Relationship Id="rId57" Type="http://schemas.openxmlformats.org/officeDocument/2006/relationships/image" Target="media/image33.wmf"/><Relationship Id="rId61" Type="http://schemas.openxmlformats.org/officeDocument/2006/relationships/hyperlink" Target="http://staffweb.legis.state.ia.us/lfb/ireview/ireview.htm" TargetMode="External"/><Relationship Id="rId10" Type="http://schemas.openxmlformats.org/officeDocument/2006/relationships/hyperlink" Target="http://staffweb.legis.state.ia.us/lfb" TargetMode="External"/><Relationship Id="rId19" Type="http://schemas.openxmlformats.org/officeDocument/2006/relationships/image" Target="media/image8.png"/><Relationship Id="rId31" Type="http://schemas.openxmlformats.org/officeDocument/2006/relationships/oleObject" Target="embeddings/oleObject3.bin"/><Relationship Id="rId44" Type="http://schemas.openxmlformats.org/officeDocument/2006/relationships/image" Target="media/image24.wmf"/><Relationship Id="rId52" Type="http://schemas.openxmlformats.org/officeDocument/2006/relationships/image" Target="media/image30.wmf"/><Relationship Id="rId60" Type="http://schemas.openxmlformats.org/officeDocument/2006/relationships/image" Target="media/image34.wmf"/><Relationship Id="rId6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hyperlink" Target="http://staffweb.legis.state.ia.us/lfb/subcom/ag_dnr/ag_dnr.htm" TargetMode="External"/><Relationship Id="rId27" Type="http://schemas.openxmlformats.org/officeDocument/2006/relationships/hyperlink" Target="http://staffweb.legis.state.ia.us/lfb/subcom/econ_dev/econ_dev.htm" TargetMode="External"/><Relationship Id="rId30" Type="http://schemas.openxmlformats.org/officeDocument/2006/relationships/image" Target="media/image15.wmf"/><Relationship Id="rId35" Type="http://schemas.openxmlformats.org/officeDocument/2006/relationships/image" Target="media/image18.wmf"/><Relationship Id="rId43" Type="http://schemas.openxmlformats.org/officeDocument/2006/relationships/image" Target="media/image23.wmf"/><Relationship Id="rId48" Type="http://schemas.openxmlformats.org/officeDocument/2006/relationships/oleObject" Target="embeddings/oleObject6.bin"/><Relationship Id="rId56" Type="http://schemas.openxmlformats.org/officeDocument/2006/relationships/oleObject" Target="embeddings/oleObject9.bin"/><Relationship Id="rId64" Type="http://schemas.openxmlformats.org/officeDocument/2006/relationships/header" Target="header2.xml"/><Relationship Id="rId8" Type="http://schemas.openxmlformats.org/officeDocument/2006/relationships/image" Target="media/image1.wmf"/><Relationship Id="rId51" Type="http://schemas.openxmlformats.org/officeDocument/2006/relationships/image" Target="media/image29.wmf"/><Relationship Id="rId3" Type="http://schemas.openxmlformats.org/officeDocument/2006/relationships/settings" Target="settings.xml"/><Relationship Id="rId12" Type="http://schemas.openxmlformats.org/officeDocument/2006/relationships/hyperlink" Target="http://staffweb.legis.state.ia.us/lfb" TargetMode="External"/><Relationship Id="rId17" Type="http://schemas.openxmlformats.org/officeDocument/2006/relationships/image" Target="media/image6.wmf"/><Relationship Id="rId25" Type="http://schemas.openxmlformats.org/officeDocument/2006/relationships/image" Target="media/image11.wmf"/><Relationship Id="rId33" Type="http://schemas.openxmlformats.org/officeDocument/2006/relationships/image" Target="media/image16.wmf"/><Relationship Id="rId38" Type="http://schemas.openxmlformats.org/officeDocument/2006/relationships/image" Target="media/image20.wmf"/><Relationship Id="rId46" Type="http://schemas.openxmlformats.org/officeDocument/2006/relationships/image" Target="media/image26.png"/><Relationship Id="rId59" Type="http://schemas.openxmlformats.org/officeDocument/2006/relationships/oleObject" Target="embeddings/oleObject10.bin"/></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update9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update97.dot</Template>
  <TotalTime>0</TotalTime>
  <Pages>20</Pages>
  <Words>7540</Words>
  <Characters>42983</Characters>
  <Application>Microsoft Office Word</Application>
  <DocSecurity>4</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Iowa State Legislature</Company>
  <LinksUpToDate>false</LinksUpToDate>
  <CharactersWithSpaces>50423</CharactersWithSpaces>
  <SharedDoc>false</SharedDoc>
  <HLinks>
    <vt:vector size="102" baseType="variant">
      <vt:variant>
        <vt:i4>2031699</vt:i4>
      </vt:variant>
      <vt:variant>
        <vt:i4>63</vt:i4>
      </vt:variant>
      <vt:variant>
        <vt:i4>0</vt:i4>
      </vt:variant>
      <vt:variant>
        <vt:i4>5</vt:i4>
      </vt:variant>
      <vt:variant>
        <vt:lpwstr>http://staffweb.legis.state.ia.us/lfb/fupdate/fupdate.htm</vt:lpwstr>
      </vt:variant>
      <vt:variant>
        <vt:lpwstr/>
      </vt:variant>
      <vt:variant>
        <vt:i4>2031699</vt:i4>
      </vt:variant>
      <vt:variant>
        <vt:i4>60</vt:i4>
      </vt:variant>
      <vt:variant>
        <vt:i4>0</vt:i4>
      </vt:variant>
      <vt:variant>
        <vt:i4>5</vt:i4>
      </vt:variant>
      <vt:variant>
        <vt:lpwstr>http://staffweb.legis.state.ia.us/lfb/ireview/ireview.htm</vt:lpwstr>
      </vt:variant>
      <vt:variant>
        <vt:lpwstr/>
      </vt:variant>
      <vt:variant>
        <vt:i4>2031699</vt:i4>
      </vt:variant>
      <vt:variant>
        <vt:i4>54</vt:i4>
      </vt:variant>
      <vt:variant>
        <vt:i4>0</vt:i4>
      </vt:variant>
      <vt:variant>
        <vt:i4>5</vt:i4>
      </vt:variant>
      <vt:variant>
        <vt:lpwstr>http://staffweb.legis.state.ia.us/lfb/ireview/ireview.htm</vt:lpwstr>
      </vt:variant>
      <vt:variant>
        <vt:lpwstr/>
      </vt:variant>
      <vt:variant>
        <vt:i4>1310751</vt:i4>
      </vt:variant>
      <vt:variant>
        <vt:i4>33</vt:i4>
      </vt:variant>
      <vt:variant>
        <vt:i4>0</vt:i4>
      </vt:variant>
      <vt:variant>
        <vt:i4>5</vt:i4>
      </vt:variant>
      <vt:variant>
        <vt:lpwstr>http://staffweb.legis.state.ia.us/lfb/subcom/justice/justice.htm</vt:lpwstr>
      </vt:variant>
      <vt:variant>
        <vt:lpwstr/>
      </vt:variant>
      <vt:variant>
        <vt:i4>589826</vt:i4>
      </vt:variant>
      <vt:variant>
        <vt:i4>30</vt:i4>
      </vt:variant>
      <vt:variant>
        <vt:i4>0</vt:i4>
      </vt:variant>
      <vt:variant>
        <vt:i4>5</vt:i4>
      </vt:variant>
      <vt:variant>
        <vt:lpwstr>http://staffweb.legis.state.ia.us/lfb/subcom/human_serv/human_serv.htm</vt:lpwstr>
      </vt:variant>
      <vt:variant>
        <vt:lpwstr/>
      </vt:variant>
      <vt:variant>
        <vt:i4>1310751</vt:i4>
      </vt:variant>
      <vt:variant>
        <vt:i4>24</vt:i4>
      </vt:variant>
      <vt:variant>
        <vt:i4>0</vt:i4>
      </vt:variant>
      <vt:variant>
        <vt:i4>5</vt:i4>
      </vt:variant>
      <vt:variant>
        <vt:lpwstr>http://staffweb.legis.state.ia.us/lfb/subcom/econ_dev/econ_dev.htm</vt:lpwstr>
      </vt:variant>
      <vt:variant>
        <vt:lpwstr/>
      </vt:variant>
      <vt:variant>
        <vt:i4>1703953</vt:i4>
      </vt:variant>
      <vt:variant>
        <vt:i4>18</vt:i4>
      </vt:variant>
      <vt:variant>
        <vt:i4>0</vt:i4>
      </vt:variant>
      <vt:variant>
        <vt:i4>5</vt:i4>
      </vt:variant>
      <vt:variant>
        <vt:lpwstr>http://staffweb.legis.state.ia.us/lfb/subcom/ag_dnr/ag_dnr.htm</vt:lpwstr>
      </vt:variant>
      <vt:variant>
        <vt:lpwstr/>
      </vt:variant>
      <vt:variant>
        <vt:i4>1310751</vt:i4>
      </vt:variant>
      <vt:variant>
        <vt:i4>15</vt:i4>
      </vt:variant>
      <vt:variant>
        <vt:i4>0</vt:i4>
      </vt:variant>
      <vt:variant>
        <vt:i4>5</vt:i4>
      </vt:variant>
      <vt:variant>
        <vt:lpwstr>http://staffweb.legis.state.ia.us/lfb/subcom/admin_reg/admin_reg.htm</vt:lpwstr>
      </vt:variant>
      <vt:variant>
        <vt:lpwstr/>
      </vt:variant>
      <vt:variant>
        <vt:i4>6750302</vt:i4>
      </vt:variant>
      <vt:variant>
        <vt:i4>12</vt:i4>
      </vt:variant>
      <vt:variant>
        <vt:i4>0</vt:i4>
      </vt:variant>
      <vt:variant>
        <vt:i4>5</vt:i4>
      </vt:variant>
      <vt:variant>
        <vt:lpwstr>http://staffweb.legis.state.ia.us/lfb/subcom/ed_standing/Spreadsheets.htm</vt:lpwstr>
      </vt:variant>
      <vt:variant>
        <vt:lpwstr/>
      </vt:variant>
      <vt:variant>
        <vt:i4>4522073</vt:i4>
      </vt:variant>
      <vt:variant>
        <vt:i4>6</vt:i4>
      </vt:variant>
      <vt:variant>
        <vt:i4>0</vt:i4>
      </vt:variant>
      <vt:variant>
        <vt:i4>5</vt:i4>
      </vt:variant>
      <vt:variant>
        <vt:lpwstr>http://staffweb.legis.state.ia.us/lfb</vt:lpwstr>
      </vt:variant>
      <vt:variant>
        <vt:lpwstr/>
      </vt:variant>
      <vt:variant>
        <vt:i4>4522073</vt:i4>
      </vt:variant>
      <vt:variant>
        <vt:i4>3</vt:i4>
      </vt:variant>
      <vt:variant>
        <vt:i4>0</vt:i4>
      </vt:variant>
      <vt:variant>
        <vt:i4>5</vt:i4>
      </vt:variant>
      <vt:variant>
        <vt:lpwstr>http://staffweb.legis.state.ia.us/lfb</vt:lpwstr>
      </vt:variant>
      <vt:variant>
        <vt:lpwstr/>
      </vt:variant>
      <vt:variant>
        <vt:i4>6946875</vt:i4>
      </vt:variant>
      <vt:variant>
        <vt:i4>0</vt:i4>
      </vt:variant>
      <vt:variant>
        <vt:i4>0</vt:i4>
      </vt:variant>
      <vt:variant>
        <vt:i4>5</vt:i4>
      </vt:variant>
      <vt:variant>
        <vt:lpwstr>http://staffweb.legis.state.ia.us/lfb/</vt:lpwstr>
      </vt:variant>
      <vt:variant>
        <vt:lpwstr/>
      </vt:variant>
      <vt:variant>
        <vt:i4>786524</vt:i4>
      </vt:variant>
      <vt:variant>
        <vt:i4>34161</vt:i4>
      </vt:variant>
      <vt:variant>
        <vt:i4>1025</vt:i4>
      </vt:variant>
      <vt:variant>
        <vt:i4>1</vt:i4>
      </vt:variant>
      <vt:variant>
        <vt:lpwstr>D:\Clipart\Trans\Trancomm\TRAIN002.WMF</vt:lpwstr>
      </vt:variant>
      <vt:variant>
        <vt:lpwstr/>
      </vt:variant>
      <vt:variant>
        <vt:i4>8126526</vt:i4>
      </vt:variant>
      <vt:variant>
        <vt:i4>52607</vt:i4>
      </vt:variant>
      <vt:variant>
        <vt:i4>1027</vt:i4>
      </vt:variant>
      <vt:variant>
        <vt:i4>1</vt:i4>
      </vt:variant>
      <vt:variant>
        <vt:lpwstr>D:\Clipart\Regional\Govt\LAWEN034.WMF</vt:lpwstr>
      </vt:variant>
      <vt:variant>
        <vt:lpwstr/>
      </vt:variant>
      <vt:variant>
        <vt:i4>2883628</vt:i4>
      </vt:variant>
      <vt:variant>
        <vt:i4>52610</vt:i4>
      </vt:variant>
      <vt:variant>
        <vt:i4>1028</vt:i4>
      </vt:variant>
      <vt:variant>
        <vt:i4>1</vt:i4>
      </vt:variant>
      <vt:variant>
        <vt:lpwstr>C:\My Documents\W8-5.gif</vt:lpwstr>
      </vt:variant>
      <vt:variant>
        <vt:lpwstr/>
      </vt:variant>
      <vt:variant>
        <vt:i4>7667784</vt:i4>
      </vt:variant>
      <vt:variant>
        <vt:i4>-1</vt:i4>
      </vt:variant>
      <vt:variant>
        <vt:i4>1028</vt:i4>
      </vt:variant>
      <vt:variant>
        <vt:i4>1</vt:i4>
      </vt:variant>
      <vt:variant>
        <vt:lpwstr>C:\Program Files\Microsoft Office\Clipart\standard\stddir1\bd06148_.wmf</vt:lpwstr>
      </vt:variant>
      <vt:variant>
        <vt:lpwstr/>
      </vt:variant>
      <vt:variant>
        <vt:i4>8192077</vt:i4>
      </vt:variant>
      <vt:variant>
        <vt:i4>-1</vt:i4>
      </vt:variant>
      <vt:variant>
        <vt:i4>1029</vt:i4>
      </vt:variant>
      <vt:variant>
        <vt:i4>1</vt:i4>
      </vt:variant>
      <vt:variant>
        <vt:lpwstr>C:\Program Files\Microsoft Office\Clipart\standard\stddir1\bd05120_.wmf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Iowa Legislature</dc:creator>
  <cp:keywords/>
  <dc:description/>
  <cp:lastModifiedBy>Margaret Noon</cp:lastModifiedBy>
  <cp:revision>2</cp:revision>
  <cp:lastPrinted>2001-02-26T23:35:00Z</cp:lastPrinted>
  <dcterms:created xsi:type="dcterms:W3CDTF">2009-09-23T18:25:00Z</dcterms:created>
  <dcterms:modified xsi:type="dcterms:W3CDTF">2009-09-23T18:25:00Z</dcterms:modified>
</cp:coreProperties>
</file>