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81342">
      <w:pPr>
        <w:pStyle w:val="TITLEup"/>
        <w:framePr w:w="12239" w:h="1570" w:hSpace="187" w:wrap="around" w:x="1" w:y="-709"/>
        <w:pBdr>
          <w:top w:val="none" w:sz="0" w:space="0" w:color="auto"/>
          <w:left w:val="none" w:sz="0" w:space="0" w:color="auto"/>
          <w:bottom w:val="none" w:sz="0" w:space="0" w:color="auto"/>
          <w:right w:val="none" w:sz="0" w:space="0" w:color="auto"/>
        </w:pBdr>
        <w:shd w:val="pct10" w:color="auto" w:fill="auto"/>
        <w:tabs>
          <w:tab w:val="left" w:pos="900"/>
          <w:tab w:val="right" w:pos="11340"/>
        </w:tabs>
      </w:pPr>
      <w:r>
        <w:tab/>
        <w:t xml:space="preserve">FISCAL UPDATE </w:t>
      </w:r>
      <w:r>
        <w:tab/>
      </w:r>
      <w:r>
        <w:rPr>
          <w:sz w:val="36"/>
        </w:rPr>
        <w:t>April 12, 1999</w:t>
      </w:r>
    </w:p>
    <w:p w:rsidR="00000000" w:rsidRDefault="00981342">
      <w:pPr>
        <w:pStyle w:val="TITLE3up"/>
        <w:framePr w:w="12159" w:wrap="around" w:x="1"/>
        <w:shd w:val="pct10" w:color="auto" w:fill="auto"/>
        <w:tabs>
          <w:tab w:val="left" w:pos="900"/>
          <w:tab w:val="right" w:pos="11340"/>
        </w:tabs>
        <w:ind w:left="720"/>
      </w:pPr>
      <w:r>
        <w:rPr>
          <w:rFonts w:ascii="Univers" w:hAnsi="Univers"/>
          <w:b w:val="0"/>
          <w:noProof/>
          <w:sz w:val="20"/>
        </w:rPr>
        <w:pict>
          <v:line id="_x0000_s1026" style="position:absolute;left:0;text-align:left;z-index:251656192;mso-position-horizontal:absolute;mso-position-horizontal-relative:text;mso-position-vertical:absolute;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981342">
      <w:pPr>
        <w:pStyle w:val="Blurbtitle"/>
      </w:pPr>
      <w:bookmarkStart w:id="0" w:name="FU4LCSA"/>
    </w:p>
    <w:p w:rsidR="00000000" w:rsidRDefault="00981342">
      <w:pPr>
        <w:pStyle w:val="Blurbtitle"/>
      </w:pPr>
      <w:r>
        <w:t>Revenue Estimating Conference Revises the FY 1999 and FY 2000 Revenue Estimates</w:t>
      </w:r>
    </w:p>
    <w:p w:rsidR="00000000" w:rsidRDefault="00981342">
      <w:pPr>
        <w:pStyle w:val="textup"/>
      </w:pPr>
      <w:r>
        <w:rPr>
          <w:b/>
        </w:rPr>
        <w:t>REC Meeting</w:t>
      </w:r>
      <w:r>
        <w:tab/>
        <w:t>The Revenue Estimating Conference (REC) met April 8 to review the FY 1</w:t>
      </w:r>
      <w:r>
        <w:t>999 and FY 2000 General Fund revenue estimates.  Members of the Conference approved revisions for the net FY 1999 and FY 2000 General Fund receipts.</w:t>
      </w:r>
    </w:p>
    <w:p w:rsidR="00000000" w:rsidRDefault="00981342">
      <w:pPr>
        <w:framePr w:w="501" w:h="1159" w:hSpace="180" w:wrap="around" w:vAnchor="text" w:hAnchor="page" w:x="1497" w:y="66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981342">
      <w:pPr>
        <w:pStyle w:val="textup"/>
        <w:tabs>
          <w:tab w:val="clear" w:pos="2880"/>
        </w:tabs>
      </w:pPr>
      <w:r>
        <w:rPr>
          <w:b/>
        </w:rPr>
        <w:t>FY 1999 Estimate</w:t>
      </w:r>
      <w:r>
        <w:tab/>
        <w:t>The REC left unchanged the FY 1999 total receipts estimate of $4.918 billion established</w:t>
      </w:r>
      <w:r>
        <w:t xml:space="preserve"> in December.  Net receipts (total receipts less refunds) were revised upward from $4.406 billion to $4.422 billion, reflecting a reduced estimate for refunds.  The FY 1999 refunds estimate was revised downward from $511.6 million to $495.7 million, reflec</w:t>
      </w:r>
      <w:r>
        <w:t>ting the less than anticipated year-to-date refunds growth.  Even though the total receipts figure was unchanged from December, several adjustments were made to specific taxes to reflect year-to-date experience.  Personal income tax collections have been w</w:t>
      </w:r>
      <w:r>
        <w:t>eaker than anticipated, and the REC revised the FY 1999 personal income tax amount downward by $34.0 million compared to the December REC estimate.  The December estimate of $1.346 billion for sales tax was increased by $19.8 million in reflection of great</w:t>
      </w:r>
      <w:r>
        <w:t>er than anticipated year-to-date growth.  Corporate income tax receipts growth has also been above expectations, and the Conference increased the FY 1999 estimate of $285.1 million by $15.0 million to reflect the year-to-date experience.  Insurance premium</w:t>
      </w:r>
      <w:r>
        <w:t xml:space="preserve"> tax was increased by $8.0 million and use tax receipts were decreased by $11.0 million.</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981342">
            <w:pPr>
              <w:pStyle w:val="ISSUE"/>
              <w:framePr w:w="0" w:hRule="auto" w:hSpace="187" w:wrap="around" w:x="1122" w:y="3548" w:anchorLock="1"/>
              <w:rPr>
                <w:b/>
              </w:rPr>
            </w:pPr>
          </w:p>
        </w:tc>
        <w:tc>
          <w:tcPr>
            <w:tcW w:w="4230" w:type="dxa"/>
          </w:tcPr>
          <w:p w:rsidR="00000000" w:rsidRDefault="00981342">
            <w:pPr>
              <w:pStyle w:val="ISSUE"/>
              <w:framePr w:w="0" w:hRule="auto" w:hSpace="187" w:wrap="around" w:x="1122" w:y="3548" w:anchorLock="1"/>
            </w:pPr>
          </w:p>
        </w:tc>
        <w:tc>
          <w:tcPr>
            <w:tcW w:w="4680" w:type="dxa"/>
            <w:tcBorders>
              <w:top w:val="single" w:sz="6" w:space="0" w:color="auto"/>
              <w:bottom w:val="nil"/>
              <w:right w:val="single" w:sz="6" w:space="0" w:color="auto"/>
            </w:tcBorders>
          </w:tcPr>
          <w:p w:rsidR="00000000" w:rsidRDefault="00981342">
            <w:pPr>
              <w:pStyle w:val="ISSUE"/>
              <w:framePr w:w="0" w:hRule="auto" w:hSpace="187" w:wrap="around" w:x="1122" w:y="3548" w:anchorLock="1"/>
            </w:pPr>
          </w:p>
        </w:tc>
      </w:tr>
      <w:tr w:rsidR="00000000">
        <w:tblPrEx>
          <w:tblCellMar>
            <w:top w:w="0" w:type="dxa"/>
            <w:bottom w:w="0" w:type="dxa"/>
          </w:tblCellMar>
        </w:tblPrEx>
        <w:tc>
          <w:tcPr>
            <w:tcW w:w="1548" w:type="dxa"/>
          </w:tcPr>
          <w:p w:rsidR="00000000" w:rsidRDefault="00981342">
            <w:pPr>
              <w:pStyle w:val="ISSUE"/>
              <w:framePr w:w="0" w:hRule="auto" w:hSpace="187" w:wrap="around" w:x="1122" w:y="3548" w:anchorLock="1"/>
              <w:rPr>
                <w:b/>
                <w:u w:val="single"/>
              </w:rPr>
            </w:pPr>
            <w:r>
              <w:rPr>
                <w:b/>
                <w:u w:val="single"/>
              </w:rPr>
              <w:t>IN THIS ISSUE:</w:t>
            </w:r>
          </w:p>
        </w:tc>
        <w:tc>
          <w:tcPr>
            <w:tcW w:w="4230" w:type="dxa"/>
          </w:tcPr>
          <w:p w:rsidR="00000000" w:rsidRDefault="00981342">
            <w:pPr>
              <w:pStyle w:val="ISSUE"/>
              <w:framePr w:w="0" w:hRule="auto" w:hSpace="187" w:wrap="around" w:x="1122" w:y="3548" w:anchorLock="1"/>
            </w:pPr>
            <w:r>
              <w:t>Revenue Estimating Conference, pg. 1</w:t>
            </w:r>
          </w:p>
        </w:tc>
        <w:tc>
          <w:tcPr>
            <w:tcW w:w="4680" w:type="dxa"/>
            <w:tcBorders>
              <w:top w:val="nil"/>
              <w:bottom w:val="nil"/>
              <w:right w:val="single" w:sz="6" w:space="0" w:color="auto"/>
            </w:tcBorders>
          </w:tcPr>
          <w:p w:rsidR="00000000" w:rsidRDefault="00981342">
            <w:pPr>
              <w:pStyle w:val="ISSUE"/>
              <w:framePr w:w="0" w:hRule="auto" w:hSpace="187" w:wrap="around" w:x="1122" w:y="3548" w:anchorLock="1"/>
            </w:pPr>
            <w:r>
              <w:rPr>
                <w:b/>
              </w:rPr>
              <w:t>Appropriations Subcommittee Bills:</w:t>
            </w:r>
          </w:p>
        </w:tc>
      </w:tr>
      <w:tr w:rsidR="00000000">
        <w:tblPrEx>
          <w:tblCellMar>
            <w:top w:w="0" w:type="dxa"/>
            <w:bottom w:w="0" w:type="dxa"/>
          </w:tblCellMar>
        </w:tblPrEx>
        <w:tc>
          <w:tcPr>
            <w:tcW w:w="1548" w:type="dxa"/>
          </w:tcPr>
          <w:p w:rsidR="00000000" w:rsidRDefault="00981342">
            <w:pPr>
              <w:pStyle w:val="ISSUE"/>
              <w:framePr w:w="0" w:hRule="auto" w:hSpace="187" w:wrap="around" w:x="1122" w:y="3548" w:anchorLock="1"/>
              <w:rPr>
                <w:u w:val="single"/>
              </w:rPr>
            </w:pPr>
          </w:p>
        </w:tc>
        <w:tc>
          <w:tcPr>
            <w:tcW w:w="4230" w:type="dxa"/>
          </w:tcPr>
          <w:p w:rsidR="00000000" w:rsidRDefault="00981342">
            <w:pPr>
              <w:pStyle w:val="ISSUE"/>
              <w:framePr w:w="0" w:hRule="auto" w:hSpace="187" w:wrap="around" w:x="1122" w:y="3548" w:anchorLock="1"/>
            </w:pPr>
            <w:r>
              <w:t>Revised Gambling Revenue Estimates, pg. 3</w:t>
            </w:r>
          </w:p>
        </w:tc>
        <w:tc>
          <w:tcPr>
            <w:tcW w:w="4680" w:type="dxa"/>
            <w:tcBorders>
              <w:top w:val="nil"/>
            </w:tcBorders>
          </w:tcPr>
          <w:p w:rsidR="00000000" w:rsidRDefault="00981342">
            <w:pPr>
              <w:pStyle w:val="ISSUE"/>
              <w:framePr w:w="0" w:hRule="auto" w:hSpace="187" w:wrap="around" w:x="1122" w:y="3548" w:anchorLock="1"/>
            </w:pPr>
            <w:r>
              <w:t xml:space="preserve">  Health/Human Rights - HF 737, </w:t>
            </w:r>
            <w:r>
              <w:t>pg. 8</w:t>
            </w:r>
          </w:p>
        </w:tc>
      </w:tr>
      <w:tr w:rsidR="00000000">
        <w:tblPrEx>
          <w:tblCellMar>
            <w:top w:w="0" w:type="dxa"/>
            <w:bottom w:w="0" w:type="dxa"/>
          </w:tblCellMar>
        </w:tblPrEx>
        <w:tc>
          <w:tcPr>
            <w:tcW w:w="1548" w:type="dxa"/>
          </w:tcPr>
          <w:p w:rsidR="00000000" w:rsidRDefault="00981342">
            <w:pPr>
              <w:pStyle w:val="ISSUE"/>
              <w:framePr w:w="0" w:hRule="auto" w:hSpace="187" w:wrap="around" w:x="1122" w:y="3548" w:anchorLock="1"/>
              <w:rPr>
                <w:u w:val="single"/>
              </w:rPr>
            </w:pPr>
          </w:p>
        </w:tc>
        <w:tc>
          <w:tcPr>
            <w:tcW w:w="4230" w:type="dxa"/>
          </w:tcPr>
          <w:p w:rsidR="00000000" w:rsidRDefault="00981342">
            <w:pPr>
              <w:pStyle w:val="ISSUE"/>
              <w:framePr w:w="0" w:hRule="auto" w:hSpace="187" w:wrap="around" w:x="1122" w:y="3548" w:anchorLock="1"/>
            </w:pPr>
            <w:r>
              <w:t>Status of Appropriations Bills, pg. 3</w:t>
            </w:r>
          </w:p>
        </w:tc>
        <w:tc>
          <w:tcPr>
            <w:tcW w:w="4680" w:type="dxa"/>
            <w:tcBorders>
              <w:top w:val="nil"/>
            </w:tcBorders>
          </w:tcPr>
          <w:p w:rsidR="00000000" w:rsidRDefault="00981342">
            <w:pPr>
              <w:pStyle w:val="ISSUE"/>
              <w:framePr w:w="0" w:hRule="auto" w:hSpace="187" w:wrap="around" w:x="1122" w:y="3548" w:anchorLock="1"/>
            </w:pPr>
            <w:r>
              <w:t xml:space="preserve">  Human Services – HF 760, pg. 9</w:t>
            </w:r>
          </w:p>
        </w:tc>
      </w:tr>
      <w:tr w:rsidR="00000000">
        <w:tblPrEx>
          <w:tblCellMar>
            <w:top w:w="0" w:type="dxa"/>
            <w:bottom w:w="0" w:type="dxa"/>
          </w:tblCellMar>
        </w:tblPrEx>
        <w:tc>
          <w:tcPr>
            <w:tcW w:w="1548" w:type="dxa"/>
          </w:tcPr>
          <w:p w:rsidR="00000000" w:rsidRDefault="00981342">
            <w:pPr>
              <w:pStyle w:val="ISSUE"/>
              <w:framePr w:w="0" w:hRule="auto" w:hSpace="187" w:wrap="around" w:x="1122" w:y="3548" w:anchorLock="1"/>
              <w:rPr>
                <w:u w:val="single"/>
              </w:rPr>
            </w:pPr>
          </w:p>
        </w:tc>
        <w:tc>
          <w:tcPr>
            <w:tcW w:w="4230" w:type="dxa"/>
          </w:tcPr>
          <w:p w:rsidR="00000000" w:rsidRDefault="00981342">
            <w:pPr>
              <w:pStyle w:val="ISSUE"/>
              <w:framePr w:w="0" w:hRule="auto" w:hSpace="187" w:wrap="around" w:x="1122" w:y="3548" w:anchorLock="1"/>
              <w:rPr>
                <w:b/>
              </w:rPr>
            </w:pPr>
            <w:r>
              <w:rPr>
                <w:b/>
              </w:rPr>
              <w:t>Appropriations Subcommittee Bills:</w:t>
            </w:r>
          </w:p>
        </w:tc>
        <w:tc>
          <w:tcPr>
            <w:tcW w:w="4680" w:type="dxa"/>
            <w:tcBorders>
              <w:top w:val="nil"/>
            </w:tcBorders>
          </w:tcPr>
          <w:p w:rsidR="00000000" w:rsidRDefault="00981342">
            <w:pPr>
              <w:pStyle w:val="ISSUE"/>
              <w:framePr w:w="0" w:hRule="auto" w:hSpace="187" w:wrap="around" w:x="1122" w:y="3548" w:anchorLock="1"/>
            </w:pPr>
            <w:r>
              <w:t xml:space="preserve">  Justice System – SF 468, pg. 11</w:t>
            </w:r>
          </w:p>
        </w:tc>
      </w:tr>
      <w:tr w:rsidR="00000000">
        <w:tblPrEx>
          <w:tblCellMar>
            <w:top w:w="0" w:type="dxa"/>
            <w:bottom w:w="0" w:type="dxa"/>
          </w:tblCellMar>
        </w:tblPrEx>
        <w:tc>
          <w:tcPr>
            <w:tcW w:w="1548" w:type="dxa"/>
          </w:tcPr>
          <w:p w:rsidR="00000000" w:rsidRDefault="00981342">
            <w:pPr>
              <w:pStyle w:val="ISSUE"/>
              <w:framePr w:w="0" w:hRule="auto" w:hSpace="187" w:wrap="around" w:x="1122" w:y="3548" w:anchorLock="1"/>
              <w:rPr>
                <w:u w:val="single"/>
              </w:rPr>
            </w:pPr>
          </w:p>
        </w:tc>
        <w:tc>
          <w:tcPr>
            <w:tcW w:w="4230" w:type="dxa"/>
          </w:tcPr>
          <w:p w:rsidR="00000000" w:rsidRDefault="00981342">
            <w:pPr>
              <w:pStyle w:val="ISSUE"/>
              <w:framePr w:w="0" w:hRule="auto" w:hSpace="187" w:wrap="around" w:x="1122" w:y="3548" w:anchorLock="1"/>
            </w:pPr>
            <w:r>
              <w:t xml:space="preserve">  Admin. &amp; Regulation – SF 460, pg. 5</w:t>
            </w:r>
          </w:p>
        </w:tc>
        <w:tc>
          <w:tcPr>
            <w:tcW w:w="4680" w:type="dxa"/>
            <w:tcBorders>
              <w:top w:val="nil"/>
            </w:tcBorders>
          </w:tcPr>
          <w:p w:rsidR="00000000" w:rsidRDefault="00981342">
            <w:pPr>
              <w:pStyle w:val="ISSUE"/>
              <w:framePr w:w="0" w:hRule="auto" w:hSpace="187" w:wrap="around" w:x="1122" w:y="3548" w:anchorLock="1"/>
            </w:pPr>
            <w:r>
              <w:t xml:space="preserve">  Oversight &amp; Communications – HF 762, pg. 12</w:t>
            </w:r>
          </w:p>
        </w:tc>
      </w:tr>
      <w:tr w:rsidR="00000000">
        <w:tblPrEx>
          <w:tblCellMar>
            <w:top w:w="0" w:type="dxa"/>
            <w:bottom w:w="0" w:type="dxa"/>
          </w:tblCellMar>
        </w:tblPrEx>
        <w:tc>
          <w:tcPr>
            <w:tcW w:w="1548" w:type="dxa"/>
          </w:tcPr>
          <w:p w:rsidR="00000000" w:rsidRDefault="00981342">
            <w:pPr>
              <w:pStyle w:val="ISSUE"/>
              <w:framePr w:w="0" w:hRule="auto" w:hSpace="187" w:wrap="around" w:x="1122" w:y="3548" w:anchorLock="1"/>
            </w:pPr>
          </w:p>
        </w:tc>
        <w:tc>
          <w:tcPr>
            <w:tcW w:w="4230" w:type="dxa"/>
          </w:tcPr>
          <w:p w:rsidR="00000000" w:rsidRDefault="00981342">
            <w:pPr>
              <w:pStyle w:val="ISSUE"/>
              <w:framePr w:w="0" w:hRule="auto" w:hSpace="187" w:wrap="around" w:x="1122" w:y="3548" w:anchorLock="1"/>
            </w:pPr>
            <w:r>
              <w:t xml:space="preserve">  Agriculture &amp; Na</w:t>
            </w:r>
            <w:r>
              <w:t>tural Res. – HF 746, pg. 5</w:t>
            </w:r>
          </w:p>
        </w:tc>
        <w:tc>
          <w:tcPr>
            <w:tcW w:w="4680" w:type="dxa"/>
          </w:tcPr>
          <w:p w:rsidR="00000000" w:rsidRDefault="00981342">
            <w:pPr>
              <w:pStyle w:val="ISSUE"/>
              <w:framePr w:w="0" w:hRule="auto" w:hSpace="187" w:wrap="around" w:x="1122" w:y="3548" w:anchorLock="1"/>
            </w:pPr>
            <w:r>
              <w:t xml:space="preserve">  Transportation – SF 424, pg. 13</w:t>
            </w:r>
          </w:p>
        </w:tc>
      </w:tr>
      <w:tr w:rsidR="00000000">
        <w:tblPrEx>
          <w:tblCellMar>
            <w:top w:w="0" w:type="dxa"/>
            <w:bottom w:w="0" w:type="dxa"/>
          </w:tblCellMar>
        </w:tblPrEx>
        <w:tc>
          <w:tcPr>
            <w:tcW w:w="1548" w:type="dxa"/>
          </w:tcPr>
          <w:p w:rsidR="00000000" w:rsidRDefault="00981342">
            <w:pPr>
              <w:pStyle w:val="ISSUE"/>
              <w:framePr w:w="0" w:hRule="auto" w:hSpace="187" w:wrap="around" w:x="1122" w:y="3548" w:anchorLock="1"/>
            </w:pPr>
          </w:p>
        </w:tc>
        <w:tc>
          <w:tcPr>
            <w:tcW w:w="4230" w:type="dxa"/>
          </w:tcPr>
          <w:p w:rsidR="00000000" w:rsidRDefault="00981342">
            <w:pPr>
              <w:pStyle w:val="ISSUE"/>
              <w:framePr w:w="0" w:hRule="auto" w:hSpace="187" w:wrap="around" w:x="1122" w:y="3548" w:anchorLock="1"/>
            </w:pPr>
            <w:r>
              <w:t xml:space="preserve">  Economic Development – HF 745, pg. 7</w:t>
            </w:r>
          </w:p>
        </w:tc>
        <w:tc>
          <w:tcPr>
            <w:tcW w:w="4680" w:type="dxa"/>
          </w:tcPr>
          <w:p w:rsidR="00000000" w:rsidRDefault="00981342">
            <w:pPr>
              <w:pStyle w:val="ISSUE"/>
              <w:framePr w:w="0" w:hRule="auto" w:hSpace="187" w:wrap="around" w:x="1122" w:y="3548" w:anchorLock="1"/>
            </w:pPr>
            <w:r>
              <w:t xml:space="preserve">  Sex Offender Registry Bill – HF 136, pg. 14</w:t>
            </w:r>
          </w:p>
        </w:tc>
      </w:tr>
      <w:tr w:rsidR="00000000">
        <w:tblPrEx>
          <w:tblCellMar>
            <w:top w:w="0" w:type="dxa"/>
            <w:bottom w:w="0" w:type="dxa"/>
          </w:tblCellMar>
        </w:tblPrEx>
        <w:tc>
          <w:tcPr>
            <w:tcW w:w="1548" w:type="dxa"/>
          </w:tcPr>
          <w:p w:rsidR="00000000" w:rsidRDefault="00981342">
            <w:pPr>
              <w:pStyle w:val="ISSUE"/>
              <w:framePr w:w="0" w:hRule="auto" w:hSpace="187" w:wrap="around" w:x="1122" w:y="3548" w:anchorLock="1"/>
            </w:pPr>
          </w:p>
        </w:tc>
        <w:tc>
          <w:tcPr>
            <w:tcW w:w="4230" w:type="dxa"/>
          </w:tcPr>
          <w:p w:rsidR="00000000" w:rsidRDefault="00981342">
            <w:pPr>
              <w:pStyle w:val="ISSUE"/>
              <w:framePr w:w="0" w:hRule="auto" w:hSpace="187" w:wrap="around" w:x="1122" w:y="3548" w:anchorLock="1"/>
            </w:pPr>
            <w:r>
              <w:t xml:space="preserve">  Education – SF 464, pg. 8</w:t>
            </w:r>
          </w:p>
        </w:tc>
        <w:tc>
          <w:tcPr>
            <w:tcW w:w="4680" w:type="dxa"/>
          </w:tcPr>
          <w:p w:rsidR="00000000" w:rsidRDefault="00981342">
            <w:pPr>
              <w:pStyle w:val="ISSUE"/>
              <w:framePr w:w="0" w:hRule="auto" w:hSpace="187" w:wrap="around" w:x="1122" w:y="3548" w:anchorLock="1"/>
            </w:pPr>
          </w:p>
        </w:tc>
      </w:tr>
    </w:tbl>
    <w:p w:rsidR="00000000" w:rsidRDefault="00981342">
      <w:pPr>
        <w:pStyle w:val="textup"/>
        <w:tabs>
          <w:tab w:val="clear" w:pos="2880"/>
        </w:tabs>
      </w:pPr>
      <w:r>
        <w:rPr>
          <w:b/>
          <w:noProof/>
        </w:rPr>
        <w:drawing>
          <wp:anchor distT="0" distB="0" distL="114300" distR="114300" simplePos="0" relativeHeight="251658240" behindDoc="0" locked="0" layoutInCell="0" allowOverlap="1">
            <wp:simplePos x="0" y="0"/>
            <wp:positionH relativeFrom="column">
              <wp:posOffset>-1691640</wp:posOffset>
            </wp:positionH>
            <wp:positionV relativeFrom="paragraph">
              <wp:posOffset>573405</wp:posOffset>
            </wp:positionV>
            <wp:extent cx="822960" cy="574675"/>
            <wp:effectExtent l="19050" t="19050" r="15240" b="15875"/>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822960" cy="574675"/>
                    </a:xfrm>
                    <a:prstGeom prst="rect">
                      <a:avLst/>
                    </a:prstGeom>
                    <a:noFill/>
                    <a:ln w="9525">
                      <a:solidFill>
                        <a:srgbClr val="000000"/>
                      </a:solidFill>
                      <a:miter lim="800000"/>
                      <a:headEnd/>
                      <a:tailEnd/>
                    </a:ln>
                  </pic:spPr>
                </pic:pic>
              </a:graphicData>
            </a:graphic>
          </wp:anchor>
        </w:drawing>
      </w:r>
      <w:r>
        <w:rPr>
          <w:b/>
        </w:rPr>
        <w:t>FY 2000 Estimate</w:t>
      </w:r>
      <w:r>
        <w:tab/>
        <w:t>The REC also left unchanged the FY 2000 total receipts est</w:t>
      </w:r>
      <w:r>
        <w:t>imate of $5.130 billion established in December.  Net receipts (total receipts less refunds) were revised upward from $4.586 billion to $4.609 billion, reflecting a reduced estimate for refunds.  The FY 2000 refunds estimate was revised downward from $543.</w:t>
      </w:r>
      <w:r>
        <w:t>3 million to $519.5 million, also reflecting the less than anticipated year-to-date refunds growth.   Even though the total receipts figure was unchanged from December, several adjustments were made to specific taxes to reflect year-to-date experience comp</w:t>
      </w:r>
      <w:r>
        <w:t>ared to the December estimate, both personal income tax and use tax were decreased by $32.7 million and $10.0 million, respectively.  Sales tax, corporate income tax, and insurance premium tax were increased, compared to the December estimate by $25.0 mill</w:t>
      </w:r>
      <w:r>
        <w:t>ion, $15.0 million, and $2.0 million, respectively.</w:t>
      </w:r>
    </w:p>
    <w:p w:rsidR="00000000" w:rsidRDefault="00981342">
      <w:pPr>
        <w:pStyle w:val="textup"/>
        <w:tabs>
          <w:tab w:val="clear" w:pos="2880"/>
        </w:tabs>
      </w:pPr>
      <w:r>
        <w:rPr>
          <w:b/>
        </w:rPr>
        <w:lastRenderedPageBreak/>
        <w:t>Gambling Revenues</w:t>
      </w:r>
      <w:r>
        <w:tab/>
        <w:t>The Conference also revised the FY 1999 and FY 2000 estimates for gambling revenues transferred to the Rebuild Iowa Infrastructure Fund (RIIF).  Gambling proceeds to the General Fund are</w:t>
      </w:r>
      <w:r>
        <w:t xml:space="preserve"> statutorily capped at $60.0 million, with the excess going to the RIIF.  The Conference increased the FY 1999 and FY 2000 figures by $2.0 million and $1.0 million, respectively.</w:t>
      </w:r>
    </w:p>
    <w:p w:rsidR="00000000" w:rsidRDefault="00981342">
      <w:pPr>
        <w:pStyle w:val="textup"/>
        <w:tabs>
          <w:tab w:val="clear" w:pos="2880"/>
        </w:tabs>
      </w:pPr>
      <w:r>
        <w:rPr>
          <w:b/>
        </w:rPr>
        <w:t>Source of Revenue</w:t>
      </w:r>
      <w:r>
        <w:tab/>
        <w:t>The spreadsheet below details the latest REC estimates by s</w:t>
      </w:r>
      <w:r>
        <w:t>ource of revenue.</w:t>
      </w:r>
    </w:p>
    <w:p w:rsidR="00000000" w:rsidRDefault="00981342">
      <w:pPr>
        <w:pStyle w:val="textup"/>
        <w:jc w:val="center"/>
      </w:pPr>
      <w:r>
        <w:object w:dxaOrig="8541" w:dyaOrig="9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7pt;height:465pt" o:ole="" fillcolor="window">
            <v:imagedata r:id="rId9" o:title=""/>
          </v:shape>
          <o:OLEObject Type="Embed" ProgID="Word.Picture.8" ShapeID="_x0000_i1026" DrawAspect="Content" ObjectID="_1314621657" r:id="rId10"/>
        </w:object>
      </w:r>
    </w:p>
    <w:p w:rsidR="00000000" w:rsidRDefault="00981342">
      <w:pPr>
        <w:pStyle w:val="Contactup"/>
      </w:pPr>
      <w:r>
        <w:t>STAFF CONTACT:  Larry Sigel (Ext. 14611)</w:t>
      </w:r>
    </w:p>
    <w:p w:rsidR="00000000" w:rsidRDefault="00981342">
      <w:pPr>
        <w:pStyle w:val="Blurbtitle"/>
      </w:pPr>
      <w:bookmarkStart w:id="1" w:name="FU4DLRD"/>
      <w:r>
        <w:lastRenderedPageBreak/>
        <w:t>Revised Gambling Revenue Estimates</w:t>
      </w:r>
      <w:bookmarkEnd w:id="1"/>
      <w:r>
        <w:t xml:space="preserve"> </w:t>
      </w:r>
    </w:p>
    <w:p w:rsidR="00000000" w:rsidRDefault="00981342">
      <w:pPr>
        <w:framePr w:w="655" w:h="865" w:hSpace="180" w:wrap="around" w:vAnchor="text" w:hAnchor="page" w:x="1497" w:y="35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19100" cy="3302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19100" cy="330200"/>
                    </a:xfrm>
                    <a:prstGeom prst="rect">
                      <a:avLst/>
                    </a:prstGeom>
                    <a:noFill/>
                    <a:ln w="9525">
                      <a:noFill/>
                      <a:miter lim="800000"/>
                      <a:headEnd/>
                      <a:tailEnd/>
                    </a:ln>
                  </pic:spPr>
                </pic:pic>
              </a:graphicData>
            </a:graphic>
          </wp:inline>
        </w:drawing>
      </w:r>
    </w:p>
    <w:p w:rsidR="00000000" w:rsidRDefault="00981342">
      <w:pPr>
        <w:pStyle w:val="textup"/>
      </w:pPr>
      <w:r>
        <w:rPr>
          <w:b/>
        </w:rPr>
        <w:t>Gambling Revenues</w:t>
      </w:r>
      <w:r>
        <w:tab/>
        <w:t>The Revenue Estimating Conference (REC) projected moderate increases in the gambling revenues being transferred t</w:t>
      </w:r>
      <w:r>
        <w:t xml:space="preserve">o the Rebuild Iowa Infrastructure Fund for FY 1999 and FY 2000.  In addition, the Racing and Gaming Commission revised the FY 2001 estimate. </w:t>
      </w:r>
    </w:p>
    <w:p w:rsidR="00000000" w:rsidRDefault="00981342">
      <w:pPr>
        <w:pStyle w:val="textup"/>
      </w:pPr>
      <w:r>
        <w:rPr>
          <w:b/>
        </w:rPr>
        <w:t>FY 1999 Estimate</w:t>
      </w:r>
      <w:r>
        <w:tab/>
        <w:t>The REC increased the FY 1999 estimate by $2.0 million (2.0%), from $100.1 million to $102.1 mill</w:t>
      </w:r>
      <w:r>
        <w:t>ion.  Receipts through the end of March were running approximately 1.8% ahead of expectations.  The estimate assumes receipts will continue at this rate.</w:t>
      </w:r>
    </w:p>
    <w:p w:rsidR="00000000" w:rsidRDefault="00981342">
      <w:pPr>
        <w:framePr w:w="501" w:h="1159" w:hSpace="180" w:wrap="around" w:vAnchor="text" w:hAnchor="page" w:x="1497" w:y="38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981342">
      <w:pPr>
        <w:pStyle w:val="textup"/>
      </w:pPr>
      <w:r>
        <w:rPr>
          <w:b/>
        </w:rPr>
        <w:t>FY 2000 Estimate</w:t>
      </w:r>
      <w:r>
        <w:tab/>
        <w:t>For FY 2000, the REC increased the estimated receipts by $1.0 million (1.0%) from $</w:t>
      </w:r>
      <w:r>
        <w:t xml:space="preserve">107.9 million to $108.9 million.  The estimate was adjusted upward due to a slight increase in the Racing and Gaming Commission’s estimates of adjusted gross receipts for the Osceola Riverboat and Prairie Meadows.  </w:t>
      </w:r>
    </w:p>
    <w:p w:rsidR="00000000" w:rsidRDefault="00981342">
      <w:pPr>
        <w:pStyle w:val="textup"/>
      </w:pPr>
      <w:r>
        <w:rPr>
          <w:b/>
        </w:rPr>
        <w:t>FY 2001</w:t>
      </w:r>
      <w:r>
        <w:tab/>
        <w:t>Although the REC does not estima</w:t>
      </w:r>
      <w:r>
        <w:t>te revenues for FY 2001, the Racing and Gaming Commission provided an estimate for FY 2001 of $117.9 million.  The estimate is $2.3 million (2.0%) higher than the $115.6 million estimated by the Legislative Fiscal Bureau in December.  The increase is attri</w:t>
      </w:r>
      <w:r>
        <w:t>buted to a change in the estimated adjusted gross receipts for the Osceola Boat in FY 2001.</w:t>
      </w:r>
    </w:p>
    <w:p w:rsidR="00000000" w:rsidRDefault="00981342">
      <w:pPr>
        <w:pStyle w:val="Contactup"/>
      </w:pPr>
      <w:r>
        <w:t>STAFF CONTACT:  David Reynolds (Ext. 16934)</w:t>
      </w:r>
    </w:p>
    <w:p w:rsidR="00000000" w:rsidRDefault="00981342">
      <w:pPr>
        <w:pStyle w:val="Blurbtitle"/>
      </w:pPr>
      <w:r>
        <w:t>Status of Appropriations Bills</w:t>
      </w:r>
    </w:p>
    <w:tbl>
      <w:tblPr>
        <w:tblW w:w="0" w:type="auto"/>
        <w:tblInd w:w="-522" w:type="dxa"/>
        <w:tblLayout w:type="fixed"/>
        <w:tblLook w:val="0000"/>
      </w:tblPr>
      <w:tblGrid>
        <w:gridCol w:w="2197"/>
        <w:gridCol w:w="262"/>
        <w:gridCol w:w="1501"/>
        <w:gridCol w:w="296"/>
        <w:gridCol w:w="3034"/>
      </w:tblGrid>
      <w:tr w:rsidR="00000000">
        <w:tblPrEx>
          <w:tblCellMar>
            <w:top w:w="0" w:type="dxa"/>
            <w:bottom w:w="0" w:type="dxa"/>
          </w:tblCellMar>
        </w:tblPrEx>
        <w:trPr>
          <w:tblHeader/>
        </w:trPr>
        <w:tc>
          <w:tcPr>
            <w:tcW w:w="7290" w:type="dxa"/>
            <w:gridSpan w:val="5"/>
            <w:tcBorders>
              <w:top w:val="single" w:sz="6" w:space="0" w:color="auto"/>
              <w:left w:val="single" w:sz="6" w:space="0" w:color="auto"/>
              <w:bottom w:val="single" w:sz="6" w:space="0" w:color="auto"/>
              <w:right w:val="single" w:sz="6" w:space="0" w:color="auto"/>
            </w:tcBorders>
          </w:tcPr>
          <w:p w:rsidR="00000000" w:rsidRDefault="00981342">
            <w:pPr>
              <w:jc w:val="center"/>
              <w:rPr>
                <w:rFonts w:ascii="Univers" w:hAnsi="Univers"/>
                <w:b/>
                <w:sz w:val="22"/>
              </w:rPr>
            </w:pPr>
          </w:p>
          <w:p w:rsidR="00000000" w:rsidRDefault="00981342">
            <w:pPr>
              <w:jc w:val="center"/>
              <w:rPr>
                <w:rFonts w:ascii="Univers" w:hAnsi="Univers"/>
                <w:b/>
              </w:rPr>
            </w:pPr>
            <w:r>
              <w:rPr>
                <w:rFonts w:ascii="Univers" w:hAnsi="Univers"/>
                <w:b/>
                <w:sz w:val="22"/>
              </w:rPr>
              <w:t>Appropriations Subcommittee Bills</w:t>
            </w:r>
          </w:p>
        </w:tc>
      </w:tr>
      <w:tr w:rsidR="00000000">
        <w:tblPrEx>
          <w:tblCellMar>
            <w:top w:w="0" w:type="dxa"/>
            <w:bottom w:w="0" w:type="dxa"/>
          </w:tblCellMar>
        </w:tblPrEx>
        <w:trPr>
          <w:tblHeader/>
        </w:trPr>
        <w:tc>
          <w:tcPr>
            <w:tcW w:w="2197" w:type="dxa"/>
            <w:tcBorders>
              <w:top w:val="single" w:sz="6" w:space="0" w:color="auto"/>
              <w:left w:val="single" w:sz="6" w:space="0" w:color="auto"/>
              <w:bottom w:val="single" w:sz="6" w:space="0" w:color="auto"/>
            </w:tcBorders>
          </w:tcPr>
          <w:p w:rsidR="00000000" w:rsidRDefault="00981342">
            <w:pPr>
              <w:rPr>
                <w:rFonts w:ascii="Univers" w:hAnsi="Univers"/>
                <w:b/>
              </w:rPr>
            </w:pPr>
            <w:r>
              <w:rPr>
                <w:rFonts w:ascii="Univers" w:hAnsi="Univers"/>
                <w:b/>
              </w:rPr>
              <w:t>Appropriations Subcommittee</w:t>
            </w:r>
          </w:p>
        </w:tc>
        <w:tc>
          <w:tcPr>
            <w:tcW w:w="262" w:type="dxa"/>
            <w:tcBorders>
              <w:top w:val="single" w:sz="6" w:space="0" w:color="auto"/>
              <w:bottom w:val="single" w:sz="6" w:space="0" w:color="auto"/>
            </w:tcBorders>
          </w:tcPr>
          <w:p w:rsidR="00000000" w:rsidRDefault="00981342">
            <w:pPr>
              <w:rPr>
                <w:rFonts w:ascii="Univers" w:hAnsi="Univers"/>
                <w:b/>
              </w:rPr>
            </w:pPr>
          </w:p>
        </w:tc>
        <w:tc>
          <w:tcPr>
            <w:tcW w:w="1501" w:type="dxa"/>
            <w:tcBorders>
              <w:top w:val="single" w:sz="6" w:space="0" w:color="auto"/>
              <w:bottom w:val="single" w:sz="6" w:space="0" w:color="auto"/>
            </w:tcBorders>
          </w:tcPr>
          <w:p w:rsidR="00000000" w:rsidRDefault="00981342">
            <w:pPr>
              <w:rPr>
                <w:rFonts w:ascii="Univers" w:hAnsi="Univers"/>
                <w:b/>
              </w:rPr>
            </w:pPr>
          </w:p>
          <w:p w:rsidR="00000000" w:rsidRDefault="00981342">
            <w:pPr>
              <w:rPr>
                <w:rFonts w:ascii="Univers" w:hAnsi="Univers"/>
                <w:b/>
              </w:rPr>
            </w:pPr>
            <w:r>
              <w:rPr>
                <w:rFonts w:ascii="Univers" w:hAnsi="Univers"/>
                <w:b/>
              </w:rPr>
              <w:t>LSB/File #</w:t>
            </w:r>
          </w:p>
        </w:tc>
        <w:tc>
          <w:tcPr>
            <w:tcW w:w="296" w:type="dxa"/>
            <w:tcBorders>
              <w:top w:val="single" w:sz="6" w:space="0" w:color="auto"/>
            </w:tcBorders>
          </w:tcPr>
          <w:p w:rsidR="00000000" w:rsidRDefault="00981342">
            <w:pPr>
              <w:rPr>
                <w:rFonts w:ascii="Univers" w:hAnsi="Univers"/>
                <w:b/>
              </w:rPr>
            </w:pPr>
          </w:p>
        </w:tc>
        <w:tc>
          <w:tcPr>
            <w:tcW w:w="3034" w:type="dxa"/>
            <w:tcBorders>
              <w:top w:val="single" w:sz="6" w:space="0" w:color="auto"/>
              <w:bottom w:val="single" w:sz="6" w:space="0" w:color="auto"/>
              <w:right w:val="single" w:sz="6" w:space="0" w:color="auto"/>
            </w:tcBorders>
          </w:tcPr>
          <w:p w:rsidR="00000000" w:rsidRDefault="00981342">
            <w:pPr>
              <w:rPr>
                <w:rFonts w:ascii="Univers" w:hAnsi="Univers"/>
                <w:b/>
              </w:rPr>
            </w:pPr>
          </w:p>
          <w:p w:rsidR="00000000" w:rsidRDefault="00981342">
            <w:pPr>
              <w:rPr>
                <w:rFonts w:ascii="Univers" w:hAnsi="Univers"/>
                <w:b/>
              </w:rPr>
            </w:pPr>
            <w:r>
              <w:rPr>
                <w:rFonts w:ascii="Univers" w:hAnsi="Univers"/>
                <w:b/>
              </w:rPr>
              <w:t>Status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981342">
            <w:pPr>
              <w:tabs>
                <w:tab w:val="left" w:pos="162"/>
              </w:tabs>
              <w:rPr>
                <w:rFonts w:ascii="Univers" w:hAnsi="Univers"/>
              </w:rPr>
            </w:pPr>
            <w:r>
              <w:rPr>
                <w:b/>
                <w:noProof/>
              </w:rPr>
              <w:pict>
                <v:shape id="_x0000_s1027" type="#_x0000_t75" style="position:absolute;margin-left:-140.4pt;margin-top:8.5pt;width:61pt;height:91pt;z-index:251657216;mso-position-horizontal:absolute;mso-position-horizontal-relative:text;mso-position-vertical:absolute;mso-position-vertical-relative:text" o:allowincell="f" fillcolor="window">
                  <v:imagedata r:id="rId13" o:title=""/>
                  <w10:wrap type="topAndBottom"/>
                </v:shape>
                <o:OLEObject Type="Embed" ProgID="Word.Picture.8" ShapeID="_x0000_s1027" DrawAspect="Content" ObjectID="_1314621661" r:id="rId14"/>
              </w:pict>
            </w:r>
            <w:r>
              <w:rPr>
                <w:rFonts w:ascii="Univers" w:hAnsi="Univers"/>
              </w:rPr>
              <w:t>A</w:t>
            </w:r>
            <w:r>
              <w:rPr>
                <w:rFonts w:ascii="Univers" w:hAnsi="Univers"/>
              </w:rPr>
              <w:t>dmin./Regulation</w:t>
            </w:r>
          </w:p>
        </w:tc>
        <w:tc>
          <w:tcPr>
            <w:tcW w:w="262" w:type="dxa"/>
            <w:tcBorders>
              <w:top w:val="single" w:sz="6" w:space="0" w:color="auto"/>
              <w:bottom w:val="single" w:sz="6" w:space="0" w:color="auto"/>
            </w:tcBorders>
          </w:tcPr>
          <w:p w:rsidR="00000000" w:rsidRDefault="00981342">
            <w:pPr>
              <w:rPr>
                <w:rFonts w:ascii="Univers" w:hAnsi="Univers"/>
              </w:rPr>
            </w:pPr>
          </w:p>
        </w:tc>
        <w:tc>
          <w:tcPr>
            <w:tcW w:w="1501" w:type="dxa"/>
            <w:tcBorders>
              <w:top w:val="single" w:sz="6" w:space="0" w:color="auto"/>
              <w:bottom w:val="single" w:sz="6" w:space="0" w:color="auto"/>
            </w:tcBorders>
          </w:tcPr>
          <w:p w:rsidR="00000000" w:rsidRDefault="00981342">
            <w:pPr>
              <w:rPr>
                <w:rFonts w:ascii="Univers" w:hAnsi="Univers"/>
              </w:rPr>
            </w:pPr>
            <w:r>
              <w:rPr>
                <w:rFonts w:ascii="Univers" w:hAnsi="Univers"/>
              </w:rPr>
              <w:t>SF 460</w:t>
            </w:r>
          </w:p>
        </w:tc>
        <w:tc>
          <w:tcPr>
            <w:tcW w:w="296" w:type="dxa"/>
            <w:tcBorders>
              <w:top w:val="single" w:sz="6" w:space="0" w:color="auto"/>
              <w:bottom w:val="single" w:sz="6" w:space="0" w:color="auto"/>
            </w:tcBorders>
          </w:tcPr>
          <w:p w:rsidR="00000000" w:rsidRDefault="00981342">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981342">
            <w:pPr>
              <w:rPr>
                <w:rFonts w:ascii="Univers" w:hAnsi="Univers"/>
              </w:rPr>
            </w:pPr>
            <w:r>
              <w:rPr>
                <w:rFonts w:ascii="Univers" w:hAnsi="Univers"/>
              </w:rPr>
              <w:t xml:space="preserve">Passed House Approps. on April 8. </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981342">
            <w:pPr>
              <w:tabs>
                <w:tab w:val="left" w:pos="162"/>
              </w:tabs>
              <w:rPr>
                <w:rFonts w:ascii="Univers" w:hAnsi="Univers"/>
              </w:rPr>
            </w:pPr>
            <w:r>
              <w:rPr>
                <w:rFonts w:ascii="Univers" w:hAnsi="Univers"/>
              </w:rPr>
              <w:t xml:space="preserve">Ag./Natural  </w:t>
            </w:r>
            <w:r>
              <w:rPr>
                <w:rFonts w:ascii="Univers" w:hAnsi="Univers"/>
              </w:rPr>
              <w:tab/>
              <w:t>Resources</w:t>
            </w:r>
          </w:p>
        </w:tc>
        <w:tc>
          <w:tcPr>
            <w:tcW w:w="262" w:type="dxa"/>
            <w:tcBorders>
              <w:top w:val="single" w:sz="6" w:space="0" w:color="auto"/>
              <w:bottom w:val="single" w:sz="6" w:space="0" w:color="auto"/>
            </w:tcBorders>
          </w:tcPr>
          <w:p w:rsidR="00000000" w:rsidRDefault="00981342">
            <w:pPr>
              <w:rPr>
                <w:rFonts w:ascii="Univers" w:hAnsi="Univers"/>
              </w:rPr>
            </w:pPr>
          </w:p>
        </w:tc>
        <w:tc>
          <w:tcPr>
            <w:tcW w:w="1501" w:type="dxa"/>
            <w:tcBorders>
              <w:top w:val="single" w:sz="6" w:space="0" w:color="auto"/>
              <w:bottom w:val="single" w:sz="6" w:space="0" w:color="auto"/>
            </w:tcBorders>
          </w:tcPr>
          <w:p w:rsidR="00000000" w:rsidRDefault="00981342">
            <w:pPr>
              <w:rPr>
                <w:rFonts w:ascii="Univers" w:hAnsi="Univers"/>
              </w:rPr>
            </w:pPr>
            <w:r>
              <w:rPr>
                <w:rFonts w:ascii="Univers" w:hAnsi="Univers"/>
              </w:rPr>
              <w:t>HF 746</w:t>
            </w:r>
          </w:p>
        </w:tc>
        <w:tc>
          <w:tcPr>
            <w:tcW w:w="296" w:type="dxa"/>
            <w:tcBorders>
              <w:top w:val="single" w:sz="6" w:space="0" w:color="auto"/>
              <w:bottom w:val="single" w:sz="6" w:space="0" w:color="auto"/>
            </w:tcBorders>
          </w:tcPr>
          <w:p w:rsidR="00000000" w:rsidRDefault="00981342">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981342">
            <w:pPr>
              <w:rPr>
                <w:rFonts w:ascii="Univers" w:hAnsi="Univers"/>
              </w:rPr>
            </w:pPr>
            <w:r>
              <w:rPr>
                <w:rFonts w:ascii="Univers" w:hAnsi="Univers"/>
              </w:rPr>
              <w:t>Passed House on April 6.</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981342">
            <w:pPr>
              <w:tabs>
                <w:tab w:val="left" w:pos="162"/>
              </w:tabs>
              <w:rPr>
                <w:rFonts w:ascii="Univers" w:hAnsi="Univers"/>
              </w:rPr>
            </w:pPr>
            <w:r>
              <w:rPr>
                <w:rFonts w:ascii="Univers" w:hAnsi="Univers"/>
              </w:rPr>
              <w:t xml:space="preserve">Economic </w:t>
            </w:r>
            <w:r>
              <w:rPr>
                <w:rFonts w:ascii="Univers" w:hAnsi="Univers"/>
              </w:rPr>
              <w:tab/>
              <w:t>Development</w:t>
            </w:r>
          </w:p>
        </w:tc>
        <w:tc>
          <w:tcPr>
            <w:tcW w:w="262" w:type="dxa"/>
            <w:tcBorders>
              <w:top w:val="single" w:sz="6" w:space="0" w:color="auto"/>
              <w:bottom w:val="single" w:sz="6" w:space="0" w:color="auto"/>
            </w:tcBorders>
          </w:tcPr>
          <w:p w:rsidR="00000000" w:rsidRDefault="00981342">
            <w:pPr>
              <w:rPr>
                <w:rFonts w:ascii="Univers" w:hAnsi="Univers"/>
              </w:rPr>
            </w:pPr>
          </w:p>
        </w:tc>
        <w:tc>
          <w:tcPr>
            <w:tcW w:w="1501" w:type="dxa"/>
            <w:tcBorders>
              <w:top w:val="single" w:sz="6" w:space="0" w:color="auto"/>
              <w:bottom w:val="single" w:sz="6" w:space="0" w:color="auto"/>
            </w:tcBorders>
          </w:tcPr>
          <w:p w:rsidR="00000000" w:rsidRDefault="00981342">
            <w:pPr>
              <w:rPr>
                <w:rFonts w:ascii="Univers" w:hAnsi="Univers"/>
              </w:rPr>
            </w:pPr>
            <w:r>
              <w:rPr>
                <w:rFonts w:ascii="Univers" w:hAnsi="Univers"/>
              </w:rPr>
              <w:t>HF 745</w:t>
            </w:r>
          </w:p>
        </w:tc>
        <w:tc>
          <w:tcPr>
            <w:tcW w:w="296" w:type="dxa"/>
            <w:tcBorders>
              <w:top w:val="single" w:sz="6" w:space="0" w:color="auto"/>
              <w:bottom w:val="single" w:sz="6" w:space="0" w:color="auto"/>
            </w:tcBorders>
          </w:tcPr>
          <w:p w:rsidR="00000000" w:rsidRDefault="00981342">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981342">
            <w:pPr>
              <w:rPr>
                <w:rFonts w:ascii="Univers" w:hAnsi="Univers"/>
              </w:rPr>
            </w:pPr>
            <w:r>
              <w:rPr>
                <w:rFonts w:ascii="Univers" w:hAnsi="Univers"/>
              </w:rPr>
              <w:t>Passed Senate Approps. on April 7.</w:t>
            </w:r>
          </w:p>
          <w:p w:rsidR="00000000" w:rsidRDefault="00981342">
            <w:pPr>
              <w:rPr>
                <w:rFonts w:ascii="Univers" w:hAnsi="Univers"/>
              </w:rPr>
            </w:pP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981342">
            <w:pPr>
              <w:tabs>
                <w:tab w:val="left" w:pos="162"/>
              </w:tabs>
              <w:rPr>
                <w:rFonts w:ascii="Univers" w:hAnsi="Univers"/>
              </w:rPr>
            </w:pPr>
            <w:r>
              <w:rPr>
                <w:rFonts w:ascii="Univers" w:hAnsi="Univers"/>
              </w:rPr>
              <w:t>Education</w:t>
            </w:r>
          </w:p>
        </w:tc>
        <w:tc>
          <w:tcPr>
            <w:tcW w:w="262" w:type="dxa"/>
            <w:tcBorders>
              <w:top w:val="single" w:sz="6" w:space="0" w:color="auto"/>
              <w:bottom w:val="single" w:sz="6" w:space="0" w:color="auto"/>
            </w:tcBorders>
          </w:tcPr>
          <w:p w:rsidR="00000000" w:rsidRDefault="00981342">
            <w:pPr>
              <w:rPr>
                <w:rFonts w:ascii="Univers" w:hAnsi="Univers"/>
              </w:rPr>
            </w:pPr>
          </w:p>
        </w:tc>
        <w:tc>
          <w:tcPr>
            <w:tcW w:w="1501" w:type="dxa"/>
            <w:tcBorders>
              <w:top w:val="single" w:sz="6" w:space="0" w:color="auto"/>
              <w:bottom w:val="single" w:sz="6" w:space="0" w:color="auto"/>
            </w:tcBorders>
          </w:tcPr>
          <w:p w:rsidR="00000000" w:rsidRDefault="00981342">
            <w:pPr>
              <w:rPr>
                <w:rFonts w:ascii="Univers" w:hAnsi="Univers"/>
              </w:rPr>
            </w:pPr>
            <w:r>
              <w:rPr>
                <w:rFonts w:ascii="Univers" w:hAnsi="Univers"/>
              </w:rPr>
              <w:t>SF 464</w:t>
            </w:r>
          </w:p>
        </w:tc>
        <w:tc>
          <w:tcPr>
            <w:tcW w:w="296" w:type="dxa"/>
            <w:tcBorders>
              <w:top w:val="single" w:sz="6" w:space="0" w:color="auto"/>
              <w:left w:val="nil"/>
              <w:bottom w:val="single" w:sz="6" w:space="0" w:color="auto"/>
            </w:tcBorders>
          </w:tcPr>
          <w:p w:rsidR="00000000" w:rsidRDefault="00981342">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981342">
            <w:pPr>
              <w:rPr>
                <w:rFonts w:ascii="Univers" w:hAnsi="Univers"/>
              </w:rPr>
            </w:pPr>
            <w:r>
              <w:rPr>
                <w:rFonts w:ascii="Univers" w:hAnsi="Univers"/>
              </w:rPr>
              <w:t>Passed Senate on April 8.</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981342">
            <w:pPr>
              <w:tabs>
                <w:tab w:val="left" w:pos="162"/>
              </w:tabs>
              <w:rPr>
                <w:rFonts w:ascii="Univers" w:hAnsi="Univers"/>
              </w:rPr>
            </w:pPr>
            <w:r>
              <w:rPr>
                <w:rFonts w:ascii="Univers" w:hAnsi="Univers"/>
              </w:rPr>
              <w:t>Health/Human Rights</w:t>
            </w:r>
          </w:p>
        </w:tc>
        <w:tc>
          <w:tcPr>
            <w:tcW w:w="262" w:type="dxa"/>
            <w:tcBorders>
              <w:top w:val="single" w:sz="6" w:space="0" w:color="auto"/>
              <w:bottom w:val="single" w:sz="6" w:space="0" w:color="auto"/>
            </w:tcBorders>
          </w:tcPr>
          <w:p w:rsidR="00000000" w:rsidRDefault="00981342">
            <w:pPr>
              <w:rPr>
                <w:rFonts w:ascii="Univers" w:hAnsi="Univers"/>
              </w:rPr>
            </w:pPr>
          </w:p>
        </w:tc>
        <w:tc>
          <w:tcPr>
            <w:tcW w:w="1501" w:type="dxa"/>
            <w:tcBorders>
              <w:top w:val="single" w:sz="6" w:space="0" w:color="auto"/>
              <w:bottom w:val="single" w:sz="6" w:space="0" w:color="auto"/>
            </w:tcBorders>
          </w:tcPr>
          <w:p w:rsidR="00000000" w:rsidRDefault="00981342">
            <w:pPr>
              <w:rPr>
                <w:rFonts w:ascii="Univers" w:hAnsi="Univers"/>
              </w:rPr>
            </w:pPr>
            <w:r>
              <w:rPr>
                <w:rFonts w:ascii="Univers" w:hAnsi="Univers"/>
              </w:rPr>
              <w:t>HF 737</w:t>
            </w:r>
          </w:p>
        </w:tc>
        <w:tc>
          <w:tcPr>
            <w:tcW w:w="296" w:type="dxa"/>
            <w:tcBorders>
              <w:top w:val="single" w:sz="6" w:space="0" w:color="auto"/>
              <w:left w:val="nil"/>
              <w:bottom w:val="single" w:sz="6" w:space="0" w:color="auto"/>
            </w:tcBorders>
          </w:tcPr>
          <w:p w:rsidR="00000000" w:rsidRDefault="00981342">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981342">
            <w:pPr>
              <w:rPr>
                <w:rFonts w:ascii="Univers" w:hAnsi="Univers"/>
              </w:rPr>
            </w:pPr>
            <w:r>
              <w:rPr>
                <w:rFonts w:ascii="Univers" w:hAnsi="Univers"/>
              </w:rPr>
              <w:t>Passed Senate on April 8.</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981342">
            <w:pPr>
              <w:tabs>
                <w:tab w:val="left" w:pos="162"/>
              </w:tabs>
              <w:rPr>
                <w:rFonts w:ascii="Univers" w:hAnsi="Univers"/>
              </w:rPr>
            </w:pPr>
            <w:r>
              <w:rPr>
                <w:rFonts w:ascii="Univers" w:hAnsi="Univers"/>
              </w:rPr>
              <w:t>Human Services</w:t>
            </w:r>
          </w:p>
        </w:tc>
        <w:tc>
          <w:tcPr>
            <w:tcW w:w="262" w:type="dxa"/>
            <w:tcBorders>
              <w:top w:val="single" w:sz="6" w:space="0" w:color="auto"/>
              <w:bottom w:val="single" w:sz="6" w:space="0" w:color="auto"/>
            </w:tcBorders>
          </w:tcPr>
          <w:p w:rsidR="00000000" w:rsidRDefault="00981342">
            <w:pPr>
              <w:rPr>
                <w:rFonts w:ascii="Univers" w:hAnsi="Univers"/>
              </w:rPr>
            </w:pPr>
          </w:p>
        </w:tc>
        <w:tc>
          <w:tcPr>
            <w:tcW w:w="1501" w:type="dxa"/>
            <w:tcBorders>
              <w:top w:val="single" w:sz="6" w:space="0" w:color="auto"/>
              <w:bottom w:val="single" w:sz="6" w:space="0" w:color="auto"/>
            </w:tcBorders>
          </w:tcPr>
          <w:p w:rsidR="00000000" w:rsidRDefault="00981342">
            <w:pPr>
              <w:rPr>
                <w:rFonts w:ascii="Univers" w:hAnsi="Univers"/>
              </w:rPr>
            </w:pPr>
            <w:r>
              <w:rPr>
                <w:rFonts w:ascii="Univers" w:hAnsi="Univers"/>
              </w:rPr>
              <w:t>HF 760</w:t>
            </w:r>
          </w:p>
        </w:tc>
        <w:tc>
          <w:tcPr>
            <w:tcW w:w="296" w:type="dxa"/>
            <w:tcBorders>
              <w:top w:val="single" w:sz="6" w:space="0" w:color="auto"/>
              <w:left w:val="nil"/>
              <w:bottom w:val="single" w:sz="6" w:space="0" w:color="auto"/>
            </w:tcBorders>
          </w:tcPr>
          <w:p w:rsidR="00000000" w:rsidRDefault="00981342">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981342">
            <w:pPr>
              <w:rPr>
                <w:rFonts w:ascii="Univers" w:hAnsi="Univers"/>
              </w:rPr>
            </w:pPr>
            <w:r>
              <w:rPr>
                <w:rFonts w:ascii="Univers" w:hAnsi="Univers"/>
              </w:rPr>
              <w:t>Passed House on April 8.</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981342">
            <w:pPr>
              <w:tabs>
                <w:tab w:val="left" w:pos="162"/>
              </w:tabs>
              <w:rPr>
                <w:rFonts w:ascii="Univers" w:hAnsi="Univers"/>
              </w:rPr>
            </w:pPr>
            <w:r>
              <w:rPr>
                <w:rFonts w:ascii="Univers" w:hAnsi="Univers"/>
              </w:rPr>
              <w:t>Justice System</w:t>
            </w:r>
          </w:p>
        </w:tc>
        <w:tc>
          <w:tcPr>
            <w:tcW w:w="262" w:type="dxa"/>
            <w:tcBorders>
              <w:top w:val="single" w:sz="6" w:space="0" w:color="auto"/>
              <w:bottom w:val="single" w:sz="6" w:space="0" w:color="auto"/>
            </w:tcBorders>
          </w:tcPr>
          <w:p w:rsidR="00000000" w:rsidRDefault="00981342">
            <w:pPr>
              <w:rPr>
                <w:rFonts w:ascii="Univers" w:hAnsi="Univers"/>
              </w:rPr>
            </w:pPr>
          </w:p>
        </w:tc>
        <w:tc>
          <w:tcPr>
            <w:tcW w:w="1501" w:type="dxa"/>
            <w:tcBorders>
              <w:top w:val="single" w:sz="6" w:space="0" w:color="auto"/>
              <w:bottom w:val="single" w:sz="6" w:space="0" w:color="auto"/>
            </w:tcBorders>
          </w:tcPr>
          <w:p w:rsidR="00000000" w:rsidRDefault="00981342">
            <w:pPr>
              <w:rPr>
                <w:rFonts w:ascii="Univers" w:hAnsi="Univers"/>
              </w:rPr>
            </w:pPr>
            <w:r>
              <w:rPr>
                <w:rFonts w:ascii="Univers" w:hAnsi="Univers"/>
              </w:rPr>
              <w:t xml:space="preserve">SF 468 </w:t>
            </w:r>
          </w:p>
        </w:tc>
        <w:tc>
          <w:tcPr>
            <w:tcW w:w="296" w:type="dxa"/>
            <w:tcBorders>
              <w:top w:val="single" w:sz="6" w:space="0" w:color="auto"/>
              <w:left w:val="nil"/>
              <w:bottom w:val="single" w:sz="6" w:space="0" w:color="auto"/>
            </w:tcBorders>
          </w:tcPr>
          <w:p w:rsidR="00000000" w:rsidRDefault="00981342">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981342">
            <w:pPr>
              <w:rPr>
                <w:rFonts w:ascii="Univers" w:hAnsi="Univers"/>
              </w:rPr>
            </w:pPr>
            <w:r>
              <w:rPr>
                <w:rFonts w:ascii="Univers" w:hAnsi="Univers"/>
              </w:rPr>
              <w:t>Passed Senate on April 6.</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981342">
            <w:pPr>
              <w:tabs>
                <w:tab w:val="left" w:pos="162"/>
              </w:tabs>
              <w:rPr>
                <w:rFonts w:ascii="Univers" w:hAnsi="Univers"/>
              </w:rPr>
            </w:pPr>
            <w:r>
              <w:rPr>
                <w:rFonts w:ascii="Univers" w:hAnsi="Univers"/>
              </w:rPr>
              <w:t>Oversight &amp; Comm.</w:t>
            </w:r>
          </w:p>
        </w:tc>
        <w:tc>
          <w:tcPr>
            <w:tcW w:w="262" w:type="dxa"/>
            <w:tcBorders>
              <w:top w:val="single" w:sz="6" w:space="0" w:color="auto"/>
              <w:bottom w:val="single" w:sz="6" w:space="0" w:color="auto"/>
            </w:tcBorders>
          </w:tcPr>
          <w:p w:rsidR="00000000" w:rsidRDefault="00981342">
            <w:pPr>
              <w:rPr>
                <w:rFonts w:ascii="Univers" w:hAnsi="Univers"/>
              </w:rPr>
            </w:pPr>
          </w:p>
        </w:tc>
        <w:tc>
          <w:tcPr>
            <w:tcW w:w="1501" w:type="dxa"/>
            <w:tcBorders>
              <w:top w:val="single" w:sz="6" w:space="0" w:color="auto"/>
              <w:bottom w:val="single" w:sz="6" w:space="0" w:color="auto"/>
            </w:tcBorders>
          </w:tcPr>
          <w:p w:rsidR="00000000" w:rsidRDefault="00981342">
            <w:pPr>
              <w:rPr>
                <w:rFonts w:ascii="Univers" w:hAnsi="Univers"/>
              </w:rPr>
            </w:pPr>
            <w:r>
              <w:rPr>
                <w:rFonts w:ascii="Univers" w:hAnsi="Univers"/>
              </w:rPr>
              <w:t>HF 762</w:t>
            </w:r>
          </w:p>
        </w:tc>
        <w:tc>
          <w:tcPr>
            <w:tcW w:w="296" w:type="dxa"/>
            <w:tcBorders>
              <w:top w:val="single" w:sz="6" w:space="0" w:color="auto"/>
              <w:left w:val="nil"/>
              <w:bottom w:val="single" w:sz="6" w:space="0" w:color="auto"/>
            </w:tcBorders>
          </w:tcPr>
          <w:p w:rsidR="00000000" w:rsidRDefault="00981342">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981342">
            <w:pPr>
              <w:rPr>
                <w:rFonts w:ascii="Univers" w:hAnsi="Univers"/>
              </w:rPr>
            </w:pPr>
            <w:r>
              <w:rPr>
                <w:rFonts w:ascii="Univers" w:hAnsi="Univers"/>
              </w:rPr>
              <w:t>Passed House Approps. on April 5.</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981342">
            <w:pPr>
              <w:tabs>
                <w:tab w:val="left" w:pos="162"/>
              </w:tabs>
              <w:rPr>
                <w:rFonts w:ascii="Univers" w:hAnsi="Univers"/>
              </w:rPr>
            </w:pPr>
            <w:r>
              <w:rPr>
                <w:rFonts w:ascii="Univers" w:hAnsi="Univers"/>
              </w:rPr>
              <w:t>Trans.,</w:t>
            </w:r>
            <w:r>
              <w:rPr>
                <w:rFonts w:ascii="Univers" w:hAnsi="Univers"/>
              </w:rPr>
              <w:tab/>
              <w:t>Infrastruc-</w:t>
            </w:r>
            <w:r>
              <w:rPr>
                <w:rFonts w:ascii="Univers" w:hAnsi="Univers"/>
              </w:rPr>
              <w:tab/>
              <w:t>ture, &amp; Caps.</w:t>
            </w:r>
          </w:p>
        </w:tc>
        <w:tc>
          <w:tcPr>
            <w:tcW w:w="262" w:type="dxa"/>
            <w:tcBorders>
              <w:top w:val="single" w:sz="6" w:space="0" w:color="auto"/>
              <w:bottom w:val="single" w:sz="6" w:space="0" w:color="auto"/>
            </w:tcBorders>
          </w:tcPr>
          <w:p w:rsidR="00000000" w:rsidRDefault="00981342">
            <w:pPr>
              <w:rPr>
                <w:rFonts w:ascii="Univers" w:hAnsi="Univers"/>
              </w:rPr>
            </w:pPr>
          </w:p>
        </w:tc>
        <w:tc>
          <w:tcPr>
            <w:tcW w:w="1501" w:type="dxa"/>
            <w:tcBorders>
              <w:top w:val="single" w:sz="6" w:space="0" w:color="auto"/>
              <w:bottom w:val="single" w:sz="6" w:space="0" w:color="auto"/>
            </w:tcBorders>
          </w:tcPr>
          <w:p w:rsidR="00000000" w:rsidRDefault="00981342">
            <w:pPr>
              <w:rPr>
                <w:rFonts w:ascii="Univers" w:hAnsi="Univers"/>
              </w:rPr>
            </w:pPr>
            <w:r>
              <w:rPr>
                <w:rFonts w:ascii="Univers" w:hAnsi="Univers"/>
              </w:rPr>
              <w:t>SF 424</w:t>
            </w:r>
          </w:p>
          <w:p w:rsidR="00000000" w:rsidRDefault="00981342">
            <w:pPr>
              <w:rPr>
                <w:rFonts w:ascii="Univers" w:hAnsi="Univers"/>
              </w:rPr>
            </w:pPr>
          </w:p>
          <w:p w:rsidR="00000000" w:rsidRDefault="00981342">
            <w:pPr>
              <w:rPr>
                <w:rFonts w:ascii="Univers" w:hAnsi="Univers"/>
              </w:rPr>
            </w:pPr>
          </w:p>
          <w:p w:rsidR="00000000" w:rsidRDefault="00981342">
            <w:pPr>
              <w:rPr>
                <w:rFonts w:ascii="Univers" w:hAnsi="Univers"/>
              </w:rPr>
            </w:pPr>
          </w:p>
          <w:p w:rsidR="00000000" w:rsidRDefault="00981342">
            <w:pPr>
              <w:rPr>
                <w:rFonts w:ascii="Univers" w:hAnsi="Univers"/>
              </w:rPr>
            </w:pPr>
          </w:p>
        </w:tc>
        <w:tc>
          <w:tcPr>
            <w:tcW w:w="296" w:type="dxa"/>
            <w:tcBorders>
              <w:top w:val="single" w:sz="6" w:space="0" w:color="auto"/>
              <w:left w:val="nil"/>
              <w:bottom w:val="single" w:sz="6" w:space="0" w:color="auto"/>
            </w:tcBorders>
          </w:tcPr>
          <w:p w:rsidR="00000000" w:rsidRDefault="00981342">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981342">
            <w:pPr>
              <w:rPr>
                <w:rFonts w:ascii="Univers" w:hAnsi="Univers"/>
              </w:rPr>
            </w:pPr>
            <w:r>
              <w:rPr>
                <w:rFonts w:ascii="Univers" w:hAnsi="Univers"/>
              </w:rPr>
              <w:t>Passed Hou</w:t>
            </w:r>
            <w:r>
              <w:rPr>
                <w:rFonts w:ascii="Univers" w:hAnsi="Univers"/>
              </w:rPr>
              <w:t>se Approps. on April 7.</w:t>
            </w:r>
          </w:p>
          <w:p w:rsidR="00000000" w:rsidRDefault="00981342">
            <w:pPr>
              <w:rPr>
                <w:rFonts w:ascii="Univers" w:hAnsi="Univers"/>
              </w:rPr>
            </w:pPr>
          </w:p>
          <w:p w:rsidR="00000000" w:rsidRDefault="00981342">
            <w:pPr>
              <w:rPr>
                <w:rFonts w:ascii="Univers" w:hAnsi="Univers"/>
              </w:rPr>
            </w:pPr>
            <w:r>
              <w:rPr>
                <w:rFonts w:ascii="Univers" w:hAnsi="Univers"/>
              </w:rPr>
              <w:t>Infrastructure Bill in Joint Subcommittee.  Bill starts in House.</w:t>
            </w:r>
          </w:p>
        </w:tc>
      </w:tr>
    </w:tbl>
    <w:p w:rsidR="00000000" w:rsidRDefault="00981342">
      <w:pPr>
        <w:pStyle w:val="textup"/>
      </w:pPr>
    </w:p>
    <w:tbl>
      <w:tblPr>
        <w:tblW w:w="0" w:type="auto"/>
        <w:tblInd w:w="-522" w:type="dxa"/>
        <w:tblLayout w:type="fixed"/>
        <w:tblLook w:val="0000"/>
      </w:tblPr>
      <w:tblGrid>
        <w:gridCol w:w="2197"/>
        <w:gridCol w:w="262"/>
        <w:gridCol w:w="1501"/>
        <w:gridCol w:w="296"/>
        <w:gridCol w:w="3034"/>
      </w:tblGrid>
      <w:tr w:rsidR="00000000">
        <w:tblPrEx>
          <w:tblCellMar>
            <w:top w:w="0" w:type="dxa"/>
            <w:bottom w:w="0" w:type="dxa"/>
          </w:tblCellMar>
        </w:tblPrEx>
        <w:trPr>
          <w:trHeight w:hRule="exact" w:val="700"/>
          <w:tblHeader/>
        </w:trPr>
        <w:tc>
          <w:tcPr>
            <w:tcW w:w="7290" w:type="dxa"/>
            <w:gridSpan w:val="5"/>
            <w:tcBorders>
              <w:top w:val="single" w:sz="6" w:space="0" w:color="auto"/>
              <w:left w:val="single" w:sz="6" w:space="0" w:color="auto"/>
              <w:bottom w:val="single" w:sz="6" w:space="0" w:color="auto"/>
              <w:right w:val="single" w:sz="6" w:space="0" w:color="auto"/>
            </w:tcBorders>
          </w:tcPr>
          <w:p w:rsidR="00000000" w:rsidRDefault="00981342">
            <w:pPr>
              <w:jc w:val="center"/>
              <w:rPr>
                <w:rFonts w:ascii="Univers" w:hAnsi="Univers"/>
                <w:b/>
              </w:rPr>
            </w:pPr>
          </w:p>
          <w:p w:rsidR="00000000" w:rsidRDefault="00981342">
            <w:pPr>
              <w:jc w:val="center"/>
              <w:rPr>
                <w:rFonts w:ascii="Univers" w:hAnsi="Univers"/>
                <w:b/>
              </w:rPr>
            </w:pPr>
            <w:r>
              <w:rPr>
                <w:rFonts w:ascii="Univers" w:hAnsi="Univers"/>
                <w:b/>
                <w:sz w:val="22"/>
              </w:rPr>
              <w:t>Other Appropriations Bills</w:t>
            </w:r>
          </w:p>
        </w:tc>
      </w:tr>
      <w:tr w:rsidR="00000000">
        <w:tblPrEx>
          <w:tblCellMar>
            <w:top w:w="0" w:type="dxa"/>
            <w:bottom w:w="0" w:type="dxa"/>
          </w:tblCellMar>
        </w:tblPrEx>
        <w:trPr>
          <w:tblHeader/>
        </w:trPr>
        <w:tc>
          <w:tcPr>
            <w:tcW w:w="2197" w:type="dxa"/>
            <w:tcBorders>
              <w:left w:val="single" w:sz="6" w:space="0" w:color="auto"/>
            </w:tcBorders>
          </w:tcPr>
          <w:p w:rsidR="00000000" w:rsidRDefault="00981342">
            <w:pPr>
              <w:rPr>
                <w:rFonts w:ascii="Univers" w:hAnsi="Univers"/>
                <w:b/>
              </w:rPr>
            </w:pPr>
            <w:r>
              <w:rPr>
                <w:rFonts w:ascii="Univers" w:hAnsi="Univers"/>
                <w:b/>
              </w:rPr>
              <w:t>Subject</w:t>
            </w:r>
          </w:p>
        </w:tc>
        <w:tc>
          <w:tcPr>
            <w:tcW w:w="262" w:type="dxa"/>
            <w:tcBorders>
              <w:top w:val="single" w:sz="6" w:space="0" w:color="auto"/>
            </w:tcBorders>
          </w:tcPr>
          <w:p w:rsidR="00000000" w:rsidRDefault="00981342">
            <w:pPr>
              <w:rPr>
                <w:rFonts w:ascii="Univers" w:hAnsi="Univers"/>
                <w:b/>
              </w:rPr>
            </w:pPr>
          </w:p>
        </w:tc>
        <w:tc>
          <w:tcPr>
            <w:tcW w:w="1501" w:type="dxa"/>
            <w:tcBorders>
              <w:top w:val="single" w:sz="6" w:space="0" w:color="auto"/>
            </w:tcBorders>
          </w:tcPr>
          <w:p w:rsidR="00000000" w:rsidRDefault="00981342">
            <w:pPr>
              <w:rPr>
                <w:rFonts w:ascii="Univers" w:hAnsi="Univers"/>
                <w:b/>
              </w:rPr>
            </w:pPr>
            <w:r>
              <w:rPr>
                <w:rFonts w:ascii="Univers" w:hAnsi="Univers"/>
                <w:b/>
              </w:rPr>
              <w:t>File #</w:t>
            </w:r>
          </w:p>
        </w:tc>
        <w:tc>
          <w:tcPr>
            <w:tcW w:w="296" w:type="dxa"/>
            <w:tcBorders>
              <w:top w:val="single" w:sz="6" w:space="0" w:color="auto"/>
            </w:tcBorders>
          </w:tcPr>
          <w:p w:rsidR="00000000" w:rsidRDefault="00981342">
            <w:pPr>
              <w:rPr>
                <w:rFonts w:ascii="Univers" w:hAnsi="Univers"/>
                <w:b/>
              </w:rPr>
            </w:pPr>
          </w:p>
        </w:tc>
        <w:tc>
          <w:tcPr>
            <w:tcW w:w="3034" w:type="dxa"/>
            <w:tcBorders>
              <w:right w:val="single" w:sz="6" w:space="0" w:color="auto"/>
            </w:tcBorders>
          </w:tcPr>
          <w:p w:rsidR="00000000" w:rsidRDefault="00981342">
            <w:pPr>
              <w:rPr>
                <w:rFonts w:ascii="Univers" w:hAnsi="Univers"/>
                <w:b/>
              </w:rPr>
            </w:pPr>
            <w:r>
              <w:rPr>
                <w:rFonts w:ascii="Univers" w:hAnsi="Univers"/>
                <w:b/>
              </w:rPr>
              <w:t>Status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981342">
            <w:pPr>
              <w:tabs>
                <w:tab w:val="left" w:pos="162"/>
              </w:tabs>
              <w:rPr>
                <w:rFonts w:ascii="Univers" w:hAnsi="Univers"/>
              </w:rPr>
            </w:pPr>
            <w:r>
              <w:rPr>
                <w:rFonts w:ascii="Univers" w:hAnsi="Univers"/>
              </w:rPr>
              <w:t>DOT Administration - Nonreversion</w:t>
            </w:r>
          </w:p>
        </w:tc>
        <w:tc>
          <w:tcPr>
            <w:tcW w:w="262" w:type="dxa"/>
            <w:tcBorders>
              <w:top w:val="single" w:sz="6" w:space="0" w:color="auto"/>
              <w:bottom w:val="single" w:sz="6" w:space="0" w:color="auto"/>
            </w:tcBorders>
          </w:tcPr>
          <w:p w:rsidR="00000000" w:rsidRDefault="00981342">
            <w:pPr>
              <w:rPr>
                <w:rFonts w:ascii="Univers" w:hAnsi="Univers"/>
              </w:rPr>
            </w:pPr>
          </w:p>
        </w:tc>
        <w:tc>
          <w:tcPr>
            <w:tcW w:w="1501" w:type="dxa"/>
            <w:tcBorders>
              <w:top w:val="single" w:sz="6" w:space="0" w:color="auto"/>
              <w:bottom w:val="single" w:sz="6" w:space="0" w:color="auto"/>
            </w:tcBorders>
          </w:tcPr>
          <w:p w:rsidR="00000000" w:rsidRDefault="00981342">
            <w:pPr>
              <w:rPr>
                <w:rFonts w:ascii="Univers" w:hAnsi="Univers"/>
              </w:rPr>
            </w:pPr>
            <w:r>
              <w:rPr>
                <w:rFonts w:ascii="Univers" w:hAnsi="Univers"/>
              </w:rPr>
              <w:t>SF 76</w:t>
            </w:r>
          </w:p>
        </w:tc>
        <w:tc>
          <w:tcPr>
            <w:tcW w:w="296" w:type="dxa"/>
            <w:tcBorders>
              <w:top w:val="single" w:sz="6" w:space="0" w:color="auto"/>
              <w:bottom w:val="single" w:sz="6" w:space="0" w:color="auto"/>
            </w:tcBorders>
          </w:tcPr>
          <w:p w:rsidR="00000000" w:rsidRDefault="00981342">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981342">
            <w:pPr>
              <w:rPr>
                <w:rFonts w:ascii="Univers" w:hAnsi="Univers"/>
              </w:rPr>
            </w:pPr>
            <w:r>
              <w:rPr>
                <w:rFonts w:ascii="Univers" w:hAnsi="Univers"/>
              </w:rPr>
              <w:t>Passed Senate on March 23.</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981342">
            <w:pPr>
              <w:tabs>
                <w:tab w:val="left" w:pos="162"/>
              </w:tabs>
              <w:rPr>
                <w:rFonts w:ascii="Univers" w:hAnsi="Univers"/>
              </w:rPr>
            </w:pPr>
            <w:r>
              <w:rPr>
                <w:rFonts w:ascii="Univers" w:hAnsi="Univers"/>
              </w:rPr>
              <w:t>Battle Flag Commission - $50,000 GF</w:t>
            </w:r>
          </w:p>
        </w:tc>
        <w:tc>
          <w:tcPr>
            <w:tcW w:w="262" w:type="dxa"/>
            <w:tcBorders>
              <w:top w:val="single" w:sz="6" w:space="0" w:color="auto"/>
              <w:bottom w:val="single" w:sz="6" w:space="0" w:color="auto"/>
            </w:tcBorders>
          </w:tcPr>
          <w:p w:rsidR="00000000" w:rsidRDefault="00981342">
            <w:pPr>
              <w:rPr>
                <w:rFonts w:ascii="Univers" w:hAnsi="Univers"/>
              </w:rPr>
            </w:pPr>
          </w:p>
        </w:tc>
        <w:tc>
          <w:tcPr>
            <w:tcW w:w="1501" w:type="dxa"/>
            <w:tcBorders>
              <w:top w:val="single" w:sz="6" w:space="0" w:color="auto"/>
              <w:bottom w:val="single" w:sz="6" w:space="0" w:color="auto"/>
            </w:tcBorders>
          </w:tcPr>
          <w:p w:rsidR="00000000" w:rsidRDefault="00981342">
            <w:pPr>
              <w:rPr>
                <w:rFonts w:ascii="Univers" w:hAnsi="Univers"/>
              </w:rPr>
            </w:pPr>
            <w:r>
              <w:rPr>
                <w:rFonts w:ascii="Univers" w:hAnsi="Univers"/>
              </w:rPr>
              <w:t>SF</w:t>
            </w:r>
            <w:r>
              <w:rPr>
                <w:rFonts w:ascii="Univers" w:hAnsi="Univers"/>
              </w:rPr>
              <w:t xml:space="preserve"> 166</w:t>
            </w:r>
          </w:p>
        </w:tc>
        <w:tc>
          <w:tcPr>
            <w:tcW w:w="296" w:type="dxa"/>
            <w:tcBorders>
              <w:top w:val="single" w:sz="6" w:space="0" w:color="auto"/>
              <w:bottom w:val="single" w:sz="6" w:space="0" w:color="auto"/>
            </w:tcBorders>
          </w:tcPr>
          <w:p w:rsidR="00000000" w:rsidRDefault="00981342">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981342">
            <w:pPr>
              <w:rPr>
                <w:rFonts w:ascii="Univers" w:hAnsi="Univers"/>
              </w:rPr>
            </w:pPr>
            <w:r>
              <w:rPr>
                <w:rFonts w:ascii="Univers" w:hAnsi="Univers"/>
              </w:rPr>
              <w:t xml:space="preserve">Passed Senate Approps. on March 10.  Referred to State Government on March 31. </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981342">
            <w:pPr>
              <w:tabs>
                <w:tab w:val="left" w:pos="162"/>
              </w:tabs>
              <w:rPr>
                <w:rFonts w:ascii="Univers" w:hAnsi="Univers"/>
              </w:rPr>
            </w:pPr>
            <w:r>
              <w:rPr>
                <w:rFonts w:ascii="Univers" w:hAnsi="Univers"/>
              </w:rPr>
              <w:t xml:space="preserve">Teacher Mentoring - $300,000 GF </w:t>
            </w:r>
          </w:p>
        </w:tc>
        <w:tc>
          <w:tcPr>
            <w:tcW w:w="262" w:type="dxa"/>
            <w:tcBorders>
              <w:top w:val="single" w:sz="6" w:space="0" w:color="auto"/>
              <w:bottom w:val="single" w:sz="6" w:space="0" w:color="auto"/>
            </w:tcBorders>
          </w:tcPr>
          <w:p w:rsidR="00000000" w:rsidRDefault="00981342">
            <w:pPr>
              <w:rPr>
                <w:rFonts w:ascii="Univers" w:hAnsi="Univers"/>
              </w:rPr>
            </w:pPr>
          </w:p>
        </w:tc>
        <w:tc>
          <w:tcPr>
            <w:tcW w:w="1501" w:type="dxa"/>
            <w:tcBorders>
              <w:top w:val="single" w:sz="6" w:space="0" w:color="auto"/>
              <w:bottom w:val="single" w:sz="6" w:space="0" w:color="auto"/>
            </w:tcBorders>
          </w:tcPr>
          <w:p w:rsidR="00000000" w:rsidRDefault="00981342">
            <w:pPr>
              <w:rPr>
                <w:rFonts w:ascii="Univers" w:hAnsi="Univers"/>
              </w:rPr>
            </w:pPr>
            <w:r>
              <w:rPr>
                <w:rFonts w:ascii="Univers" w:hAnsi="Univers"/>
              </w:rPr>
              <w:t>SF 232</w:t>
            </w:r>
          </w:p>
        </w:tc>
        <w:tc>
          <w:tcPr>
            <w:tcW w:w="296" w:type="dxa"/>
            <w:tcBorders>
              <w:top w:val="single" w:sz="6" w:space="0" w:color="auto"/>
              <w:bottom w:val="single" w:sz="6" w:space="0" w:color="auto"/>
            </w:tcBorders>
          </w:tcPr>
          <w:p w:rsidR="00000000" w:rsidRDefault="00981342">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981342">
            <w:pPr>
              <w:rPr>
                <w:rFonts w:ascii="Univers" w:hAnsi="Univers"/>
              </w:rPr>
            </w:pPr>
            <w:r>
              <w:rPr>
                <w:rFonts w:ascii="Univers" w:hAnsi="Univers"/>
              </w:rPr>
              <w:t>Passed House Education on March 18.  Referred to House Approps.</w:t>
            </w:r>
          </w:p>
        </w:tc>
      </w:tr>
      <w:tr w:rsidR="00000000">
        <w:tblPrEx>
          <w:tblCellMar>
            <w:top w:w="0" w:type="dxa"/>
            <w:bottom w:w="0" w:type="dxa"/>
          </w:tblCellMar>
        </w:tblPrEx>
        <w:tc>
          <w:tcPr>
            <w:tcW w:w="2197" w:type="dxa"/>
            <w:tcBorders>
              <w:top w:val="single" w:sz="6" w:space="0" w:color="auto"/>
              <w:left w:val="single" w:sz="6" w:space="0" w:color="auto"/>
            </w:tcBorders>
          </w:tcPr>
          <w:p w:rsidR="00000000" w:rsidRDefault="00981342">
            <w:pPr>
              <w:tabs>
                <w:tab w:val="left" w:pos="162"/>
              </w:tabs>
              <w:rPr>
                <w:rFonts w:ascii="Univers" w:hAnsi="Univers"/>
              </w:rPr>
            </w:pPr>
            <w:r>
              <w:rPr>
                <w:rFonts w:ascii="Univers" w:hAnsi="Univers"/>
              </w:rPr>
              <w:t xml:space="preserve">Fed. Block Grant </w:t>
            </w:r>
          </w:p>
        </w:tc>
        <w:tc>
          <w:tcPr>
            <w:tcW w:w="262" w:type="dxa"/>
            <w:tcBorders>
              <w:top w:val="single" w:sz="6" w:space="0" w:color="auto"/>
            </w:tcBorders>
          </w:tcPr>
          <w:p w:rsidR="00000000" w:rsidRDefault="00981342">
            <w:pPr>
              <w:rPr>
                <w:rFonts w:ascii="Univers" w:hAnsi="Univers"/>
              </w:rPr>
            </w:pPr>
          </w:p>
        </w:tc>
        <w:tc>
          <w:tcPr>
            <w:tcW w:w="1501" w:type="dxa"/>
            <w:tcBorders>
              <w:top w:val="single" w:sz="6" w:space="0" w:color="auto"/>
            </w:tcBorders>
          </w:tcPr>
          <w:p w:rsidR="00000000" w:rsidRDefault="00981342">
            <w:pPr>
              <w:rPr>
                <w:rFonts w:ascii="Univers" w:hAnsi="Univers"/>
              </w:rPr>
            </w:pPr>
            <w:r>
              <w:rPr>
                <w:rFonts w:ascii="Univers" w:hAnsi="Univers"/>
              </w:rPr>
              <w:t>SF 283</w:t>
            </w:r>
          </w:p>
        </w:tc>
        <w:tc>
          <w:tcPr>
            <w:tcW w:w="296" w:type="dxa"/>
            <w:tcBorders>
              <w:top w:val="single" w:sz="6" w:space="0" w:color="auto"/>
            </w:tcBorders>
          </w:tcPr>
          <w:p w:rsidR="00000000" w:rsidRDefault="00981342">
            <w:pPr>
              <w:rPr>
                <w:rFonts w:ascii="Univers" w:hAnsi="Univers"/>
              </w:rPr>
            </w:pPr>
          </w:p>
        </w:tc>
        <w:tc>
          <w:tcPr>
            <w:tcW w:w="3034" w:type="dxa"/>
            <w:tcBorders>
              <w:top w:val="single" w:sz="6" w:space="0" w:color="auto"/>
              <w:right w:val="single" w:sz="6" w:space="0" w:color="auto"/>
            </w:tcBorders>
          </w:tcPr>
          <w:p w:rsidR="00000000" w:rsidRDefault="00981342">
            <w:pPr>
              <w:rPr>
                <w:rFonts w:ascii="Univers" w:hAnsi="Univers"/>
              </w:rPr>
            </w:pPr>
            <w:r>
              <w:rPr>
                <w:rFonts w:ascii="Univers" w:hAnsi="Univers"/>
              </w:rPr>
              <w:t>Signed by the Governor on March 31.</w:t>
            </w:r>
          </w:p>
        </w:tc>
      </w:tr>
      <w:tr w:rsidR="00000000">
        <w:tblPrEx>
          <w:tblCellMar>
            <w:top w:w="0" w:type="dxa"/>
            <w:bottom w:w="0" w:type="dxa"/>
          </w:tblCellMar>
        </w:tblPrEx>
        <w:tc>
          <w:tcPr>
            <w:tcW w:w="2197" w:type="dxa"/>
            <w:tcBorders>
              <w:top w:val="single" w:sz="6" w:space="0" w:color="auto"/>
              <w:left w:val="single" w:sz="6" w:space="0" w:color="auto"/>
              <w:bottom w:val="single" w:sz="4" w:space="0" w:color="auto"/>
            </w:tcBorders>
          </w:tcPr>
          <w:p w:rsidR="00000000" w:rsidRDefault="00981342">
            <w:pPr>
              <w:tabs>
                <w:tab w:val="left" w:pos="162"/>
              </w:tabs>
              <w:rPr>
                <w:rFonts w:ascii="Univers" w:hAnsi="Univers"/>
              </w:rPr>
            </w:pPr>
            <w:r>
              <w:rPr>
                <w:rFonts w:ascii="Univers" w:hAnsi="Univers"/>
              </w:rPr>
              <w:t>FY 1999 Supple- mental $2.9 mil GF</w:t>
            </w:r>
          </w:p>
        </w:tc>
        <w:tc>
          <w:tcPr>
            <w:tcW w:w="262" w:type="dxa"/>
            <w:tcBorders>
              <w:top w:val="single" w:sz="6" w:space="0" w:color="auto"/>
              <w:bottom w:val="single" w:sz="4" w:space="0" w:color="auto"/>
            </w:tcBorders>
          </w:tcPr>
          <w:p w:rsidR="00000000" w:rsidRDefault="00981342">
            <w:pPr>
              <w:rPr>
                <w:rFonts w:ascii="Univers" w:hAnsi="Univers"/>
              </w:rPr>
            </w:pPr>
          </w:p>
        </w:tc>
        <w:tc>
          <w:tcPr>
            <w:tcW w:w="1501" w:type="dxa"/>
            <w:tcBorders>
              <w:top w:val="single" w:sz="6" w:space="0" w:color="auto"/>
              <w:bottom w:val="single" w:sz="4" w:space="0" w:color="auto"/>
            </w:tcBorders>
          </w:tcPr>
          <w:p w:rsidR="00000000" w:rsidRDefault="00981342">
            <w:pPr>
              <w:rPr>
                <w:rFonts w:ascii="Univers" w:hAnsi="Univers"/>
              </w:rPr>
            </w:pPr>
            <w:r>
              <w:rPr>
                <w:rFonts w:ascii="Univers" w:hAnsi="Univers"/>
              </w:rPr>
              <w:t>SF 430</w:t>
            </w:r>
          </w:p>
        </w:tc>
        <w:tc>
          <w:tcPr>
            <w:tcW w:w="296" w:type="dxa"/>
            <w:tcBorders>
              <w:top w:val="single" w:sz="6" w:space="0" w:color="auto"/>
              <w:bottom w:val="single" w:sz="4" w:space="0" w:color="auto"/>
            </w:tcBorders>
          </w:tcPr>
          <w:p w:rsidR="00000000" w:rsidRDefault="00981342">
            <w:pPr>
              <w:rPr>
                <w:rFonts w:ascii="Univers" w:hAnsi="Univers"/>
              </w:rPr>
            </w:pPr>
          </w:p>
        </w:tc>
        <w:tc>
          <w:tcPr>
            <w:tcW w:w="3034" w:type="dxa"/>
            <w:tcBorders>
              <w:top w:val="single" w:sz="6" w:space="0" w:color="auto"/>
              <w:bottom w:val="single" w:sz="4" w:space="0" w:color="auto"/>
              <w:right w:val="single" w:sz="6" w:space="0" w:color="auto"/>
            </w:tcBorders>
          </w:tcPr>
          <w:p w:rsidR="00000000" w:rsidRDefault="00981342">
            <w:pPr>
              <w:rPr>
                <w:rFonts w:ascii="Univers" w:hAnsi="Univers"/>
              </w:rPr>
            </w:pPr>
            <w:r>
              <w:rPr>
                <w:rFonts w:ascii="Univers" w:hAnsi="Univers"/>
              </w:rPr>
              <w:t>Passed Senate on March 16.  In House Approps.</w:t>
            </w:r>
          </w:p>
        </w:tc>
      </w:tr>
      <w:tr w:rsidR="00000000">
        <w:tblPrEx>
          <w:tblCellMar>
            <w:top w:w="0" w:type="dxa"/>
            <w:bottom w:w="0" w:type="dxa"/>
          </w:tblCellMar>
        </w:tblPrEx>
        <w:tc>
          <w:tcPr>
            <w:tcW w:w="2197" w:type="dxa"/>
            <w:tcBorders>
              <w:left w:val="single" w:sz="6" w:space="0" w:color="auto"/>
              <w:bottom w:val="single" w:sz="6" w:space="0" w:color="auto"/>
            </w:tcBorders>
          </w:tcPr>
          <w:p w:rsidR="00000000" w:rsidRDefault="00981342">
            <w:pPr>
              <w:tabs>
                <w:tab w:val="left" w:pos="162"/>
              </w:tabs>
              <w:rPr>
                <w:rFonts w:ascii="Univers" w:hAnsi="Univers"/>
              </w:rPr>
            </w:pPr>
            <w:r>
              <w:rPr>
                <w:rFonts w:ascii="Univers" w:hAnsi="Univers"/>
              </w:rPr>
              <w:t>Embedded Chip Supplemental</w:t>
            </w:r>
          </w:p>
        </w:tc>
        <w:tc>
          <w:tcPr>
            <w:tcW w:w="262" w:type="dxa"/>
            <w:tcBorders>
              <w:bottom w:val="single" w:sz="6" w:space="0" w:color="auto"/>
            </w:tcBorders>
          </w:tcPr>
          <w:p w:rsidR="00000000" w:rsidRDefault="00981342">
            <w:pPr>
              <w:rPr>
                <w:rFonts w:ascii="Univers" w:hAnsi="Univers"/>
              </w:rPr>
            </w:pPr>
          </w:p>
        </w:tc>
        <w:tc>
          <w:tcPr>
            <w:tcW w:w="1501" w:type="dxa"/>
            <w:tcBorders>
              <w:bottom w:val="single" w:sz="6" w:space="0" w:color="auto"/>
            </w:tcBorders>
          </w:tcPr>
          <w:p w:rsidR="00000000" w:rsidRDefault="00981342">
            <w:pPr>
              <w:rPr>
                <w:rFonts w:ascii="Univers" w:hAnsi="Univers"/>
              </w:rPr>
            </w:pPr>
            <w:r>
              <w:rPr>
                <w:rFonts w:ascii="Univers" w:hAnsi="Univers"/>
              </w:rPr>
              <w:t>SF 366</w:t>
            </w:r>
          </w:p>
        </w:tc>
        <w:tc>
          <w:tcPr>
            <w:tcW w:w="296" w:type="dxa"/>
            <w:tcBorders>
              <w:bottom w:val="single" w:sz="6" w:space="0" w:color="auto"/>
            </w:tcBorders>
          </w:tcPr>
          <w:p w:rsidR="00000000" w:rsidRDefault="00981342">
            <w:pPr>
              <w:rPr>
                <w:rFonts w:ascii="Univers" w:hAnsi="Univers"/>
              </w:rPr>
            </w:pPr>
          </w:p>
        </w:tc>
        <w:tc>
          <w:tcPr>
            <w:tcW w:w="3034" w:type="dxa"/>
            <w:tcBorders>
              <w:bottom w:val="single" w:sz="6" w:space="0" w:color="auto"/>
              <w:right w:val="single" w:sz="6" w:space="0" w:color="auto"/>
            </w:tcBorders>
          </w:tcPr>
          <w:p w:rsidR="00000000" w:rsidRDefault="00981342">
            <w:pPr>
              <w:rPr>
                <w:rFonts w:ascii="Univers" w:hAnsi="Univers"/>
              </w:rPr>
            </w:pPr>
            <w:r>
              <w:rPr>
                <w:rFonts w:ascii="Univers" w:hAnsi="Univers"/>
              </w:rPr>
              <w:t>Passed House on April 6.</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981342">
            <w:pPr>
              <w:tabs>
                <w:tab w:val="left" w:pos="162"/>
              </w:tabs>
              <w:rPr>
                <w:rFonts w:ascii="Univers" w:hAnsi="Univers"/>
              </w:rPr>
            </w:pPr>
            <w:r>
              <w:rPr>
                <w:rFonts w:ascii="Univers" w:hAnsi="Univers"/>
              </w:rPr>
              <w:t>Substance Abuse/Sexual Abuse (Meth Bill) $3.3 mil GF</w:t>
            </w:r>
          </w:p>
        </w:tc>
        <w:tc>
          <w:tcPr>
            <w:tcW w:w="262" w:type="dxa"/>
            <w:tcBorders>
              <w:top w:val="single" w:sz="6" w:space="0" w:color="auto"/>
              <w:bottom w:val="single" w:sz="6" w:space="0" w:color="auto"/>
            </w:tcBorders>
          </w:tcPr>
          <w:p w:rsidR="00000000" w:rsidRDefault="00981342">
            <w:pPr>
              <w:rPr>
                <w:rFonts w:ascii="Univers" w:hAnsi="Univers"/>
              </w:rPr>
            </w:pPr>
          </w:p>
        </w:tc>
        <w:tc>
          <w:tcPr>
            <w:tcW w:w="1501" w:type="dxa"/>
            <w:tcBorders>
              <w:top w:val="single" w:sz="6" w:space="0" w:color="auto"/>
              <w:bottom w:val="single" w:sz="6" w:space="0" w:color="auto"/>
            </w:tcBorders>
          </w:tcPr>
          <w:p w:rsidR="00000000" w:rsidRDefault="00981342">
            <w:pPr>
              <w:rPr>
                <w:rFonts w:ascii="Univers" w:hAnsi="Univers"/>
              </w:rPr>
            </w:pPr>
            <w:r>
              <w:rPr>
                <w:rFonts w:ascii="Univers" w:hAnsi="Univers"/>
              </w:rPr>
              <w:t xml:space="preserve">SF 361 </w:t>
            </w:r>
            <w:r>
              <w:rPr>
                <w:rFonts w:ascii="Univers" w:hAnsi="Univers"/>
                <w:sz w:val="16"/>
              </w:rPr>
              <w:t>(substituted for HF 514)</w:t>
            </w:r>
          </w:p>
        </w:tc>
        <w:tc>
          <w:tcPr>
            <w:tcW w:w="296" w:type="dxa"/>
            <w:tcBorders>
              <w:top w:val="single" w:sz="6" w:space="0" w:color="auto"/>
              <w:bottom w:val="single" w:sz="6" w:space="0" w:color="auto"/>
            </w:tcBorders>
          </w:tcPr>
          <w:p w:rsidR="00000000" w:rsidRDefault="00981342">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981342">
            <w:pPr>
              <w:rPr>
                <w:rFonts w:ascii="Univers" w:hAnsi="Univers"/>
              </w:rPr>
            </w:pPr>
            <w:r>
              <w:rPr>
                <w:rFonts w:ascii="Univers" w:hAnsi="Univers"/>
              </w:rPr>
              <w:t xml:space="preserve">Signed by the </w:t>
            </w:r>
            <w:r>
              <w:rPr>
                <w:rFonts w:ascii="Univers" w:hAnsi="Univers"/>
              </w:rPr>
              <w:t xml:space="preserve">Governor on April 6. </w:t>
            </w:r>
          </w:p>
        </w:tc>
      </w:tr>
      <w:tr w:rsidR="00000000">
        <w:tblPrEx>
          <w:tblCellMar>
            <w:top w:w="0" w:type="dxa"/>
            <w:bottom w:w="0" w:type="dxa"/>
          </w:tblCellMar>
        </w:tblPrEx>
        <w:tc>
          <w:tcPr>
            <w:tcW w:w="2197" w:type="dxa"/>
            <w:tcBorders>
              <w:top w:val="single" w:sz="6" w:space="0" w:color="auto"/>
              <w:left w:val="single" w:sz="6" w:space="0" w:color="auto"/>
            </w:tcBorders>
          </w:tcPr>
          <w:p w:rsidR="00000000" w:rsidRDefault="00981342">
            <w:pPr>
              <w:tabs>
                <w:tab w:val="left" w:pos="162"/>
              </w:tabs>
              <w:rPr>
                <w:rFonts w:ascii="Univers" w:hAnsi="Univers"/>
              </w:rPr>
            </w:pPr>
            <w:r>
              <w:rPr>
                <w:rFonts w:ascii="Univers" w:hAnsi="Univers"/>
              </w:rPr>
              <w:t>National Guard Tuition Assistance</w:t>
            </w:r>
          </w:p>
        </w:tc>
        <w:tc>
          <w:tcPr>
            <w:tcW w:w="262" w:type="dxa"/>
            <w:tcBorders>
              <w:top w:val="single" w:sz="6" w:space="0" w:color="auto"/>
            </w:tcBorders>
          </w:tcPr>
          <w:p w:rsidR="00000000" w:rsidRDefault="00981342">
            <w:pPr>
              <w:rPr>
                <w:rFonts w:ascii="Univers" w:hAnsi="Univers"/>
              </w:rPr>
            </w:pPr>
          </w:p>
        </w:tc>
        <w:tc>
          <w:tcPr>
            <w:tcW w:w="1501" w:type="dxa"/>
            <w:tcBorders>
              <w:top w:val="single" w:sz="6" w:space="0" w:color="auto"/>
            </w:tcBorders>
          </w:tcPr>
          <w:p w:rsidR="00000000" w:rsidRDefault="00981342">
            <w:pPr>
              <w:rPr>
                <w:rFonts w:ascii="Univers" w:hAnsi="Univers"/>
              </w:rPr>
            </w:pPr>
            <w:r>
              <w:rPr>
                <w:rFonts w:ascii="Univers" w:hAnsi="Univers"/>
              </w:rPr>
              <w:t>SF 461</w:t>
            </w:r>
          </w:p>
        </w:tc>
        <w:tc>
          <w:tcPr>
            <w:tcW w:w="296" w:type="dxa"/>
            <w:tcBorders>
              <w:top w:val="single" w:sz="6" w:space="0" w:color="auto"/>
            </w:tcBorders>
          </w:tcPr>
          <w:p w:rsidR="00000000" w:rsidRDefault="00981342">
            <w:pPr>
              <w:rPr>
                <w:rFonts w:ascii="Univers" w:hAnsi="Univers"/>
              </w:rPr>
            </w:pPr>
          </w:p>
        </w:tc>
        <w:tc>
          <w:tcPr>
            <w:tcW w:w="3034" w:type="dxa"/>
            <w:tcBorders>
              <w:top w:val="single" w:sz="6" w:space="0" w:color="auto"/>
              <w:right w:val="single" w:sz="6" w:space="0" w:color="auto"/>
            </w:tcBorders>
          </w:tcPr>
          <w:p w:rsidR="00000000" w:rsidRDefault="00981342">
            <w:pPr>
              <w:rPr>
                <w:rFonts w:ascii="Univers" w:hAnsi="Univers"/>
              </w:rPr>
            </w:pPr>
            <w:r>
              <w:rPr>
                <w:rFonts w:ascii="Univers" w:hAnsi="Univers"/>
              </w:rPr>
              <w:t>Passed Senate Approps. on March 25.  On Senate calendar.</w:t>
            </w:r>
          </w:p>
        </w:tc>
      </w:tr>
      <w:tr w:rsidR="00000000">
        <w:tblPrEx>
          <w:tblCellMar>
            <w:top w:w="0" w:type="dxa"/>
            <w:bottom w:w="0" w:type="dxa"/>
          </w:tblCellMar>
        </w:tblPrEx>
        <w:tc>
          <w:tcPr>
            <w:tcW w:w="2197" w:type="dxa"/>
            <w:tcBorders>
              <w:top w:val="single" w:sz="6" w:space="0" w:color="auto"/>
              <w:left w:val="single" w:sz="6" w:space="0" w:color="auto"/>
            </w:tcBorders>
          </w:tcPr>
          <w:p w:rsidR="00000000" w:rsidRDefault="00981342">
            <w:pPr>
              <w:tabs>
                <w:tab w:val="left" w:pos="162"/>
              </w:tabs>
              <w:rPr>
                <w:rFonts w:ascii="Univers" w:hAnsi="Univers"/>
              </w:rPr>
            </w:pPr>
            <w:r>
              <w:rPr>
                <w:rFonts w:ascii="Univers" w:hAnsi="Univers"/>
              </w:rPr>
              <w:t>Oil Overcharge</w:t>
            </w:r>
          </w:p>
        </w:tc>
        <w:tc>
          <w:tcPr>
            <w:tcW w:w="262" w:type="dxa"/>
            <w:tcBorders>
              <w:top w:val="single" w:sz="6" w:space="0" w:color="auto"/>
            </w:tcBorders>
          </w:tcPr>
          <w:p w:rsidR="00000000" w:rsidRDefault="00981342">
            <w:pPr>
              <w:rPr>
                <w:rFonts w:ascii="Univers" w:hAnsi="Univers"/>
              </w:rPr>
            </w:pPr>
          </w:p>
        </w:tc>
        <w:tc>
          <w:tcPr>
            <w:tcW w:w="1501" w:type="dxa"/>
            <w:tcBorders>
              <w:top w:val="single" w:sz="6" w:space="0" w:color="auto"/>
            </w:tcBorders>
          </w:tcPr>
          <w:p w:rsidR="00000000" w:rsidRDefault="00981342">
            <w:pPr>
              <w:rPr>
                <w:rFonts w:ascii="Univers" w:hAnsi="Univers"/>
              </w:rPr>
            </w:pPr>
            <w:r>
              <w:rPr>
                <w:rFonts w:ascii="Univers" w:hAnsi="Univers"/>
              </w:rPr>
              <w:t>HF 332</w:t>
            </w:r>
          </w:p>
        </w:tc>
        <w:tc>
          <w:tcPr>
            <w:tcW w:w="296" w:type="dxa"/>
            <w:tcBorders>
              <w:top w:val="single" w:sz="6" w:space="0" w:color="auto"/>
            </w:tcBorders>
          </w:tcPr>
          <w:p w:rsidR="00000000" w:rsidRDefault="00981342">
            <w:pPr>
              <w:rPr>
                <w:rFonts w:ascii="Univers" w:hAnsi="Univers"/>
              </w:rPr>
            </w:pPr>
          </w:p>
        </w:tc>
        <w:tc>
          <w:tcPr>
            <w:tcW w:w="3034" w:type="dxa"/>
            <w:tcBorders>
              <w:top w:val="single" w:sz="6" w:space="0" w:color="auto"/>
              <w:right w:val="single" w:sz="6" w:space="0" w:color="auto"/>
            </w:tcBorders>
          </w:tcPr>
          <w:p w:rsidR="00000000" w:rsidRDefault="00981342">
            <w:pPr>
              <w:rPr>
                <w:rFonts w:ascii="Univers" w:hAnsi="Univers"/>
              </w:rPr>
            </w:pPr>
            <w:r>
              <w:rPr>
                <w:rFonts w:ascii="Univers" w:hAnsi="Univers"/>
              </w:rPr>
              <w:t>Signed by the Governor on March 31.</w:t>
            </w:r>
          </w:p>
        </w:tc>
      </w:tr>
      <w:tr w:rsidR="00000000">
        <w:tblPrEx>
          <w:tblCellMar>
            <w:top w:w="0" w:type="dxa"/>
            <w:bottom w:w="0" w:type="dxa"/>
          </w:tblCellMar>
        </w:tblPrEx>
        <w:tc>
          <w:tcPr>
            <w:tcW w:w="2197" w:type="dxa"/>
            <w:tcBorders>
              <w:top w:val="single" w:sz="6" w:space="0" w:color="auto"/>
              <w:left w:val="single" w:sz="6" w:space="0" w:color="auto"/>
              <w:bottom w:val="single" w:sz="4" w:space="0" w:color="auto"/>
            </w:tcBorders>
          </w:tcPr>
          <w:p w:rsidR="00000000" w:rsidRDefault="00981342">
            <w:pPr>
              <w:tabs>
                <w:tab w:val="left" w:pos="162"/>
              </w:tabs>
              <w:rPr>
                <w:rFonts w:ascii="Univers" w:hAnsi="Univers"/>
              </w:rPr>
            </w:pPr>
            <w:r>
              <w:rPr>
                <w:rFonts w:ascii="Univers" w:hAnsi="Univers"/>
              </w:rPr>
              <w:t xml:space="preserve">Early Intervention (Education Agreement) </w:t>
            </w:r>
          </w:p>
        </w:tc>
        <w:tc>
          <w:tcPr>
            <w:tcW w:w="262" w:type="dxa"/>
            <w:tcBorders>
              <w:top w:val="single" w:sz="6" w:space="0" w:color="auto"/>
              <w:bottom w:val="single" w:sz="4" w:space="0" w:color="auto"/>
            </w:tcBorders>
          </w:tcPr>
          <w:p w:rsidR="00000000" w:rsidRDefault="00981342">
            <w:pPr>
              <w:rPr>
                <w:rFonts w:ascii="Univers" w:hAnsi="Univers"/>
              </w:rPr>
            </w:pPr>
          </w:p>
        </w:tc>
        <w:tc>
          <w:tcPr>
            <w:tcW w:w="1501" w:type="dxa"/>
            <w:tcBorders>
              <w:top w:val="single" w:sz="6" w:space="0" w:color="auto"/>
              <w:bottom w:val="single" w:sz="4" w:space="0" w:color="auto"/>
            </w:tcBorders>
          </w:tcPr>
          <w:p w:rsidR="00000000" w:rsidRDefault="00981342">
            <w:pPr>
              <w:rPr>
                <w:rFonts w:ascii="Univers" w:hAnsi="Univers"/>
              </w:rPr>
            </w:pPr>
            <w:r>
              <w:rPr>
                <w:rFonts w:ascii="Univers" w:hAnsi="Univers"/>
              </w:rPr>
              <w:t>HF 743</w:t>
            </w:r>
          </w:p>
        </w:tc>
        <w:tc>
          <w:tcPr>
            <w:tcW w:w="296" w:type="dxa"/>
            <w:tcBorders>
              <w:top w:val="single" w:sz="6" w:space="0" w:color="auto"/>
              <w:bottom w:val="single" w:sz="4" w:space="0" w:color="auto"/>
            </w:tcBorders>
          </w:tcPr>
          <w:p w:rsidR="00000000" w:rsidRDefault="00981342">
            <w:pPr>
              <w:rPr>
                <w:rFonts w:ascii="Univers" w:hAnsi="Univers"/>
              </w:rPr>
            </w:pPr>
          </w:p>
        </w:tc>
        <w:tc>
          <w:tcPr>
            <w:tcW w:w="3034" w:type="dxa"/>
            <w:tcBorders>
              <w:top w:val="single" w:sz="6" w:space="0" w:color="auto"/>
              <w:bottom w:val="single" w:sz="4" w:space="0" w:color="auto"/>
              <w:right w:val="single" w:sz="6" w:space="0" w:color="auto"/>
            </w:tcBorders>
          </w:tcPr>
          <w:p w:rsidR="00000000" w:rsidRDefault="00981342">
            <w:pPr>
              <w:rPr>
                <w:rFonts w:ascii="Univers" w:hAnsi="Univers"/>
              </w:rPr>
            </w:pPr>
            <w:r>
              <w:rPr>
                <w:rFonts w:ascii="Univers" w:hAnsi="Univers"/>
              </w:rPr>
              <w:t>Passed Senate on Mar</w:t>
            </w:r>
            <w:r>
              <w:rPr>
                <w:rFonts w:ascii="Univers" w:hAnsi="Univers"/>
              </w:rPr>
              <w:t>ch 31. Ready to be enrolled and sent to the Governor.</w:t>
            </w:r>
          </w:p>
        </w:tc>
      </w:tr>
      <w:tr w:rsidR="00000000">
        <w:tblPrEx>
          <w:tblCellMar>
            <w:top w:w="0" w:type="dxa"/>
            <w:bottom w:w="0" w:type="dxa"/>
          </w:tblCellMar>
        </w:tblPrEx>
        <w:tc>
          <w:tcPr>
            <w:tcW w:w="2197" w:type="dxa"/>
            <w:tcBorders>
              <w:top w:val="single" w:sz="6" w:space="0" w:color="auto"/>
              <w:left w:val="single" w:sz="6" w:space="0" w:color="auto"/>
              <w:bottom w:val="single" w:sz="4" w:space="0" w:color="auto"/>
            </w:tcBorders>
          </w:tcPr>
          <w:p w:rsidR="00000000" w:rsidRDefault="00981342">
            <w:pPr>
              <w:tabs>
                <w:tab w:val="left" w:pos="162"/>
              </w:tabs>
              <w:rPr>
                <w:rFonts w:ascii="Univers" w:hAnsi="Univers"/>
              </w:rPr>
            </w:pPr>
            <w:r>
              <w:rPr>
                <w:rFonts w:ascii="Univers" w:hAnsi="Univers"/>
              </w:rPr>
              <w:t>Recruiting Our Own Targeted Students (ROOTS) Forgivable Loan Prg.</w:t>
            </w:r>
          </w:p>
        </w:tc>
        <w:tc>
          <w:tcPr>
            <w:tcW w:w="262" w:type="dxa"/>
            <w:tcBorders>
              <w:top w:val="single" w:sz="6" w:space="0" w:color="auto"/>
              <w:bottom w:val="single" w:sz="4" w:space="0" w:color="auto"/>
            </w:tcBorders>
          </w:tcPr>
          <w:p w:rsidR="00000000" w:rsidRDefault="00981342">
            <w:pPr>
              <w:rPr>
                <w:rFonts w:ascii="Univers" w:hAnsi="Univers"/>
              </w:rPr>
            </w:pPr>
          </w:p>
        </w:tc>
        <w:tc>
          <w:tcPr>
            <w:tcW w:w="1501" w:type="dxa"/>
            <w:tcBorders>
              <w:top w:val="single" w:sz="6" w:space="0" w:color="auto"/>
              <w:bottom w:val="single" w:sz="4" w:space="0" w:color="auto"/>
            </w:tcBorders>
          </w:tcPr>
          <w:p w:rsidR="00000000" w:rsidRDefault="00981342">
            <w:pPr>
              <w:rPr>
                <w:rFonts w:ascii="Univers" w:hAnsi="Univers"/>
              </w:rPr>
            </w:pPr>
            <w:r>
              <w:rPr>
                <w:rFonts w:ascii="Univers" w:hAnsi="Univers"/>
              </w:rPr>
              <w:t>HF 756</w:t>
            </w:r>
          </w:p>
        </w:tc>
        <w:tc>
          <w:tcPr>
            <w:tcW w:w="296" w:type="dxa"/>
            <w:tcBorders>
              <w:top w:val="single" w:sz="6" w:space="0" w:color="auto"/>
              <w:bottom w:val="single" w:sz="4" w:space="0" w:color="auto"/>
            </w:tcBorders>
          </w:tcPr>
          <w:p w:rsidR="00000000" w:rsidRDefault="00981342">
            <w:pPr>
              <w:rPr>
                <w:rFonts w:ascii="Univers" w:hAnsi="Univers"/>
              </w:rPr>
            </w:pPr>
          </w:p>
        </w:tc>
        <w:tc>
          <w:tcPr>
            <w:tcW w:w="3034" w:type="dxa"/>
            <w:tcBorders>
              <w:top w:val="single" w:sz="6" w:space="0" w:color="auto"/>
              <w:bottom w:val="single" w:sz="4" w:space="0" w:color="auto"/>
              <w:right w:val="single" w:sz="6" w:space="0" w:color="auto"/>
            </w:tcBorders>
          </w:tcPr>
          <w:p w:rsidR="00000000" w:rsidRDefault="00981342">
            <w:pPr>
              <w:rPr>
                <w:rFonts w:ascii="Univers" w:hAnsi="Univers"/>
              </w:rPr>
            </w:pPr>
            <w:r>
              <w:rPr>
                <w:rFonts w:ascii="Univers" w:hAnsi="Univers"/>
              </w:rPr>
              <w:t>Passed House Approps. on March 24.  On House calendar.</w:t>
            </w:r>
          </w:p>
        </w:tc>
      </w:tr>
      <w:tr w:rsidR="00000000">
        <w:tblPrEx>
          <w:tblCellMar>
            <w:top w:w="0" w:type="dxa"/>
            <w:bottom w:w="0" w:type="dxa"/>
          </w:tblCellMar>
        </w:tblPrEx>
        <w:tc>
          <w:tcPr>
            <w:tcW w:w="2197" w:type="dxa"/>
            <w:tcBorders>
              <w:top w:val="single" w:sz="6" w:space="0" w:color="auto"/>
              <w:left w:val="single" w:sz="6" w:space="0" w:color="auto"/>
              <w:bottom w:val="single" w:sz="4" w:space="0" w:color="auto"/>
            </w:tcBorders>
          </w:tcPr>
          <w:p w:rsidR="00000000" w:rsidRDefault="00981342">
            <w:pPr>
              <w:tabs>
                <w:tab w:val="left" w:pos="162"/>
              </w:tabs>
              <w:rPr>
                <w:rFonts w:ascii="Univers" w:hAnsi="Univers"/>
              </w:rPr>
            </w:pPr>
            <w:r>
              <w:rPr>
                <w:rFonts w:ascii="Univers" w:hAnsi="Univers"/>
              </w:rPr>
              <w:t>Teacher Shortage   Forgivable Loan Prg.</w:t>
            </w:r>
          </w:p>
          <w:p w:rsidR="00000000" w:rsidRDefault="00981342">
            <w:pPr>
              <w:tabs>
                <w:tab w:val="left" w:pos="162"/>
              </w:tabs>
              <w:rPr>
                <w:rFonts w:ascii="Univers" w:hAnsi="Univers"/>
              </w:rPr>
            </w:pPr>
            <w:r>
              <w:rPr>
                <w:rFonts w:ascii="Univers" w:hAnsi="Univers"/>
              </w:rPr>
              <w:t xml:space="preserve">  $250,000 GF </w:t>
            </w:r>
          </w:p>
        </w:tc>
        <w:tc>
          <w:tcPr>
            <w:tcW w:w="262" w:type="dxa"/>
            <w:tcBorders>
              <w:top w:val="single" w:sz="6" w:space="0" w:color="auto"/>
              <w:bottom w:val="single" w:sz="4" w:space="0" w:color="auto"/>
            </w:tcBorders>
          </w:tcPr>
          <w:p w:rsidR="00000000" w:rsidRDefault="00981342">
            <w:pPr>
              <w:rPr>
                <w:rFonts w:ascii="Univers" w:hAnsi="Univers"/>
              </w:rPr>
            </w:pPr>
          </w:p>
        </w:tc>
        <w:tc>
          <w:tcPr>
            <w:tcW w:w="1501" w:type="dxa"/>
            <w:tcBorders>
              <w:top w:val="single" w:sz="6" w:space="0" w:color="auto"/>
              <w:bottom w:val="single" w:sz="4" w:space="0" w:color="auto"/>
            </w:tcBorders>
          </w:tcPr>
          <w:p w:rsidR="00000000" w:rsidRDefault="00981342">
            <w:pPr>
              <w:rPr>
                <w:rFonts w:ascii="Univers" w:hAnsi="Univers"/>
              </w:rPr>
            </w:pPr>
            <w:r>
              <w:rPr>
                <w:rFonts w:ascii="Univers" w:hAnsi="Univers"/>
              </w:rPr>
              <w:t>HF 759</w:t>
            </w:r>
          </w:p>
        </w:tc>
        <w:tc>
          <w:tcPr>
            <w:tcW w:w="296" w:type="dxa"/>
            <w:tcBorders>
              <w:top w:val="single" w:sz="6" w:space="0" w:color="auto"/>
              <w:bottom w:val="single" w:sz="4" w:space="0" w:color="auto"/>
            </w:tcBorders>
          </w:tcPr>
          <w:p w:rsidR="00000000" w:rsidRDefault="00981342">
            <w:pPr>
              <w:rPr>
                <w:rFonts w:ascii="Univers" w:hAnsi="Univers"/>
              </w:rPr>
            </w:pPr>
          </w:p>
        </w:tc>
        <w:tc>
          <w:tcPr>
            <w:tcW w:w="3034" w:type="dxa"/>
            <w:tcBorders>
              <w:top w:val="single" w:sz="6" w:space="0" w:color="auto"/>
              <w:bottom w:val="single" w:sz="4" w:space="0" w:color="auto"/>
              <w:right w:val="single" w:sz="6" w:space="0" w:color="auto"/>
            </w:tcBorders>
          </w:tcPr>
          <w:p w:rsidR="00000000" w:rsidRDefault="00981342">
            <w:pPr>
              <w:rPr>
                <w:rFonts w:ascii="Univers" w:hAnsi="Univers"/>
              </w:rPr>
            </w:pPr>
            <w:r>
              <w:rPr>
                <w:rFonts w:ascii="Univers" w:hAnsi="Univers"/>
              </w:rPr>
              <w:t>Passed</w:t>
            </w:r>
            <w:r>
              <w:rPr>
                <w:rFonts w:ascii="Univers" w:hAnsi="Univers"/>
              </w:rPr>
              <w:t xml:space="preserve"> House Approps. on March 20.  On House calendar.</w:t>
            </w:r>
          </w:p>
        </w:tc>
      </w:tr>
      <w:tr w:rsidR="00000000">
        <w:tblPrEx>
          <w:tblCellMar>
            <w:top w:w="0" w:type="dxa"/>
            <w:bottom w:w="0" w:type="dxa"/>
          </w:tblCellMar>
        </w:tblPrEx>
        <w:tc>
          <w:tcPr>
            <w:tcW w:w="2197" w:type="dxa"/>
            <w:tcBorders>
              <w:top w:val="single" w:sz="6" w:space="0" w:color="auto"/>
              <w:left w:val="single" w:sz="6" w:space="0" w:color="auto"/>
              <w:bottom w:val="single" w:sz="4" w:space="0" w:color="auto"/>
            </w:tcBorders>
          </w:tcPr>
          <w:p w:rsidR="00000000" w:rsidRDefault="00981342">
            <w:pPr>
              <w:tabs>
                <w:tab w:val="left" w:pos="162"/>
              </w:tabs>
              <w:rPr>
                <w:rFonts w:ascii="Univers" w:hAnsi="Univers"/>
              </w:rPr>
            </w:pPr>
            <w:r>
              <w:rPr>
                <w:rFonts w:ascii="Univers" w:hAnsi="Univers"/>
              </w:rPr>
              <w:t>Federally Qualified &amp; Rural Health Clinics</w:t>
            </w:r>
          </w:p>
        </w:tc>
        <w:tc>
          <w:tcPr>
            <w:tcW w:w="262" w:type="dxa"/>
            <w:tcBorders>
              <w:top w:val="single" w:sz="6" w:space="0" w:color="auto"/>
              <w:bottom w:val="single" w:sz="4" w:space="0" w:color="auto"/>
            </w:tcBorders>
          </w:tcPr>
          <w:p w:rsidR="00000000" w:rsidRDefault="00981342">
            <w:pPr>
              <w:rPr>
                <w:rFonts w:ascii="Univers" w:hAnsi="Univers"/>
              </w:rPr>
            </w:pPr>
          </w:p>
        </w:tc>
        <w:tc>
          <w:tcPr>
            <w:tcW w:w="1501" w:type="dxa"/>
            <w:tcBorders>
              <w:top w:val="single" w:sz="6" w:space="0" w:color="auto"/>
              <w:bottom w:val="single" w:sz="4" w:space="0" w:color="auto"/>
            </w:tcBorders>
          </w:tcPr>
          <w:p w:rsidR="00000000" w:rsidRDefault="00981342">
            <w:pPr>
              <w:rPr>
                <w:rFonts w:ascii="Univers" w:hAnsi="Univers"/>
              </w:rPr>
            </w:pPr>
            <w:r>
              <w:rPr>
                <w:rFonts w:ascii="Univers" w:hAnsi="Univers"/>
              </w:rPr>
              <w:t>HF 763</w:t>
            </w:r>
          </w:p>
        </w:tc>
        <w:tc>
          <w:tcPr>
            <w:tcW w:w="296" w:type="dxa"/>
            <w:tcBorders>
              <w:top w:val="single" w:sz="6" w:space="0" w:color="auto"/>
              <w:bottom w:val="single" w:sz="4" w:space="0" w:color="auto"/>
            </w:tcBorders>
          </w:tcPr>
          <w:p w:rsidR="00000000" w:rsidRDefault="00981342">
            <w:pPr>
              <w:rPr>
                <w:rFonts w:ascii="Univers" w:hAnsi="Univers"/>
              </w:rPr>
            </w:pPr>
          </w:p>
        </w:tc>
        <w:tc>
          <w:tcPr>
            <w:tcW w:w="3034" w:type="dxa"/>
            <w:tcBorders>
              <w:top w:val="single" w:sz="6" w:space="0" w:color="auto"/>
              <w:bottom w:val="single" w:sz="4" w:space="0" w:color="auto"/>
              <w:right w:val="single" w:sz="6" w:space="0" w:color="auto"/>
            </w:tcBorders>
          </w:tcPr>
          <w:p w:rsidR="00000000" w:rsidRDefault="00981342">
            <w:pPr>
              <w:rPr>
                <w:rFonts w:ascii="Univers" w:hAnsi="Univers"/>
              </w:rPr>
            </w:pPr>
            <w:r>
              <w:rPr>
                <w:rFonts w:ascii="Univers" w:hAnsi="Univers"/>
              </w:rPr>
              <w:t>Passed House Approps. on April 7.  On House calendar.</w:t>
            </w:r>
          </w:p>
        </w:tc>
      </w:tr>
    </w:tbl>
    <w:p w:rsidR="00000000" w:rsidRDefault="00981342">
      <w:pPr>
        <w:pStyle w:val="textup"/>
      </w:pPr>
    </w:p>
    <w:p w:rsidR="00000000" w:rsidRDefault="00981342">
      <w:pPr>
        <w:pStyle w:val="Contactup"/>
      </w:pPr>
      <w:r>
        <w:t>STAFF CONTACT:  Holly Lyons (Ext. 17845)</w:t>
      </w:r>
    </w:p>
    <w:bookmarkEnd w:id="0"/>
    <w:p w:rsidR="00000000" w:rsidRDefault="00981342">
      <w:pPr>
        <w:pStyle w:val="ISSUE"/>
        <w:framePr w:w="0" w:hRule="auto" w:hSpace="0" w:wrap="auto" w:vAnchor="margin" w:hAnchor="text" w:xAlign="left" w:yAlign="inline"/>
      </w:pPr>
    </w:p>
    <w:p w:rsidR="00000000" w:rsidRDefault="00981342">
      <w:pPr>
        <w:pStyle w:val="Blurbtitle"/>
      </w:pPr>
      <w:bookmarkStart w:id="2" w:name="FU4SSA"/>
      <w:r>
        <w:lastRenderedPageBreak/>
        <w:t>administration and regulation appropriations bill - sf 4</w:t>
      </w:r>
      <w:r>
        <w:t>60 passes house apropriations committee</w:t>
      </w:r>
      <w:bookmarkEnd w:id="2"/>
    </w:p>
    <w:p w:rsidR="00000000" w:rsidRDefault="00981342">
      <w:pPr>
        <w:framePr w:w="501" w:h="1159" w:hSpace="180" w:wrap="around" w:vAnchor="text" w:hAnchor="page" w:x="1497" w:y="78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981342">
      <w:pPr>
        <w:pStyle w:val="textup"/>
      </w:pPr>
      <w:r>
        <w:rPr>
          <w:b/>
        </w:rPr>
        <w:t>Admin./Regulation – SF 460</w:t>
      </w:r>
      <w:r>
        <w:tab/>
        <w:t>The Administration and Regulation Appropriations Bill, SF 460, was amended and passed by the House Appropriations Committee on April 8.  The Bill makes appropriations to the Office of the</w:t>
      </w:r>
      <w:r>
        <w:t xml:space="preserve"> Auditor, Department of Commerce, Ethics and Campaign Disclosure, Department of General Services, Office of the Governor, Department of Inspections and Appeals, Department of Management, Department of Personnel, Department of Revenue and Finance, Office of</w:t>
      </w:r>
      <w:r>
        <w:t xml:space="preserve"> the Secretary of State, and Office of the Treasurer.  The Bill appropriates $88.7 million and 1,908.6 FTE positions, an increase of $596,000 (0.7%) and 12.4 (0.7%) FTE positions compared to estimated FY 1999.  </w:t>
      </w:r>
    </w:p>
    <w:p w:rsidR="00000000" w:rsidRDefault="00981342">
      <w:pPr>
        <w:pStyle w:val="textup"/>
      </w:pPr>
      <w:r>
        <w:rPr>
          <w:b/>
        </w:rPr>
        <w:t>House Approp. Action</w:t>
      </w:r>
      <w:r>
        <w:tab/>
        <w:t>Changes made by the Hou</w:t>
      </w:r>
      <w:r>
        <w:t>se Appropriations Committee include:</w:t>
      </w:r>
    </w:p>
    <w:p w:rsidR="00000000" w:rsidRDefault="00981342">
      <w:pPr>
        <w:pStyle w:val="bulletup"/>
        <w:numPr>
          <w:ilvl w:val="0"/>
          <w:numId w:val="10"/>
        </w:numPr>
      </w:pPr>
      <w:r>
        <w:t>Provides the Department of General Services a FY 1999 supplemental appropriation of $68,000 for rental costs.</w:t>
      </w:r>
    </w:p>
    <w:p w:rsidR="00000000" w:rsidRDefault="00981342">
      <w:pPr>
        <w:pStyle w:val="bulletup"/>
        <w:numPr>
          <w:ilvl w:val="0"/>
          <w:numId w:val="10"/>
        </w:numPr>
      </w:pPr>
      <w:r>
        <w:t>Provides the Office of the Governor a FY 1999 supplemental appropriation of $210,000 for salaries, support, m</w:t>
      </w:r>
      <w:r>
        <w:t>aintenance, and miscellaneous purposes, including vacation and leave payout.</w:t>
      </w:r>
    </w:p>
    <w:p w:rsidR="00000000" w:rsidRDefault="00981342">
      <w:pPr>
        <w:framePr w:w="497" w:h="425" w:hSpace="180" w:wrap="auto" w:vAnchor="text" w:hAnchor="page" w:x="1497" w:y="451"/>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981342">
      <w:pPr>
        <w:pStyle w:val="textup"/>
      </w:pPr>
      <w:r>
        <w:rPr>
          <w:b/>
        </w:rPr>
        <w:t>Bill Summary</w:t>
      </w:r>
      <w:r>
        <w:tab/>
        <w:t>Copies of the Notes on Bills and Amendments (NOBA) are available from the LFB.</w:t>
      </w:r>
    </w:p>
    <w:p w:rsidR="00000000" w:rsidRDefault="00981342">
      <w:pPr>
        <w:pStyle w:val="Contactup"/>
      </w:pPr>
      <w:r>
        <w:t>STAFF CONTACT:  Shawn Snyder (Ext. 16765)  Ron Robinson (Ext. 16256)</w:t>
      </w:r>
    </w:p>
    <w:p w:rsidR="00000000" w:rsidRDefault="00981342">
      <w:pPr>
        <w:pStyle w:val="Blurbtitle"/>
      </w:pPr>
      <w:bookmarkStart w:id="3" w:name="FU4SKWA"/>
      <w:r>
        <w:t>Agriculture a</w:t>
      </w:r>
      <w:r>
        <w:t>nd Natural Resources Appropriations Bill - HF 746 Amended and Passed by the House</w:t>
      </w:r>
      <w:bookmarkEnd w:id="3"/>
    </w:p>
    <w:p w:rsidR="00000000" w:rsidRDefault="00981342">
      <w:pPr>
        <w:framePr w:w="501" w:h="1159" w:hSpace="180" w:wrap="around" w:vAnchor="text" w:hAnchor="page" w:x="1497" w:y="42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981342">
      <w:pPr>
        <w:pStyle w:val="textup"/>
      </w:pPr>
      <w:r>
        <w:rPr>
          <w:b/>
        </w:rPr>
        <w:t>Ag./Natl. Res. – HF 746</w:t>
      </w:r>
      <w:r>
        <w:tab/>
        <w:t>The Agriculture and Natural Resources Appropriations Bill, HF 746, was amended and passed by the House on April 6.  The Bill appropriates a total of</w:t>
      </w:r>
      <w:r>
        <w:t xml:space="preserve"> $43.5 million from the General Fund and 1,478.0 FTE positions, an increase of $1.5 million (3.6%) and 26.2 (1.8%) FTE positions compared to estimated FY 1999.  </w:t>
      </w:r>
    </w:p>
    <w:p w:rsidR="00000000" w:rsidRDefault="00981342">
      <w:pPr>
        <w:pStyle w:val="textup"/>
      </w:pPr>
      <w:r>
        <w:rPr>
          <w:b/>
        </w:rPr>
        <w:t>House Action</w:t>
      </w:r>
      <w:r>
        <w:tab/>
        <w:t>Changes made to the Bill by the House include:</w:t>
      </w:r>
    </w:p>
    <w:p w:rsidR="00000000" w:rsidRDefault="00981342">
      <w:pPr>
        <w:pStyle w:val="bulletup"/>
        <w:numPr>
          <w:ilvl w:val="0"/>
          <w:numId w:val="11"/>
        </w:numPr>
      </w:pPr>
      <w:r>
        <w:t>A General Fund increase of $25,000</w:t>
      </w:r>
      <w:r>
        <w:t xml:space="preserve"> and 1.0 FTE position to restore a position that remained vacant for more than one year.  Specifies the funding be used by the Administrative Division of the Department of Agriculture and Land Stewardship to support six part-time contract employees to perf</w:t>
      </w:r>
      <w:r>
        <w:t>orm livestock market news reporting functions.</w:t>
      </w:r>
    </w:p>
    <w:p w:rsidR="00000000" w:rsidRDefault="00981342">
      <w:pPr>
        <w:pStyle w:val="bulletup"/>
        <w:numPr>
          <w:ilvl w:val="0"/>
          <w:numId w:val="11"/>
        </w:numPr>
      </w:pPr>
      <w:r>
        <w:t>A General Fund increase of $35,000 and 2.0 FTE positions to restore positions that remained vacant for more than one year.  Specifies the funding be used by the Laboratory Division of the Department of Agricul</w:t>
      </w:r>
      <w:r>
        <w:t>ture and Land Stewardship to support 1.0 FTE position for the Commercial Feed Bureau and a temporary employee to assist with the administration of pesticide certification examinations.</w:t>
      </w:r>
    </w:p>
    <w:p w:rsidR="00000000" w:rsidRDefault="00981342">
      <w:pPr>
        <w:pStyle w:val="bulletup"/>
        <w:numPr>
          <w:ilvl w:val="0"/>
          <w:numId w:val="11"/>
        </w:numPr>
      </w:pPr>
      <w:r>
        <w:lastRenderedPageBreak/>
        <w:t>Requires the Soil Conservation Division of the Department of Agricultur</w:t>
      </w:r>
      <w:r>
        <w:t xml:space="preserve">e and Land Stewardship to publicize the availability of farm programs to women and minorities. </w:t>
      </w:r>
    </w:p>
    <w:p w:rsidR="00000000" w:rsidRDefault="00981342">
      <w:pPr>
        <w:pStyle w:val="bulletup"/>
        <w:numPr>
          <w:ilvl w:val="0"/>
          <w:numId w:val="11"/>
        </w:numPr>
      </w:pPr>
      <w:r>
        <w:t>Creates the Forestry Management and Enhancement Fund and requires the Department of Natural Resources to deposit a portion of the money received from the sale o</w:t>
      </w:r>
      <w:r>
        <w:t>f trees and shrubs into the Fund to support management and enhancements of forests in the State.  Authorizes 5.00 additional FTE positions for the Forests and Forestry Division to support the program.</w:t>
      </w:r>
    </w:p>
    <w:p w:rsidR="00000000" w:rsidRDefault="00981342">
      <w:pPr>
        <w:pStyle w:val="bulletup"/>
        <w:numPr>
          <w:ilvl w:val="0"/>
          <w:numId w:val="12"/>
        </w:numPr>
      </w:pPr>
      <w:r>
        <w:t>Restores 0.45 FTE position to the Parks and Preserves D</w:t>
      </w:r>
      <w:r>
        <w:t xml:space="preserve">ivision that was vacant for more than one year.  This position was filled by the Department of Natural Resources and is funded with money from a trust fund.  </w:t>
      </w:r>
    </w:p>
    <w:p w:rsidR="00000000" w:rsidRDefault="00981342">
      <w:pPr>
        <w:framePr w:w="1066" w:h="1003" w:hSpace="180" w:wrap="around" w:vAnchor="text" w:hAnchor="page" w:x="1377" w:y="786"/>
        <w:pBdr>
          <w:top w:val="single" w:sz="6" w:space="1" w:color="auto" w:shadow="1"/>
          <w:left w:val="single" w:sz="6" w:space="1" w:color="auto" w:shadow="1"/>
          <w:bottom w:val="single" w:sz="6" w:space="1" w:color="auto" w:shadow="1"/>
          <w:right w:val="single" w:sz="6" w:space="1" w:color="auto" w:shadow="1"/>
        </w:pBdr>
      </w:pPr>
    </w:p>
    <w:p w:rsidR="00000000" w:rsidRDefault="00981342">
      <w:pPr>
        <w:framePr w:w="1066" w:h="1003" w:hSpace="180" w:wrap="around" w:vAnchor="text" w:hAnchor="page" w:x="1377" w:y="786"/>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2667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673100" cy="266700"/>
                    </a:xfrm>
                    <a:prstGeom prst="rect">
                      <a:avLst/>
                    </a:prstGeom>
                    <a:noFill/>
                    <a:ln w="9525">
                      <a:noFill/>
                      <a:miter lim="800000"/>
                      <a:headEnd/>
                      <a:tailEnd/>
                    </a:ln>
                  </pic:spPr>
                </pic:pic>
              </a:graphicData>
            </a:graphic>
          </wp:inline>
        </w:drawing>
      </w:r>
    </w:p>
    <w:p w:rsidR="00000000" w:rsidRDefault="00981342">
      <w:pPr>
        <w:pStyle w:val="bulletup"/>
        <w:numPr>
          <w:ilvl w:val="0"/>
          <w:numId w:val="12"/>
        </w:numPr>
      </w:pPr>
      <w:r>
        <w:t>Restores 1.00 FTE position to the Environmental Protection Division that was vacant for more t</w:t>
      </w:r>
      <w:r>
        <w:t>han one year.  The position is funded with Storm Water Permit fees.</w:t>
      </w:r>
    </w:p>
    <w:p w:rsidR="00000000" w:rsidRDefault="00981342">
      <w:pPr>
        <w:pStyle w:val="bulletup"/>
        <w:numPr>
          <w:ilvl w:val="0"/>
          <w:numId w:val="12"/>
        </w:numPr>
      </w:pPr>
      <w:r>
        <w:t>A General Fund increase of $41,000 to the Environmental Protection Division to hire contract personnel to process and review manure management plans.</w:t>
      </w:r>
    </w:p>
    <w:p w:rsidR="00000000" w:rsidRDefault="00981342">
      <w:pPr>
        <w:pStyle w:val="bulletup"/>
        <w:numPr>
          <w:ilvl w:val="0"/>
          <w:numId w:val="12"/>
        </w:numPr>
      </w:pPr>
      <w:r>
        <w:t>Restores 0.60 FTE position to the Fish</w:t>
      </w:r>
      <w:r>
        <w:t xml:space="preserve"> and Wildlife Division that was vacant for more than one year.  This position is funded with money from the Fish and Game Protection Fund.</w:t>
      </w:r>
    </w:p>
    <w:p w:rsidR="00000000" w:rsidRDefault="00981342">
      <w:pPr>
        <w:pStyle w:val="bulletup"/>
        <w:numPr>
          <w:ilvl w:val="0"/>
          <w:numId w:val="12"/>
        </w:numPr>
      </w:pPr>
      <w:r>
        <w:t>Appropriates $200,000 from the General Fund for FY 1999 for payment of retirement benefits to State Park Rangers.</w:t>
      </w:r>
    </w:p>
    <w:p w:rsidR="00000000" w:rsidRDefault="00981342">
      <w:pPr>
        <w:pStyle w:val="bulletup"/>
        <w:numPr>
          <w:ilvl w:val="0"/>
          <w:numId w:val="12"/>
        </w:numPr>
      </w:pPr>
      <w:r>
        <w:t>App</w:t>
      </w:r>
      <w:r>
        <w:t>ropriates $150,000 from the Fish and Game Protection Fund for FY 1999 for payment of retirement benefits to Fish and Wildlife Officers.</w:t>
      </w:r>
    </w:p>
    <w:p w:rsidR="00000000" w:rsidRDefault="00981342">
      <w:pPr>
        <w:pStyle w:val="textup"/>
      </w:pPr>
      <w:r>
        <w:rPr>
          <w:b/>
        </w:rPr>
        <w:t>Comparison to FY 1999</w:t>
      </w:r>
      <w:r>
        <w:tab/>
        <w:t>The Bill, as amended, contains the following major changes compared to estimated FY 1999 appropria</w:t>
      </w:r>
      <w:r>
        <w:t>tion:</w:t>
      </w:r>
    </w:p>
    <w:p w:rsidR="00000000" w:rsidRDefault="00981342">
      <w:pPr>
        <w:pStyle w:val="bulletup"/>
        <w:numPr>
          <w:ilvl w:val="0"/>
          <w:numId w:val="3"/>
        </w:numPr>
      </w:pPr>
      <w:r>
        <w:t>Increases the appropriation to the Administrative Division in the Department of Agriculture and Land Stewardship by $223,000 and 5.1 FTE positions.</w:t>
      </w:r>
    </w:p>
    <w:p w:rsidR="00000000" w:rsidRDefault="00981342">
      <w:pPr>
        <w:framePr w:w="501" w:h="997" w:hSpace="180" w:wrap="around" w:vAnchor="text" w:hAnchor="page" w:x="1497" w:y="11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981342">
      <w:pPr>
        <w:pStyle w:val="bulletup"/>
        <w:numPr>
          <w:ilvl w:val="0"/>
          <w:numId w:val="3"/>
        </w:numPr>
      </w:pPr>
      <w:r>
        <w:t>Decreases the appropriation to the Regulatory Division in the Department of Agriculture and Land Ste</w:t>
      </w:r>
      <w:r>
        <w:t>wardship by $71,000 and 2.5 FTE positions.</w:t>
      </w:r>
    </w:p>
    <w:p w:rsidR="00000000" w:rsidRDefault="00981342">
      <w:pPr>
        <w:pStyle w:val="bulletup"/>
        <w:numPr>
          <w:ilvl w:val="0"/>
          <w:numId w:val="3"/>
        </w:numPr>
      </w:pPr>
      <w:r>
        <w:t>Decreases the appropriation to the Laboratory Division in the Department of Agriculture and Land Stewardship by $139,000 and 2.10 FTE positions.</w:t>
      </w:r>
    </w:p>
    <w:p w:rsidR="00000000" w:rsidRDefault="00981342">
      <w:pPr>
        <w:pStyle w:val="bulletup"/>
        <w:numPr>
          <w:ilvl w:val="0"/>
          <w:numId w:val="3"/>
        </w:numPr>
      </w:pPr>
      <w:r>
        <w:t>Decreases the appropriation to the Soil Conservation Division in the</w:t>
      </w:r>
      <w:r>
        <w:t xml:space="preserve"> Department of Agriculture and Land Stewardship by $15,000 and an increase of 18.7 FTE positions.</w:t>
      </w:r>
    </w:p>
    <w:p w:rsidR="00000000" w:rsidRDefault="00981342">
      <w:pPr>
        <w:pStyle w:val="bulletup"/>
        <w:numPr>
          <w:ilvl w:val="0"/>
          <w:numId w:val="3"/>
        </w:numPr>
      </w:pPr>
      <w:r>
        <w:t>Increases the appropriation to the Farmer’s Market Coupon Program by $41,000 and 1.0 FTE position.</w:t>
      </w:r>
    </w:p>
    <w:p w:rsidR="00000000" w:rsidRDefault="00981342">
      <w:pPr>
        <w:pStyle w:val="bulletup"/>
        <w:numPr>
          <w:ilvl w:val="0"/>
          <w:numId w:val="3"/>
        </w:numPr>
      </w:pPr>
      <w:r>
        <w:t xml:space="preserve">Decreases the appropriation to the Administrative Services </w:t>
      </w:r>
      <w:r>
        <w:t>in the Department of Natural Resources by $104,000.  This is due to a decrease to the Division’s base budget.</w:t>
      </w:r>
    </w:p>
    <w:p w:rsidR="00000000" w:rsidRDefault="00981342">
      <w:pPr>
        <w:pStyle w:val="bulletup"/>
        <w:numPr>
          <w:ilvl w:val="0"/>
          <w:numId w:val="3"/>
        </w:numPr>
      </w:pPr>
      <w:r>
        <w:t>Increases the appropriation to the Environmental Protection Division in the Department of Natural Resources by $1.2 million and 6.0 FTE positions.</w:t>
      </w:r>
    </w:p>
    <w:p w:rsidR="00000000" w:rsidRDefault="00981342">
      <w:pPr>
        <w:pStyle w:val="bulletup"/>
        <w:numPr>
          <w:ilvl w:val="0"/>
          <w:numId w:val="3"/>
        </w:numPr>
      </w:pPr>
      <w:r>
        <w:lastRenderedPageBreak/>
        <w:t>Allocates $300,000 from the Water Quality Protection Fund to the Department of Natural Resources for the study and testing of municipal lagoons.</w:t>
      </w:r>
    </w:p>
    <w:p w:rsidR="00000000" w:rsidRDefault="00981342">
      <w:pPr>
        <w:pStyle w:val="bulletup"/>
        <w:numPr>
          <w:ilvl w:val="0"/>
          <w:numId w:val="3"/>
        </w:numPr>
      </w:pPr>
      <w:r>
        <w:t>An increase of $75,000 in the Fish and Wildlife Division for the establishment of a Watercraft Safety Program.</w:t>
      </w:r>
      <w:r>
        <w:t xml:space="preserve">  This is contingent upon passage of SF 187, Watercraft Safety Program.</w:t>
      </w:r>
    </w:p>
    <w:p w:rsidR="00000000" w:rsidRDefault="00981342">
      <w:pPr>
        <w:framePr w:w="1066" w:h="1003" w:hSpace="180" w:wrap="around" w:vAnchor="text" w:hAnchor="page" w:x="1809" w:y="144"/>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546100" cy="6223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546100" cy="622300"/>
                    </a:xfrm>
                    <a:prstGeom prst="rect">
                      <a:avLst/>
                    </a:prstGeom>
                    <a:noFill/>
                    <a:ln w="9525">
                      <a:noFill/>
                      <a:miter lim="800000"/>
                      <a:headEnd/>
                      <a:tailEnd/>
                    </a:ln>
                  </pic:spPr>
                </pic:pic>
              </a:graphicData>
            </a:graphic>
          </wp:inline>
        </w:drawing>
      </w:r>
    </w:p>
    <w:p w:rsidR="00000000" w:rsidRDefault="00981342">
      <w:pPr>
        <w:pStyle w:val="bulletup"/>
        <w:numPr>
          <w:ilvl w:val="0"/>
          <w:numId w:val="3"/>
        </w:numPr>
      </w:pPr>
      <w:r>
        <w:t>A one-time increase of $200,000 to the Marine Fuel Tax for payment of retirement benefits to the State Park Rangers.</w:t>
      </w:r>
    </w:p>
    <w:p w:rsidR="00000000" w:rsidRDefault="00981342">
      <w:pPr>
        <w:pStyle w:val="bulletup"/>
        <w:numPr>
          <w:ilvl w:val="0"/>
          <w:numId w:val="3"/>
        </w:numPr>
      </w:pPr>
      <w:r>
        <w:t>Appropriates $50,000 to the United States Department of Agricultu</w:t>
      </w:r>
      <w:r>
        <w:t>re Animal and Plant Health Inspection Services for control of wild animals, which includes whitetail deer.</w:t>
      </w:r>
    </w:p>
    <w:p w:rsidR="00000000" w:rsidRDefault="00981342">
      <w:pPr>
        <w:pStyle w:val="bulletup"/>
        <w:numPr>
          <w:ilvl w:val="0"/>
          <w:numId w:val="3"/>
        </w:numPr>
      </w:pPr>
      <w:r>
        <w:t xml:space="preserve">Appropriates $50,000 from the General Fund to Iowa State University for research on Johne’s Disease. </w:t>
      </w:r>
    </w:p>
    <w:p w:rsidR="00000000" w:rsidRDefault="00981342">
      <w:pPr>
        <w:pStyle w:val="bulletup"/>
        <w:numPr>
          <w:ilvl w:val="0"/>
          <w:numId w:val="3"/>
        </w:numPr>
      </w:pPr>
      <w:r>
        <w:t>Appropriates $50,000 from the General Fund to t</w:t>
      </w:r>
      <w:r>
        <w:t xml:space="preserve">he Department of Public Safety to train volunteer fire fighters and emergency response personnel on handling agriculture chemical emergencies. </w:t>
      </w:r>
    </w:p>
    <w:p w:rsidR="00000000" w:rsidRDefault="00981342">
      <w:pPr>
        <w:framePr w:w="497" w:h="425" w:hSpace="180" w:wrap="auto" w:vAnchor="text" w:hAnchor="page" w:x="1497" w:y="439"/>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981342">
      <w:pPr>
        <w:pStyle w:val="textup"/>
      </w:pPr>
      <w:r>
        <w:rPr>
          <w:b/>
        </w:rPr>
        <w:t>Bill Summary</w:t>
      </w:r>
      <w:r>
        <w:tab/>
        <w:t>Copies of the Notes on Bills and Amendments (NOBA) are available from the LFB.</w:t>
      </w:r>
    </w:p>
    <w:p w:rsidR="00000000" w:rsidRDefault="00981342">
      <w:pPr>
        <w:pStyle w:val="Contactup"/>
      </w:pPr>
      <w:r>
        <w:t xml:space="preserve">STAFF CONTACT: </w:t>
      </w:r>
      <w:r>
        <w:t xml:space="preserve"> Sherry Weikum (Ext. 17846)  Deb Kozel (Ext. 16767)</w:t>
      </w:r>
    </w:p>
    <w:p w:rsidR="00000000" w:rsidRDefault="00981342">
      <w:pPr>
        <w:pStyle w:val="Blurbtitle"/>
      </w:pPr>
      <w:bookmarkStart w:id="4" w:name="FU4JWRB"/>
      <w:r>
        <w:t>Economic Development Appropriations Bill - HF 745 Amended and Passed By Senate Appropriations Committee</w:t>
      </w:r>
      <w:bookmarkEnd w:id="4"/>
    </w:p>
    <w:p w:rsidR="00000000" w:rsidRDefault="00981342">
      <w:pPr>
        <w:framePr w:w="501" w:h="1159" w:hSpace="180" w:wrap="around" w:vAnchor="text" w:hAnchor="page" w:x="1497" w:y="70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981342">
      <w:pPr>
        <w:pStyle w:val="textup"/>
      </w:pPr>
      <w:r>
        <w:rPr>
          <w:b/>
        </w:rPr>
        <w:t>Econ. Develop. – HF 745</w:t>
      </w:r>
      <w:r>
        <w:tab/>
        <w:t xml:space="preserve">On April 7, the Senate Appropriations Committee amended and passed the FY </w:t>
      </w:r>
      <w:r>
        <w:t>2000 Economic Development Appropriations Bill, HF 745.  The Bill as amended appropriates $42.5 million from the General Fund and 1,319.9 FTE positions to the Department of Workforce Development, Department of Economic Development, Public Employment Relatio</w:t>
      </w:r>
      <w:r>
        <w:t>ns Board, and several programs at Board of Regents institutions.  This is an increase of $814,000 (2.0%) and 13.8 (1.1%) FTE positions compared to the estimated FY 1999 appropriations.  Changes made to the Bill by the Senate Appropriations Committee includ</w:t>
      </w:r>
      <w:r>
        <w:t>e:</w:t>
      </w:r>
    </w:p>
    <w:p w:rsidR="00000000" w:rsidRDefault="00981342">
      <w:pPr>
        <w:pStyle w:val="bulletup"/>
        <w:numPr>
          <w:ilvl w:val="0"/>
          <w:numId w:val="3"/>
        </w:numPr>
      </w:pPr>
      <w:r>
        <w:t>An increase of 1.0 FTE position for the Institute for Decision Making at the University of Northern Iowa to expand the Institute’s laborshed surveys.</w:t>
      </w:r>
    </w:p>
    <w:p w:rsidR="00000000" w:rsidRDefault="00981342">
      <w:pPr>
        <w:pStyle w:val="bulletup"/>
        <w:numPr>
          <w:ilvl w:val="0"/>
          <w:numId w:val="3"/>
        </w:numPr>
      </w:pPr>
      <w:r>
        <w:t>Additional language requiring the Department of Workforce Development to submit a FY 2001 budget reques</w:t>
      </w:r>
      <w:r>
        <w:t>t to the Economic Development Appropriations Subcommittee showing the revenues, expenditures, and balances for each program within all appropriations and funds under control of the Department.</w:t>
      </w:r>
    </w:p>
    <w:p w:rsidR="00000000" w:rsidRDefault="00981342">
      <w:pPr>
        <w:framePr w:w="497" w:h="425" w:hSpace="180" w:wrap="auto" w:vAnchor="text" w:hAnchor="page" w:x="1497" w:y="481"/>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981342">
      <w:pPr>
        <w:pStyle w:val="textup"/>
      </w:pPr>
      <w:r>
        <w:rPr>
          <w:b/>
        </w:rPr>
        <w:t>Bill Summary</w:t>
      </w:r>
      <w:r>
        <w:tab/>
        <w:t>Copies of the Notes on Bills and Amendments (</w:t>
      </w:r>
      <w:r>
        <w:t>NOBA) are available from the LFB.</w:t>
      </w:r>
    </w:p>
    <w:p w:rsidR="00000000" w:rsidRDefault="00981342">
      <w:pPr>
        <w:pStyle w:val="Contactup"/>
      </w:pPr>
      <w:r>
        <w:t>STAFF CONTACT:  Jeff Robinson (Ext. 14614)</w:t>
      </w:r>
    </w:p>
    <w:p w:rsidR="00000000" w:rsidRDefault="00981342">
      <w:pPr>
        <w:pStyle w:val="Blurbtitle"/>
      </w:pPr>
      <w:bookmarkStart w:id="5" w:name="FU4MASD"/>
      <w:r>
        <w:lastRenderedPageBreak/>
        <w:t>Education Appropriations Bill - SF 464 amended and Passed by the Senate</w:t>
      </w:r>
      <w:bookmarkEnd w:id="5"/>
    </w:p>
    <w:p w:rsidR="00000000" w:rsidRDefault="00981342">
      <w:pPr>
        <w:pStyle w:val="textup"/>
      </w:pPr>
      <w:r>
        <w:rPr>
          <w:b/>
        </w:rPr>
        <w:t>Education – SF 464</w:t>
      </w:r>
      <w:r>
        <w:tab/>
        <w:t xml:space="preserve">On April 6, the Senate amended and passed the FY 2000 Education Appropriations Bill, SF </w:t>
      </w:r>
      <w:r>
        <w:t>464.  Motions to reconsider the Bill were debated and lifted on April 8 and the Bill was then messaged to the House.  Senate File 464, as amended, appropriates a total of $917.3 million and 17,350.0 FTE positions from the General Fund to the College Studen</w:t>
      </w:r>
      <w:r>
        <w:t>t Aid Commission, the Department of Cultural Affairs, the Department of Education, and the Board of Regents.  This is an increase of $20.6 million (2.3%) and 73.9 (0.4%) FTE positions compared to estimated FY 1999.  Funding in the Bill is unchanged from th</w:t>
      </w:r>
      <w:r>
        <w:t>e Senate Appropriations Committee action.  Changes made to the Bill by the Senate include:</w:t>
      </w:r>
    </w:p>
    <w:p w:rsidR="00000000" w:rsidRDefault="00981342">
      <w:pPr>
        <w:framePr w:w="501" w:h="1159" w:hSpace="180" w:wrap="around" w:vAnchor="text" w:hAnchor="page" w:x="1929" w:y="-170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981342">
      <w:pPr>
        <w:pStyle w:val="bulletup"/>
        <w:numPr>
          <w:ilvl w:val="0"/>
          <w:numId w:val="3"/>
        </w:numPr>
      </w:pPr>
      <w:r>
        <w:t>Added language that allows the Indianola School District to correct the student count taken in September of 1998 for their alternative high school program.  The co</w:t>
      </w:r>
      <w:r>
        <w:t xml:space="preserve">st of this change will be reflected in the appropriation for the FY 2000 school aid formula.  The additional State General Fund cost of this amendment is approximately $104,000 for FY 2000.  This change will also increase property tax cost in the District </w:t>
      </w:r>
      <w:r>
        <w:t>by approximately $15,000.  Total cost of the change is approximately $119,000.</w:t>
      </w:r>
    </w:p>
    <w:p w:rsidR="00000000" w:rsidRDefault="00981342">
      <w:pPr>
        <w:pStyle w:val="bulletup"/>
        <w:numPr>
          <w:ilvl w:val="0"/>
          <w:numId w:val="3"/>
        </w:numPr>
      </w:pPr>
      <w:r>
        <w:t>Changed language regarding regional library employees.  The change requires the State Library to report the number of employees and the current salaries of each to the Departmen</w:t>
      </w:r>
      <w:r>
        <w:t>t of Management each year for purposes of determining increased funding required for salary adjustment.</w:t>
      </w:r>
    </w:p>
    <w:p w:rsidR="00000000" w:rsidRDefault="00981342">
      <w:pPr>
        <w:pStyle w:val="bulletup"/>
        <w:numPr>
          <w:ilvl w:val="0"/>
          <w:numId w:val="3"/>
        </w:numPr>
      </w:pPr>
      <w:r>
        <w:rPr>
          <w:noProof/>
        </w:rPr>
        <w:pict>
          <v:shapetype id="_x0000_t202" coordsize="21600,21600" o:spt="202" path="m,l,21600r21600,l21600,xe">
            <v:stroke joinstyle="miter"/>
            <v:path gradientshapeok="t" o:connecttype="rect"/>
          </v:shapetype>
          <v:shape id="_x0000_s1029" type="#_x0000_t202" style="position:absolute;left:0;text-align:left;margin-left:-133.2pt;margin-top:68.7pt;width:86.4pt;height:50.4pt;z-index:251659264;mso-position-horizontal:absolute;mso-position-horizontal-relative:text;mso-position-vertical:absolute;mso-position-vertical-relative:text" o:allowincell="f">
            <v:textbox>
              <w:txbxContent>
                <w:p w:rsidR="00000000" w:rsidRDefault="00981342">
                  <w:r>
                    <w:rPr>
                      <w:noProof/>
                    </w:rPr>
                    <w:drawing>
                      <wp:inline distT="0" distB="0" distL="0" distR="0">
                        <wp:extent cx="876300" cy="5715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876300" cy="571500"/>
                                </a:xfrm>
                                <a:prstGeom prst="rect">
                                  <a:avLst/>
                                </a:prstGeom>
                                <a:noFill/>
                                <a:ln w="9525">
                                  <a:noFill/>
                                  <a:miter lim="800000"/>
                                  <a:headEnd/>
                                  <a:tailEnd/>
                                </a:ln>
                              </pic:spPr>
                            </pic:pic>
                          </a:graphicData>
                        </a:graphic>
                      </wp:inline>
                    </w:drawing>
                  </w:r>
                </w:p>
              </w:txbxContent>
            </v:textbox>
            <w10:wrap type="square"/>
          </v:shape>
        </w:pict>
      </w:r>
      <w:r>
        <w:t xml:space="preserve">Added language that allows regional library employees to be considered part of the pool of State employees for purposes of health and dental coverage. </w:t>
      </w:r>
      <w:r>
        <w:t xml:space="preserve"> The Regional Libraries will still be required to pay the cost of health and dental coverage for their employees from the funds appropriated.  This language allows the Regional Libraries to capitalize on the cost savings, if any, negotiated by the larger p</w:t>
      </w:r>
      <w:r>
        <w:t>ool of State employees.</w:t>
      </w:r>
    </w:p>
    <w:p w:rsidR="00000000" w:rsidRDefault="00981342">
      <w:pPr>
        <w:pStyle w:val="bulletup"/>
        <w:numPr>
          <w:ilvl w:val="0"/>
          <w:numId w:val="3"/>
        </w:numPr>
      </w:pPr>
      <w:r>
        <w:t>Changed language regarding funding for a teacher testing pilot project to be conducted by the Board of Educational Examiners.  The change clarifies that the tests are to be administered at no cost to teacher graduate candidates.  Fu</w:t>
      </w:r>
      <w:r>
        <w:t>nding of $200,000 is provided in the Bill to pay for the cost of the testing.</w:t>
      </w:r>
    </w:p>
    <w:p w:rsidR="00000000" w:rsidRDefault="00981342">
      <w:pPr>
        <w:pStyle w:val="bulletup"/>
        <w:numPr>
          <w:ilvl w:val="0"/>
          <w:numId w:val="3"/>
        </w:numPr>
      </w:pPr>
      <w:r>
        <w:t>Changed language regarding chiropractic forgivable loans.  The change adds Palmer College of Chiropractic to the list of entities involved in determining underserved areas for pu</w:t>
      </w:r>
      <w:r>
        <w:t>rposes of receiving a chiropractic forgivable loan.</w:t>
      </w:r>
    </w:p>
    <w:p w:rsidR="00000000" w:rsidRDefault="00981342">
      <w:pPr>
        <w:framePr w:w="497" w:h="425" w:hSpace="180" w:wrap="auto" w:vAnchor="text" w:hAnchor="page" w:x="1497" w:y="357"/>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981342">
      <w:pPr>
        <w:pStyle w:val="textup"/>
      </w:pPr>
      <w:r>
        <w:rPr>
          <w:b/>
        </w:rPr>
        <w:t>Bill Summary</w:t>
      </w:r>
      <w:r>
        <w:tab/>
        <w:t xml:space="preserve">Copies of the Notes on Bills and Amendments (NOBA) are available from the LFB.  </w:t>
      </w:r>
    </w:p>
    <w:p w:rsidR="00000000" w:rsidRDefault="00981342">
      <w:pPr>
        <w:pStyle w:val="Contactup"/>
      </w:pPr>
      <w:r>
        <w:t>STAFF CONTACT:  Mary Shipman (Ext. 14617)  Paige Piper/Bach (Ext. 17942)</w:t>
      </w:r>
    </w:p>
    <w:p w:rsidR="00000000" w:rsidRDefault="00981342">
      <w:pPr>
        <w:pStyle w:val="Blurbtitle"/>
      </w:pPr>
      <w:bookmarkStart w:id="6" w:name="FU4JDDA"/>
      <w:r>
        <w:t>Health and Human Rights Appropri</w:t>
      </w:r>
      <w:r>
        <w:t xml:space="preserve">ations Bill - HF 737 Passes Senate </w:t>
      </w:r>
      <w:bookmarkEnd w:id="6"/>
    </w:p>
    <w:p w:rsidR="00000000" w:rsidRDefault="00981342">
      <w:pPr>
        <w:framePr w:w="501" w:h="1159" w:hSpace="180" w:wrap="auto" w:vAnchor="text" w:hAnchor="page" w:x="1497" w:y="61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92100" cy="4191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292100" cy="419100"/>
                    </a:xfrm>
                    <a:prstGeom prst="rect">
                      <a:avLst/>
                    </a:prstGeom>
                    <a:noFill/>
                    <a:ln w="9525">
                      <a:noFill/>
                      <a:miter lim="800000"/>
                      <a:headEnd/>
                      <a:tailEnd/>
                    </a:ln>
                  </pic:spPr>
                </pic:pic>
              </a:graphicData>
            </a:graphic>
          </wp:inline>
        </w:drawing>
      </w:r>
    </w:p>
    <w:p w:rsidR="00000000" w:rsidRDefault="00981342">
      <w:pPr>
        <w:pStyle w:val="textup"/>
      </w:pPr>
      <w:r>
        <w:rPr>
          <w:b/>
        </w:rPr>
        <w:t>Health/Human Rts. - HF 737</w:t>
      </w:r>
      <w:r>
        <w:rPr>
          <w:b/>
        </w:rPr>
        <w:tab/>
      </w:r>
      <w:r>
        <w:t>The Health and Human Rights Appropriations Bill, HF 737, was passed by the Senate on April 8.  The Bill makes appropriations to the Department for the Blind, Civil Rights Commission, Departme</w:t>
      </w:r>
      <w:r>
        <w:t xml:space="preserve">nt of Elder Affairs, Governor’s Alliance on Substance Abuse, Department of Public </w:t>
      </w:r>
      <w:r>
        <w:lastRenderedPageBreak/>
        <w:t>Health, Department of Human Rights, Commission of Veterans Affairs, and the Iowa Veterans Home.  The Bill appropriates $91.5 million and 1,445.9 FTE positions, an increase of</w:t>
      </w:r>
      <w:r>
        <w:t xml:space="preserve"> $1.2 million (1.3%) and 102.7 FTE positions (7.5%) compared to estimated FY 1999.   </w:t>
      </w:r>
    </w:p>
    <w:p w:rsidR="00000000" w:rsidRDefault="00981342">
      <w:pPr>
        <w:framePr w:w="497" w:h="425" w:hSpace="180" w:wrap="auto" w:vAnchor="text" w:hAnchor="page" w:x="1497" w:y="285"/>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981342">
      <w:pPr>
        <w:pStyle w:val="textup"/>
      </w:pPr>
      <w:r>
        <w:rPr>
          <w:b/>
        </w:rPr>
        <w:t>Bill Summary</w:t>
      </w:r>
      <w:r>
        <w:tab/>
        <w:t>The Bill returns to the House.  Copies of the Notes on Bills and Amendments (NOBA) are available from the LFB.</w:t>
      </w:r>
    </w:p>
    <w:p w:rsidR="00000000" w:rsidRDefault="00981342">
      <w:pPr>
        <w:pStyle w:val="textup"/>
        <w:pBdr>
          <w:bottom w:val="single" w:sz="4" w:space="1" w:color="auto"/>
        </w:pBdr>
      </w:pPr>
      <w:r>
        <w:tab/>
        <w:t>STAFF CONTACT: Jennifer Dean (Ext. 14613</w:t>
      </w:r>
      <w:r>
        <w:t>) Valerie Thacker (Ext. 15270)</w:t>
      </w:r>
    </w:p>
    <w:p w:rsidR="00000000" w:rsidRDefault="00981342">
      <w:pPr>
        <w:pStyle w:val="Blurbtitle"/>
      </w:pPr>
      <w:bookmarkStart w:id="7" w:name="FU4DAAA"/>
      <w:r>
        <w:t>Human Services Appropriations Bill - HF 760 amended and passed by the House</w:t>
      </w:r>
      <w:bookmarkEnd w:id="7"/>
    </w:p>
    <w:p w:rsidR="00000000" w:rsidRDefault="00981342">
      <w:pPr>
        <w:framePr w:w="501" w:h="1159" w:hSpace="180" w:wrap="around" w:vAnchor="text" w:hAnchor="page" w:x="1497" w:y="82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981342">
      <w:pPr>
        <w:pStyle w:val="textup"/>
      </w:pPr>
      <w:r>
        <w:rPr>
          <w:b/>
        </w:rPr>
        <w:t>Human Services – HF 760</w:t>
      </w:r>
      <w:r>
        <w:tab/>
        <w:t>On April 8, the House amended and passed the FY 2000 Human Services Appropriations Bill, HF 760.  The Bill as amended appro</w:t>
      </w:r>
      <w:r>
        <w:t xml:space="preserve">priates $768.9 million from the General Fund and 5,451.57 FTE positions to the Department of Human Services.  This is an increase of $38.0 million and 0.1 FTE position compared to the estimated FY 1999 appropriation.  Changes made to the Bill by the House </w:t>
      </w:r>
      <w:r>
        <w:t>include:</w:t>
      </w:r>
    </w:p>
    <w:p w:rsidR="00000000" w:rsidRDefault="00981342">
      <w:pPr>
        <w:pStyle w:val="bulletup"/>
        <w:numPr>
          <w:ilvl w:val="0"/>
          <w:numId w:val="13"/>
        </w:numPr>
      </w:pPr>
      <w:r>
        <w:t>Federal Temporary Assistance to Needy Families (TANF) Funding:</w:t>
      </w:r>
    </w:p>
    <w:p w:rsidR="00000000" w:rsidRDefault="00981342">
      <w:pPr>
        <w:pStyle w:val="bulletup1"/>
        <w:numPr>
          <w:ilvl w:val="0"/>
          <w:numId w:val="16"/>
        </w:numPr>
        <w:tabs>
          <w:tab w:val="clear" w:pos="360"/>
          <w:tab w:val="num" w:pos="720"/>
        </w:tabs>
        <w:ind w:left="720"/>
      </w:pPr>
      <w:r>
        <w:t>Added an additional $100,000 appropriation from this federal money for a pilot project for persons adjudicated to receive child welfare services who are 18 years of age and cannot retu</w:t>
      </w:r>
      <w:r>
        <w:t>rn to their parents’ homes.</w:t>
      </w:r>
    </w:p>
    <w:p w:rsidR="00000000" w:rsidRDefault="00981342">
      <w:pPr>
        <w:pStyle w:val="bulletup1"/>
        <w:numPr>
          <w:ilvl w:val="0"/>
          <w:numId w:val="16"/>
        </w:numPr>
        <w:tabs>
          <w:tab w:val="clear" w:pos="360"/>
          <w:tab w:val="num" w:pos="720"/>
        </w:tabs>
        <w:ind w:left="720"/>
      </w:pPr>
      <w:r>
        <w:t>Reclassified $2.1 million of federal TANF allocations to the Family Investment Program and State Child Care Assistance to more appropriately account for the $3.0 million allocation for the Seamless Child Care System.</w:t>
      </w:r>
    </w:p>
    <w:p w:rsidR="00000000" w:rsidRDefault="00981342">
      <w:pPr>
        <w:pStyle w:val="bulletup"/>
        <w:numPr>
          <w:ilvl w:val="0"/>
          <w:numId w:val="15"/>
        </w:numPr>
      </w:pPr>
      <w:r>
        <w:t xml:space="preserve">Use of the </w:t>
      </w:r>
      <w:r>
        <w:t xml:space="preserve">Rebuild Iowa Infrastructure Fund (RIIF) monies:  Added the use of RIIF monies of $213,000 for a technology initiative to provide a Medicaid buy-in for persons with disabilities, contingent upon the passage of SF 211.  Also required that any remaining RIIF </w:t>
      </w:r>
      <w:r>
        <w:t>funds be used for grants and loans to build or renovate licensed child care centers, and that any remaining RIIF money be credited to the RIIF account.</w:t>
      </w:r>
    </w:p>
    <w:p w:rsidR="00000000" w:rsidRDefault="00981342">
      <w:pPr>
        <w:pStyle w:val="bulletup"/>
        <w:numPr>
          <w:ilvl w:val="0"/>
          <w:numId w:val="15"/>
        </w:numPr>
      </w:pPr>
      <w:r>
        <w:t>Medical Assistance (Medicaid):</w:t>
      </w:r>
    </w:p>
    <w:p w:rsidR="00000000" w:rsidRDefault="00981342">
      <w:pPr>
        <w:pStyle w:val="bulletup1"/>
        <w:numPr>
          <w:ilvl w:val="0"/>
          <w:numId w:val="16"/>
        </w:numPr>
        <w:tabs>
          <w:tab w:val="clear" w:pos="360"/>
          <w:tab w:val="num" w:pos="720"/>
        </w:tabs>
        <w:ind w:left="720"/>
      </w:pPr>
      <w:r>
        <w:t>Required the nonfederal share of moneys refunded to the DHS from the mana</w:t>
      </w:r>
      <w:r>
        <w:t>ged mental health and substance abuse care plan be credited to the Medicaid appropriation.  Permitted up to $350,000 of these funds to be used for matching funds for a children’s mental health grant.</w:t>
      </w:r>
    </w:p>
    <w:p w:rsidR="00000000" w:rsidRDefault="00981342">
      <w:pPr>
        <w:pStyle w:val="bulletup1"/>
        <w:numPr>
          <w:ilvl w:val="0"/>
          <w:numId w:val="16"/>
        </w:numPr>
        <w:tabs>
          <w:tab w:val="clear" w:pos="360"/>
          <w:tab w:val="num" w:pos="720"/>
        </w:tabs>
        <w:ind w:left="720"/>
      </w:pPr>
      <w:r>
        <w:t xml:space="preserve">Required DHS to implement the rehabilitation option for </w:t>
      </w:r>
      <w:r>
        <w:t>services to persons with mental illness under Medicaid through use of county funding as a match for federal funding.</w:t>
      </w:r>
    </w:p>
    <w:p w:rsidR="00000000" w:rsidRDefault="00981342">
      <w:pPr>
        <w:framePr w:w="511" w:h="1003" w:hSpace="180" w:wrap="around" w:vAnchor="text" w:hAnchor="page" w:x="1497" w:y="24"/>
        <w:pBdr>
          <w:top w:val="single" w:sz="12" w:space="5" w:color="auto" w:shadow="1"/>
          <w:left w:val="single" w:sz="12" w:space="5" w:color="auto" w:shadow="1"/>
          <w:bottom w:val="single" w:sz="12" w:space="5" w:color="auto" w:shadow="1"/>
          <w:right w:val="single" w:sz="12" w:space="5" w:color="auto" w:shadow="1"/>
        </w:pBdr>
      </w:pPr>
      <w:r>
        <w:object w:dxaOrig="4282" w:dyaOrig="5265">
          <v:shape id="_x0000_i1050" type="#_x0000_t75" style="width:25pt;height:31pt" o:ole="">
            <v:imagedata r:id="rId20" o:title=""/>
          </v:shape>
          <o:OLEObject Type="Embed" ProgID="MS_ClipArt_Gallery" ShapeID="_x0000_i1050" DrawAspect="Content" ObjectID="_1314621658" r:id="rId21"/>
        </w:object>
      </w:r>
    </w:p>
    <w:p w:rsidR="00000000" w:rsidRDefault="00981342">
      <w:pPr>
        <w:pStyle w:val="bulletup1"/>
        <w:numPr>
          <w:ilvl w:val="0"/>
          <w:numId w:val="16"/>
        </w:numPr>
        <w:tabs>
          <w:tab w:val="clear" w:pos="360"/>
          <w:tab w:val="num" w:pos="720"/>
        </w:tabs>
        <w:ind w:left="720"/>
      </w:pPr>
      <w:r>
        <w:t>Required that $130,000 of nursing home penalty funds be used for recruitment and retention strategies for c</w:t>
      </w:r>
      <w:r>
        <w:t>ertified nurse aides in lieu of deposit into the State General Fund.</w:t>
      </w:r>
    </w:p>
    <w:p w:rsidR="00000000" w:rsidRDefault="00981342">
      <w:pPr>
        <w:pStyle w:val="bulletup1"/>
        <w:numPr>
          <w:ilvl w:val="0"/>
          <w:numId w:val="16"/>
        </w:numPr>
        <w:tabs>
          <w:tab w:val="clear" w:pos="360"/>
          <w:tab w:val="num" w:pos="720"/>
        </w:tabs>
        <w:ind w:left="720"/>
      </w:pPr>
      <w:r>
        <w:t>Made changes to the reimbursement methodology and cost reporting for nursing facilities and skilled nursing facilities.</w:t>
      </w:r>
    </w:p>
    <w:p w:rsidR="00000000" w:rsidRDefault="00981342">
      <w:pPr>
        <w:pStyle w:val="bulletup1"/>
        <w:numPr>
          <w:ilvl w:val="0"/>
          <w:numId w:val="16"/>
        </w:numPr>
        <w:tabs>
          <w:tab w:val="clear" w:pos="360"/>
          <w:tab w:val="num" w:pos="720"/>
        </w:tabs>
        <w:ind w:left="720"/>
      </w:pPr>
      <w:r>
        <w:lastRenderedPageBreak/>
        <w:t>Permitted a mid-year adjustment for reimbursement to nursing facili</w:t>
      </w:r>
      <w:r>
        <w:t xml:space="preserve">ties if funds are available from the FY 2000 appropriation. </w:t>
      </w:r>
    </w:p>
    <w:p w:rsidR="00000000" w:rsidRDefault="00981342">
      <w:pPr>
        <w:pStyle w:val="bulletup1"/>
        <w:numPr>
          <w:ilvl w:val="0"/>
          <w:numId w:val="16"/>
        </w:numPr>
        <w:tabs>
          <w:tab w:val="clear" w:pos="360"/>
          <w:tab w:val="num" w:pos="720"/>
        </w:tabs>
        <w:ind w:left="720"/>
      </w:pPr>
      <w:r>
        <w:t>Permitted the use of up to $207,000 of the appropriation for Medicaid to be used for a disease-specific pharmaceutical care management study.</w:t>
      </w:r>
    </w:p>
    <w:p w:rsidR="00000000" w:rsidRDefault="00981342">
      <w:pPr>
        <w:pStyle w:val="bulletup1"/>
        <w:numPr>
          <w:ilvl w:val="0"/>
          <w:numId w:val="16"/>
        </w:numPr>
        <w:tabs>
          <w:tab w:val="clear" w:pos="360"/>
          <w:tab w:val="num" w:pos="720"/>
        </w:tabs>
        <w:ind w:left="720"/>
      </w:pPr>
      <w:r>
        <w:t>Added legislative intent language for the utilization</w:t>
      </w:r>
      <w:r>
        <w:t xml:space="preserve"> of the Resource-Based Relative Value System Methodology (reimbursements) for medical providers for FY 2001.</w:t>
      </w:r>
    </w:p>
    <w:p w:rsidR="00000000" w:rsidRDefault="00981342">
      <w:pPr>
        <w:pStyle w:val="bulletup1"/>
        <w:numPr>
          <w:ilvl w:val="0"/>
          <w:numId w:val="16"/>
        </w:numPr>
        <w:tabs>
          <w:tab w:val="clear" w:pos="360"/>
          <w:tab w:val="num" w:pos="720"/>
        </w:tabs>
        <w:ind w:left="720"/>
      </w:pPr>
      <w:r>
        <w:t>Changed mandatory language regarding expansion of drug prior authorization to permissive language.</w:t>
      </w:r>
    </w:p>
    <w:p w:rsidR="00000000" w:rsidRDefault="00981342">
      <w:pPr>
        <w:pStyle w:val="bulletup1"/>
        <w:numPr>
          <w:ilvl w:val="0"/>
          <w:numId w:val="16"/>
        </w:numPr>
        <w:tabs>
          <w:tab w:val="clear" w:pos="360"/>
          <w:tab w:val="num" w:pos="720"/>
        </w:tabs>
        <w:ind w:left="720"/>
      </w:pPr>
      <w:r>
        <w:t>Required the DHS to conduct a study regarding im</w:t>
      </w:r>
      <w:r>
        <w:t>plementation of a drug product list to promote cost effective use of pharmaceuticals.  A report is required by December 15, 1999.</w:t>
      </w:r>
    </w:p>
    <w:p w:rsidR="00000000" w:rsidRDefault="00981342">
      <w:pPr>
        <w:pStyle w:val="bulletup1"/>
        <w:numPr>
          <w:ilvl w:val="0"/>
          <w:numId w:val="16"/>
        </w:numPr>
        <w:tabs>
          <w:tab w:val="clear" w:pos="360"/>
          <w:tab w:val="num" w:pos="720"/>
        </w:tabs>
        <w:ind w:left="720"/>
      </w:pPr>
      <w:r>
        <w:t>Required the DHS to conduct meetings of the Drug Utilization Review Commission in accordance with the open meetings statute an</w:t>
      </w:r>
      <w:r>
        <w:t>d to implement term limits for specified Commission members.</w:t>
      </w:r>
    </w:p>
    <w:p w:rsidR="00000000" w:rsidRDefault="00981342">
      <w:pPr>
        <w:framePr w:hSpace="180" w:wrap="around" w:vAnchor="text" w:hAnchor="page" w:x="1585" w:y="29"/>
      </w:pPr>
      <w:r>
        <w:rPr>
          <w:noProof/>
        </w:rPr>
        <w:drawing>
          <wp:inline distT="0" distB="0" distL="0" distR="0">
            <wp:extent cx="749300" cy="787400"/>
            <wp:effectExtent l="19050" t="19050" r="50800" b="317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749300" cy="787400"/>
                    </a:xfrm>
                    <a:prstGeom prst="rect">
                      <a:avLst/>
                    </a:prstGeom>
                    <a:noFill/>
                    <a:ln w="19050"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981342">
      <w:pPr>
        <w:pStyle w:val="bulletup"/>
        <w:numPr>
          <w:ilvl w:val="0"/>
          <w:numId w:val="17"/>
        </w:numPr>
      </w:pPr>
      <w:r>
        <w:t>Children’s Health Insurance Program (CHIP):</w:t>
      </w:r>
    </w:p>
    <w:p w:rsidR="00000000" w:rsidRDefault="00981342">
      <w:pPr>
        <w:pStyle w:val="bulletup1"/>
        <w:numPr>
          <w:ilvl w:val="0"/>
          <w:numId w:val="18"/>
        </w:numPr>
        <w:tabs>
          <w:tab w:val="clear" w:pos="360"/>
          <w:tab w:val="num" w:pos="720"/>
        </w:tabs>
        <w:ind w:left="720"/>
      </w:pPr>
      <w:r>
        <w:t xml:space="preserve">Required the DHS to conduct a study of the costs of providing family coverage under the Children’s Health Insurance Program and to issue a report by </w:t>
      </w:r>
      <w:r>
        <w:t>December 15, 1999.</w:t>
      </w:r>
    </w:p>
    <w:p w:rsidR="00000000" w:rsidRDefault="00981342">
      <w:pPr>
        <w:pStyle w:val="bulletup1"/>
        <w:numPr>
          <w:ilvl w:val="0"/>
          <w:numId w:val="18"/>
        </w:numPr>
        <w:tabs>
          <w:tab w:val="clear" w:pos="360"/>
          <w:tab w:val="num" w:pos="720"/>
        </w:tabs>
        <w:ind w:left="720"/>
      </w:pPr>
      <w:r>
        <w:t>Created a trust fund for the Healthy and Well Kids in Iowa (HAWK-I) Program.</w:t>
      </w:r>
    </w:p>
    <w:p w:rsidR="00000000" w:rsidRDefault="00981342">
      <w:pPr>
        <w:pStyle w:val="bulletup"/>
        <w:numPr>
          <w:ilvl w:val="0"/>
          <w:numId w:val="19"/>
        </w:numPr>
      </w:pPr>
      <w:r>
        <w:t>Reduced the FTE positions for the State Mental Health Institute at Cherokee, the Field Operations line-item, and the General Administration line-item to coincid</w:t>
      </w:r>
      <w:r>
        <w:t>e with the reduction in funding compared to estimated FY 1999 for the vacant funded FTE positions.</w:t>
      </w:r>
    </w:p>
    <w:p w:rsidR="00000000" w:rsidRDefault="00981342">
      <w:pPr>
        <w:pStyle w:val="bulletup"/>
        <w:numPr>
          <w:ilvl w:val="0"/>
          <w:numId w:val="19"/>
        </w:numPr>
      </w:pPr>
      <w:r>
        <w:t>Added language to use the funds available from the federal Disproportionate Share Program ($4.5 million) in lieu of deposit into the State General Fund to be</w:t>
      </w:r>
      <w:r>
        <w:t xml:space="preserve"> used to replace any reduction in the federal financial participation amount for rehabilitation services within the Child and Family Services appropriations line-item.  In addition, permitted the Director of the DHS to use up to $600,000 of the State Gener</w:t>
      </w:r>
      <w:r>
        <w:t>al Fund appropriation for the Child and Family Services line-item to implement recommendations of the Child Welfare Services Work Group.</w:t>
      </w:r>
    </w:p>
    <w:p w:rsidR="00000000" w:rsidRDefault="00981342">
      <w:pPr>
        <w:pStyle w:val="bulletup"/>
        <w:numPr>
          <w:ilvl w:val="0"/>
          <w:numId w:val="19"/>
        </w:numPr>
      </w:pPr>
      <w:r>
        <w:t xml:space="preserve">Increased the appropriation for the State Training School at Eldora by $40,000, for aftercare services for persons who </w:t>
      </w:r>
      <w:r>
        <w:t>were placed at the School.</w:t>
      </w:r>
    </w:p>
    <w:p w:rsidR="00000000" w:rsidRDefault="00981342">
      <w:pPr>
        <w:pStyle w:val="bulletup"/>
        <w:numPr>
          <w:ilvl w:val="0"/>
          <w:numId w:val="19"/>
        </w:numPr>
      </w:pPr>
      <w:r>
        <w:t>Added a requirement that DHS issue a request for proposal for developmental disabilities grants.</w:t>
      </w:r>
    </w:p>
    <w:p w:rsidR="00000000" w:rsidRDefault="00981342">
      <w:pPr>
        <w:pStyle w:val="bulletup"/>
        <w:numPr>
          <w:ilvl w:val="0"/>
          <w:numId w:val="19"/>
        </w:numPr>
      </w:pPr>
      <w:r>
        <w:t>Specified the distribution methodology for the $2.0 million increase for the purchase of service (POS) contracts to local providers.</w:t>
      </w:r>
    </w:p>
    <w:p w:rsidR="00000000" w:rsidRDefault="00981342">
      <w:pPr>
        <w:pStyle w:val="bulletup"/>
        <w:numPr>
          <w:ilvl w:val="0"/>
          <w:numId w:val="19"/>
        </w:numPr>
      </w:pPr>
      <w:r>
        <w:t>Added an appropriation of $60,000 for Reactive Attachment Disorder Training.</w:t>
      </w:r>
    </w:p>
    <w:p w:rsidR="00000000" w:rsidRDefault="00981342">
      <w:pPr>
        <w:pStyle w:val="bulletup"/>
        <w:numPr>
          <w:ilvl w:val="0"/>
          <w:numId w:val="20"/>
        </w:numPr>
      </w:pPr>
      <w:r>
        <w:t>Added studies and reports, including:</w:t>
      </w:r>
    </w:p>
    <w:p w:rsidR="00000000" w:rsidRDefault="00981342">
      <w:pPr>
        <w:framePr w:w="792" w:h="864" w:hSpace="187" w:wrap="around" w:vAnchor="text" w:hAnchor="page" w:x="1634" w:y="211"/>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495300" cy="5080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981342">
      <w:pPr>
        <w:pStyle w:val="BodyText"/>
        <w:framePr w:wrap="around" w:vAnchor="text" w:x="1634" w:y="211"/>
        <w:rPr>
          <w:b/>
        </w:rPr>
      </w:pPr>
      <w:r>
        <w:rPr>
          <w:b/>
        </w:rPr>
        <w:t>Studies &amp; Reports</w:t>
      </w:r>
    </w:p>
    <w:p w:rsidR="00000000" w:rsidRDefault="00981342">
      <w:pPr>
        <w:pStyle w:val="bulletup1"/>
        <w:numPr>
          <w:ilvl w:val="0"/>
          <w:numId w:val="21"/>
        </w:numPr>
        <w:tabs>
          <w:tab w:val="clear" w:pos="360"/>
          <w:tab w:val="num" w:pos="720"/>
        </w:tabs>
        <w:ind w:left="720"/>
      </w:pPr>
      <w:r>
        <w:t>Required the DHS to study the adoption system and issue a report by December 15, 1999.</w:t>
      </w:r>
    </w:p>
    <w:p w:rsidR="00000000" w:rsidRDefault="00981342">
      <w:pPr>
        <w:pStyle w:val="bulletup1"/>
        <w:numPr>
          <w:ilvl w:val="0"/>
          <w:numId w:val="21"/>
        </w:numPr>
        <w:tabs>
          <w:tab w:val="clear" w:pos="360"/>
          <w:tab w:val="num" w:pos="720"/>
        </w:tabs>
        <w:ind w:left="720"/>
      </w:pPr>
      <w:r>
        <w:t>Requested the Legislative Council</w:t>
      </w:r>
      <w:r>
        <w:t xml:space="preserve"> to create a Human Services Restructuring Task Force, and if created, to issue a report prior to January 10, 2000.</w:t>
      </w:r>
    </w:p>
    <w:p w:rsidR="00000000" w:rsidRDefault="00981342">
      <w:pPr>
        <w:pStyle w:val="bulletup1"/>
        <w:numPr>
          <w:ilvl w:val="0"/>
          <w:numId w:val="21"/>
        </w:numPr>
        <w:tabs>
          <w:tab w:val="clear" w:pos="360"/>
          <w:tab w:val="num" w:pos="720"/>
        </w:tabs>
        <w:ind w:left="720"/>
      </w:pPr>
      <w:r>
        <w:t xml:space="preserve">Required the DHS to maximize federal funding from the federal Title IV-E Program and to issue a quarterly report. </w:t>
      </w:r>
    </w:p>
    <w:p w:rsidR="00000000" w:rsidRDefault="00981342">
      <w:pPr>
        <w:pStyle w:val="bulletup"/>
        <w:numPr>
          <w:ilvl w:val="0"/>
          <w:numId w:val="22"/>
        </w:numPr>
      </w:pPr>
      <w:r>
        <w:t>Other:</w:t>
      </w:r>
    </w:p>
    <w:p w:rsidR="00000000" w:rsidRDefault="00981342">
      <w:pPr>
        <w:pStyle w:val="bulletup1"/>
        <w:numPr>
          <w:ilvl w:val="0"/>
          <w:numId w:val="23"/>
        </w:numPr>
        <w:tabs>
          <w:tab w:val="clear" w:pos="360"/>
          <w:tab w:val="num" w:pos="720"/>
        </w:tabs>
        <w:ind w:left="720"/>
      </w:pPr>
      <w:r>
        <w:t>Eliminated language</w:t>
      </w:r>
      <w:r>
        <w:t xml:space="preserve"> which required that any contract entered into by DHS which exceeded $150,000 include a penalty for nonperformance.</w:t>
      </w:r>
    </w:p>
    <w:p w:rsidR="00000000" w:rsidRDefault="00981342">
      <w:pPr>
        <w:pStyle w:val="bulletup1"/>
        <w:numPr>
          <w:ilvl w:val="0"/>
          <w:numId w:val="23"/>
        </w:numPr>
        <w:tabs>
          <w:tab w:val="clear" w:pos="360"/>
          <w:tab w:val="num" w:pos="720"/>
        </w:tabs>
        <w:ind w:left="720"/>
      </w:pPr>
      <w:r>
        <w:t>Made various corrections and clarifications.</w:t>
      </w:r>
    </w:p>
    <w:p w:rsidR="00000000" w:rsidRDefault="00981342">
      <w:pPr>
        <w:framePr w:w="497" w:h="425" w:hSpace="180" w:wrap="auto" w:vAnchor="text" w:hAnchor="page" w:x="1497" w:y="390"/>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981342">
      <w:pPr>
        <w:pStyle w:val="textup"/>
      </w:pPr>
      <w:r>
        <w:rPr>
          <w:b/>
        </w:rPr>
        <w:t>Bill Summary</w:t>
      </w:r>
      <w:r>
        <w:tab/>
        <w:t>Copies of the Notes on Bills and Amendments (NOBA) are available from the LFB</w:t>
      </w:r>
      <w:r>
        <w:t>.</w:t>
      </w:r>
    </w:p>
    <w:p w:rsidR="00000000" w:rsidRDefault="00981342">
      <w:pPr>
        <w:pStyle w:val="Contactup"/>
      </w:pPr>
      <w:r>
        <w:t>STAFF CONTACT:  Deb Anderson (Ext. 16764)  Sue Lerdal  (Ext. 17794)</w:t>
      </w:r>
    </w:p>
    <w:p w:rsidR="00000000" w:rsidRDefault="00981342">
      <w:pPr>
        <w:pStyle w:val="Blurbtitle"/>
      </w:pPr>
      <w:bookmarkStart w:id="8" w:name="FU4MDFB"/>
      <w:r>
        <w:t>Justice System Appropriations Bill  - SF 468 Passes Senate</w:t>
      </w:r>
      <w:bookmarkEnd w:id="8"/>
    </w:p>
    <w:p w:rsidR="00000000" w:rsidRDefault="00981342">
      <w:pPr>
        <w:framePr w:w="501" w:h="1159" w:hSpace="180" w:wrap="around" w:vAnchor="text" w:hAnchor="page" w:x="1497" w:y="64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981342">
      <w:pPr>
        <w:pStyle w:val="textup"/>
      </w:pPr>
      <w:r>
        <w:rPr>
          <w:b/>
        </w:rPr>
        <w:t>Justice System</w:t>
      </w:r>
      <w:r>
        <w:tab/>
        <w:t>The Justice System Appropriations Bill, SF 468, was amended and passed by the Senate on April 7.  The Bill mak</w:t>
      </w:r>
      <w:r>
        <w:t>es appropriations to the Departments of Justice, Corrections, Inspections and Appeals, Public Defense, and Public Safety, and to the Parole Board, the Judicial Branch, and the Iowa Law Enforcement Academy.  The Bill appropriates $457.9 million from the Gen</w:t>
      </w:r>
      <w:r>
        <w:t>eral Fund and 7,879.7 FTE positions.  This is an increase of $29.8 million (7.0%) and 335.4 FTE positions (4.7%) compared to the estimated FY 1999 appropriations.</w:t>
      </w:r>
    </w:p>
    <w:p w:rsidR="00000000" w:rsidRDefault="00981342">
      <w:pPr>
        <w:pStyle w:val="textup"/>
      </w:pPr>
      <w:r>
        <w:rPr>
          <w:b/>
        </w:rPr>
        <w:t>Senate Action</w:t>
      </w:r>
      <w:r>
        <w:tab/>
        <w:t>The changes to the Bill made on the Senate floor include:</w:t>
      </w:r>
    </w:p>
    <w:p w:rsidR="00000000" w:rsidRDefault="00981342">
      <w:pPr>
        <w:pStyle w:val="bulletup"/>
        <w:numPr>
          <w:ilvl w:val="0"/>
          <w:numId w:val="3"/>
        </w:numPr>
      </w:pPr>
      <w:r>
        <w:t>Funding reductions:</w:t>
      </w:r>
    </w:p>
    <w:p w:rsidR="00000000" w:rsidRDefault="00981342">
      <w:pPr>
        <w:pStyle w:val="bulletup1"/>
        <w:numPr>
          <w:ilvl w:val="0"/>
          <w:numId w:val="1"/>
        </w:numPr>
        <w:ind w:left="810"/>
      </w:pPr>
      <w:r>
        <w:t>A</w:t>
      </w:r>
      <w:r>
        <w:t>n across-the-board 20.0% reduction for office supplies, totaling $1.0 million.</w:t>
      </w:r>
    </w:p>
    <w:p w:rsidR="00000000" w:rsidRDefault="00981342">
      <w:pPr>
        <w:pStyle w:val="bulletup1"/>
        <w:numPr>
          <w:ilvl w:val="0"/>
          <w:numId w:val="1"/>
        </w:numPr>
        <w:ind w:left="810"/>
      </w:pPr>
      <w:r>
        <w:t>An across-the-board 20.0% reduction for office equipment, totaling $405,000.</w:t>
      </w:r>
    </w:p>
    <w:p w:rsidR="00000000" w:rsidRDefault="00981342">
      <w:pPr>
        <w:pStyle w:val="bulletup1"/>
        <w:numPr>
          <w:ilvl w:val="0"/>
          <w:numId w:val="1"/>
        </w:numPr>
        <w:ind w:left="810"/>
      </w:pPr>
      <w:r>
        <w:t xml:space="preserve">A decrease of $1.5 million for the Indigent Defense Fund.  The reduction is to be offset by funding </w:t>
      </w:r>
      <w:r>
        <w:t>from the Civil Reparations Trust Fund.</w:t>
      </w:r>
    </w:p>
    <w:p w:rsidR="00000000" w:rsidRDefault="00981342">
      <w:pPr>
        <w:pStyle w:val="bulletup"/>
        <w:numPr>
          <w:ilvl w:val="0"/>
          <w:numId w:val="3"/>
        </w:numPr>
      </w:pPr>
      <w:r>
        <w:t>Funding increases:</w:t>
      </w:r>
    </w:p>
    <w:p w:rsidR="00000000" w:rsidRDefault="00981342">
      <w:pPr>
        <w:pStyle w:val="bulletup1"/>
        <w:numPr>
          <w:ilvl w:val="0"/>
          <w:numId w:val="1"/>
        </w:numPr>
        <w:ind w:left="810"/>
        <w:rPr>
          <w:u w:val="single"/>
        </w:rPr>
      </w:pPr>
      <w:r>
        <w:rPr>
          <w:u w:val="single"/>
        </w:rPr>
        <w:t>Attorney General</w:t>
      </w:r>
    </w:p>
    <w:p w:rsidR="00000000" w:rsidRDefault="00981342">
      <w:pPr>
        <w:pStyle w:val="bulletup2"/>
        <w:numPr>
          <w:ilvl w:val="0"/>
          <w:numId w:val="1"/>
        </w:numPr>
        <w:ind w:left="1080"/>
      </w:pPr>
      <w:r>
        <w:t>$190,000 for Victim Assistance Grants.</w:t>
      </w:r>
    </w:p>
    <w:p w:rsidR="00000000" w:rsidRDefault="00981342">
      <w:pPr>
        <w:pStyle w:val="bulletup1"/>
        <w:numPr>
          <w:ilvl w:val="0"/>
          <w:numId w:val="1"/>
        </w:numPr>
        <w:ind w:left="1080"/>
      </w:pPr>
      <w:r>
        <w:t>$50,000 for the Legal Services Poverty Grant Program.</w:t>
      </w:r>
    </w:p>
    <w:p w:rsidR="00000000" w:rsidRDefault="00981342">
      <w:pPr>
        <w:framePr w:w="1066" w:h="1003" w:hSpace="180" w:wrap="around" w:vAnchor="text" w:hAnchor="page" w:x="1521" w:y="340"/>
        <w:pBdr>
          <w:top w:val="single" w:sz="6" w:space="1" w:color="auto" w:shadow="1"/>
          <w:left w:val="single" w:sz="6" w:space="1" w:color="auto" w:shadow="1"/>
          <w:bottom w:val="single" w:sz="6" w:space="1" w:color="auto" w:shadow="1"/>
          <w:right w:val="single" w:sz="6" w:space="1" w:color="auto" w:shadow="1"/>
        </w:pBdr>
      </w:pPr>
      <w:r>
        <w:rPr>
          <w:noProof/>
        </w:rPr>
        <w:lastRenderedPageBreak/>
        <w:drawing>
          <wp:inline distT="0" distB="0" distL="0" distR="0">
            <wp:extent cx="673100" cy="5080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981342">
      <w:pPr>
        <w:pStyle w:val="bulletup1"/>
        <w:numPr>
          <w:ilvl w:val="0"/>
          <w:numId w:val="1"/>
        </w:numPr>
        <w:ind w:left="810"/>
        <w:rPr>
          <w:u w:val="single"/>
        </w:rPr>
      </w:pPr>
      <w:r>
        <w:rPr>
          <w:u w:val="single"/>
        </w:rPr>
        <w:t>Department of Corrections</w:t>
      </w:r>
    </w:p>
    <w:p w:rsidR="00000000" w:rsidRDefault="00981342">
      <w:pPr>
        <w:pStyle w:val="bulletup2"/>
        <w:numPr>
          <w:ilvl w:val="0"/>
          <w:numId w:val="1"/>
        </w:numPr>
        <w:ind w:left="1080"/>
      </w:pPr>
      <w:r>
        <w:t>$986,000 for Mitchellville to allow the prison addition to o</w:t>
      </w:r>
      <w:r>
        <w:t>pen on schedule.</w:t>
      </w:r>
    </w:p>
    <w:p w:rsidR="00000000" w:rsidRDefault="00981342">
      <w:pPr>
        <w:pStyle w:val="bulletup2"/>
        <w:numPr>
          <w:ilvl w:val="0"/>
          <w:numId w:val="1"/>
        </w:numPr>
        <w:ind w:left="1080"/>
      </w:pPr>
      <w:r>
        <w:t>$700,000 for Ft. Dodge to allow the prison addition to open in January (one month delay).</w:t>
      </w:r>
    </w:p>
    <w:p w:rsidR="00000000" w:rsidRDefault="00981342">
      <w:pPr>
        <w:pStyle w:val="bulletup2"/>
        <w:numPr>
          <w:ilvl w:val="0"/>
          <w:numId w:val="1"/>
        </w:numPr>
        <w:ind w:left="1080"/>
      </w:pPr>
      <w:r>
        <w:t>$742,000 for direct variable costs to fund inmate support associated with the growing inmate population.</w:t>
      </w:r>
    </w:p>
    <w:p w:rsidR="00000000" w:rsidRDefault="00981342">
      <w:pPr>
        <w:pStyle w:val="bulletup2"/>
        <w:numPr>
          <w:ilvl w:val="0"/>
          <w:numId w:val="1"/>
        </w:numPr>
        <w:ind w:left="1080"/>
      </w:pPr>
      <w:r>
        <w:t xml:space="preserve">$38,000 for computer technology upgrades at </w:t>
      </w:r>
      <w:r>
        <w:t>the prisons.</w:t>
      </w:r>
    </w:p>
    <w:p w:rsidR="00000000" w:rsidRDefault="00981342">
      <w:pPr>
        <w:pStyle w:val="bulletup2"/>
        <w:numPr>
          <w:ilvl w:val="0"/>
          <w:numId w:val="1"/>
        </w:numPr>
        <w:ind w:left="1080"/>
      </w:pPr>
      <w:r>
        <w:t>$58,000 for probation/parole officers to supervise medium and high risk offenders.</w:t>
      </w:r>
    </w:p>
    <w:p w:rsidR="00000000" w:rsidRDefault="00981342">
      <w:pPr>
        <w:pStyle w:val="bulletup2"/>
        <w:numPr>
          <w:ilvl w:val="0"/>
          <w:numId w:val="1"/>
        </w:numPr>
        <w:ind w:left="1080"/>
      </w:pPr>
      <w:r>
        <w:t>$173,000 for Community-Based Corrections residential facility staffing.</w:t>
      </w:r>
    </w:p>
    <w:p w:rsidR="00000000" w:rsidRDefault="00981342">
      <w:pPr>
        <w:pStyle w:val="bulletup2"/>
        <w:numPr>
          <w:ilvl w:val="0"/>
          <w:numId w:val="0"/>
        </w:numPr>
        <w:ind w:left="720"/>
      </w:pPr>
    </w:p>
    <w:p w:rsidR="00000000" w:rsidRDefault="00981342">
      <w:pPr>
        <w:pStyle w:val="bulletup"/>
        <w:numPr>
          <w:ilvl w:val="0"/>
          <w:numId w:val="3"/>
        </w:numPr>
      </w:pPr>
      <w:r>
        <w:t>Other Changes:</w:t>
      </w:r>
    </w:p>
    <w:p w:rsidR="00000000" w:rsidRDefault="00981342">
      <w:pPr>
        <w:pStyle w:val="bulletup1"/>
        <w:numPr>
          <w:ilvl w:val="0"/>
          <w:numId w:val="1"/>
        </w:numPr>
        <w:ind w:left="810"/>
      </w:pPr>
      <w:r>
        <w:t>Permits remaining FY 1999 funding for perimeter fencing at the Mt. Pleas</w:t>
      </w:r>
      <w:r>
        <w:t>ant institution to be used for other physical plant improvements.</w:t>
      </w:r>
    </w:p>
    <w:p w:rsidR="00000000" w:rsidRDefault="00981342">
      <w:pPr>
        <w:pStyle w:val="bulletup1"/>
        <w:numPr>
          <w:ilvl w:val="0"/>
          <w:numId w:val="1"/>
        </w:numPr>
        <w:ind w:left="810"/>
      </w:pPr>
      <w:r>
        <w:t>Requires the Department of Corrections to evaluate and report on the privatized medical services the Ft. Madison, including a comparison to the services provided at the other prisons.</w:t>
      </w:r>
    </w:p>
    <w:p w:rsidR="00000000" w:rsidRDefault="00981342">
      <w:pPr>
        <w:framePr w:w="497" w:h="425" w:hSpace="180" w:wrap="auto" w:vAnchor="text" w:hAnchor="page" w:x="1353" w:y="460"/>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981342">
      <w:pPr>
        <w:pStyle w:val="textup"/>
      </w:pPr>
      <w:r>
        <w:rPr>
          <w:b/>
        </w:rPr>
        <w:t>B</w:t>
      </w:r>
      <w:r>
        <w:rPr>
          <w:b/>
        </w:rPr>
        <w:t>ill Summary</w:t>
      </w:r>
      <w:r>
        <w:tab/>
        <w:t>Copies of the Notes on Bills and Amendments (NOBA) are available from the LFB.</w:t>
      </w:r>
    </w:p>
    <w:p w:rsidR="00000000" w:rsidRDefault="00981342">
      <w:pPr>
        <w:pStyle w:val="Contactup"/>
        <w:ind w:right="-450"/>
      </w:pPr>
      <w:r>
        <w:t>STAFF CONTACT:  Dwayne Ferguson (Ext. 16561)  Christina Schaefer (Ext. 16301)</w:t>
      </w:r>
    </w:p>
    <w:p w:rsidR="00000000" w:rsidRDefault="00981342">
      <w:pPr>
        <w:pStyle w:val="Blurbtitle"/>
      </w:pPr>
      <w:bookmarkStart w:id="9" w:name="FU4DPWA"/>
      <w:r>
        <w:t>Oversight and Communications Appropriations Bill - HF 762 Passes House Appropriaitons C</w:t>
      </w:r>
      <w:r>
        <w:t>ommittee</w:t>
      </w:r>
      <w:bookmarkEnd w:id="9"/>
    </w:p>
    <w:p w:rsidR="00000000" w:rsidRDefault="00981342">
      <w:pPr>
        <w:framePr w:w="979" w:h="1009" w:hSpace="180" w:wrap="around" w:vAnchor="text" w:hAnchor="page" w:x="1497" w:y="623"/>
        <w:pBdr>
          <w:top w:val="single" w:sz="12" w:space="5" w:color="auto" w:shadow="1"/>
          <w:left w:val="single" w:sz="12" w:space="5" w:color="auto" w:shadow="1"/>
          <w:bottom w:val="single" w:sz="12" w:space="5" w:color="auto" w:shadow="1"/>
          <w:right w:val="single" w:sz="12" w:space="5" w:color="auto" w:shadow="1"/>
        </w:pBdr>
      </w:pPr>
      <w:r>
        <w:object w:dxaOrig="941" w:dyaOrig="701">
          <v:shape id="_x0000_i1043" type="#_x0000_t75" style="width:47pt;height:35pt" o:ole="" fillcolor="window">
            <v:imagedata r:id="rId25" o:title=""/>
          </v:shape>
          <o:OLEObject Type="Embed" ProgID="Word.Picture.8" ShapeID="_x0000_i1043" DrawAspect="Content" ObjectID="_1314621659" r:id="rId26"/>
        </w:object>
      </w:r>
    </w:p>
    <w:p w:rsidR="00000000" w:rsidRDefault="00981342">
      <w:pPr>
        <w:pStyle w:val="textup"/>
      </w:pPr>
      <w:r>
        <w:rPr>
          <w:b/>
        </w:rPr>
        <w:t xml:space="preserve">Oversight/Comm. – HF 762 </w:t>
      </w:r>
      <w:r>
        <w:tab/>
        <w:t>The House Appropriations Committee met April 5 and passed HF 762, the Oversight and Communications Appropriations Bill.  The Bill makes appropriations to the Iowa Telecommunications and Technol</w:t>
      </w:r>
      <w:r>
        <w:t>ogy Commission, Information Technology Services Division of the Department of General Services, Iowa Public Television, and the Treasurer of State.  The Bill appropriates $23.5 million from the General Fund and 264.6 FTE positions, a decrease of $57,000 (0</w:t>
      </w:r>
      <w:r>
        <w:t>.2%) and 2.4 FTE positions compared to estimated FY 1999.</w:t>
      </w:r>
    </w:p>
    <w:p w:rsidR="00000000" w:rsidRDefault="00981342">
      <w:pPr>
        <w:pStyle w:val="textup"/>
      </w:pPr>
      <w:r>
        <w:rPr>
          <w:b/>
        </w:rPr>
        <w:t>House Approp. Action</w:t>
      </w:r>
      <w:r>
        <w:tab/>
        <w:t>Changes made to the Bill by the House Appropriations Committee include:</w:t>
      </w:r>
    </w:p>
    <w:p w:rsidR="00000000" w:rsidRDefault="00981342">
      <w:pPr>
        <w:pStyle w:val="bulletup"/>
        <w:numPr>
          <w:ilvl w:val="0"/>
          <w:numId w:val="24"/>
        </w:numPr>
      </w:pPr>
      <w:r>
        <w:t>Adding a $50,000 allocation from the Reversion Technology Initiatives Account to the Department of Inspec</w:t>
      </w:r>
      <w:r>
        <w:t>tions and Appeals to implement a report card for State licensed health care facilities.</w:t>
      </w:r>
    </w:p>
    <w:p w:rsidR="00000000" w:rsidRDefault="00981342">
      <w:pPr>
        <w:framePr w:w="1137" w:h="1117" w:hSpace="180" w:wrap="around" w:vAnchor="text" w:hAnchor="page" w:x="1377" w:y="489"/>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1200" cy="5334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srcRect/>
                    <a:stretch>
                      <a:fillRect/>
                    </a:stretch>
                  </pic:blipFill>
                  <pic:spPr bwMode="auto">
                    <a:xfrm>
                      <a:off x="0" y="0"/>
                      <a:ext cx="711200" cy="533400"/>
                    </a:xfrm>
                    <a:prstGeom prst="rect">
                      <a:avLst/>
                    </a:prstGeom>
                    <a:noFill/>
                    <a:ln w="9525">
                      <a:noFill/>
                      <a:miter lim="800000"/>
                      <a:headEnd/>
                      <a:tailEnd/>
                    </a:ln>
                  </pic:spPr>
                </pic:pic>
              </a:graphicData>
            </a:graphic>
          </wp:inline>
        </w:drawing>
      </w:r>
    </w:p>
    <w:p w:rsidR="00000000" w:rsidRDefault="00981342">
      <w:pPr>
        <w:pStyle w:val="bulletup"/>
        <w:numPr>
          <w:ilvl w:val="0"/>
          <w:numId w:val="24"/>
        </w:numPr>
      </w:pPr>
      <w:r>
        <w:t>Adding nonreversion language to the allocation to Iowa Public Television from the Reversion Technology Initiatives Account for the conversion to high definition telev</w:t>
      </w:r>
      <w:r>
        <w:t>ision transmission.</w:t>
      </w:r>
    </w:p>
    <w:p w:rsidR="00000000" w:rsidRDefault="00981342">
      <w:pPr>
        <w:pStyle w:val="bulletup"/>
        <w:numPr>
          <w:ilvl w:val="0"/>
          <w:numId w:val="24"/>
        </w:numPr>
      </w:pPr>
      <w:r>
        <w:t>Reducing a seven-year exemption to a one-year exemption that allows the costs of maintenance and leases for connections to the Iowa Communications Network to be paid for from the Rebuild Iowa Infrastructure Fund.</w:t>
      </w:r>
    </w:p>
    <w:p w:rsidR="00000000" w:rsidRDefault="00981342">
      <w:pPr>
        <w:pStyle w:val="bulletup"/>
        <w:numPr>
          <w:ilvl w:val="0"/>
          <w:numId w:val="24"/>
        </w:numPr>
      </w:pPr>
      <w:r>
        <w:lastRenderedPageBreak/>
        <w:t>Eliminated 2.4 FTE posi</w:t>
      </w:r>
      <w:r>
        <w:t>tions from the Information Technology Services Division which had been vacant and funded for over 12 months.</w:t>
      </w:r>
    </w:p>
    <w:p w:rsidR="00000000" w:rsidRDefault="00981342">
      <w:pPr>
        <w:pStyle w:val="bulletup"/>
        <w:numPr>
          <w:ilvl w:val="0"/>
          <w:numId w:val="24"/>
        </w:numPr>
      </w:pPr>
      <w:r>
        <w:t>Amended Division II of the Bill codifying the IowAccess Network to:</w:t>
      </w:r>
    </w:p>
    <w:p w:rsidR="00000000" w:rsidRDefault="00981342">
      <w:pPr>
        <w:pStyle w:val="bulletup1"/>
        <w:numPr>
          <w:ilvl w:val="0"/>
          <w:numId w:val="25"/>
        </w:numPr>
      </w:pPr>
      <w:r>
        <w:t xml:space="preserve"> Create the IowAccess Revolving Fund.</w:t>
      </w:r>
    </w:p>
    <w:p w:rsidR="00000000" w:rsidRDefault="00981342">
      <w:pPr>
        <w:pStyle w:val="bulletup1"/>
        <w:numPr>
          <w:ilvl w:val="0"/>
          <w:numId w:val="25"/>
        </w:numPr>
      </w:pPr>
      <w:r>
        <w:t xml:space="preserve"> Provide the IowAccess Board, rather than</w:t>
      </w:r>
      <w:r>
        <w:t xml:space="preserve"> the Network Manager, with the authority to approve fees and control expenditures from the IowAccess Revolving Fund.</w:t>
      </w:r>
    </w:p>
    <w:p w:rsidR="00000000" w:rsidRDefault="00981342">
      <w:pPr>
        <w:pStyle w:val="bulletup1"/>
        <w:numPr>
          <w:ilvl w:val="0"/>
          <w:numId w:val="25"/>
        </w:numPr>
      </w:pPr>
      <w:r>
        <w:t xml:space="preserve"> Require reports from the Board related to expenditures from the fund be submitted to the General Assembly and the Legislative Fiscal Burea</w:t>
      </w:r>
      <w:r>
        <w:t>u.</w:t>
      </w:r>
    </w:p>
    <w:p w:rsidR="00000000" w:rsidRDefault="00981342">
      <w:pPr>
        <w:framePr w:w="497" w:h="425" w:hSpace="180" w:wrap="auto" w:vAnchor="text" w:hAnchor="page" w:x="1497" w:y="565"/>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981342">
      <w:pPr>
        <w:pStyle w:val="textup"/>
      </w:pPr>
      <w:r>
        <w:rPr>
          <w:b/>
        </w:rPr>
        <w:t>Bill Summary</w:t>
      </w:r>
      <w:r>
        <w:tab/>
        <w:t>Copies of the Notes on Bills and Amendments (NOBA) are available from the LFB.</w:t>
      </w:r>
    </w:p>
    <w:p w:rsidR="00000000" w:rsidRDefault="00981342">
      <w:pPr>
        <w:pStyle w:val="Contactup"/>
      </w:pPr>
      <w:r>
        <w:t>STAFF CONTACT:  Douglas Wulf (Ext. 13250)  Glen Dickinson (Ext. 14616)</w:t>
      </w:r>
    </w:p>
    <w:p w:rsidR="00000000" w:rsidRDefault="00981342">
      <w:pPr>
        <w:pStyle w:val="Blurbtitle"/>
      </w:pPr>
      <w:bookmarkStart w:id="10" w:name="FU4DLRC"/>
      <w:r>
        <w:t>Transportation Appropriations Bill</w:t>
      </w:r>
      <w:bookmarkEnd w:id="10"/>
      <w:r>
        <w:t xml:space="preserve"> -  SF 424 Passes House Appropriations Committee</w:t>
      </w:r>
    </w:p>
    <w:p w:rsidR="00000000" w:rsidRDefault="00981342">
      <w:pPr>
        <w:framePr w:w="501" w:h="1159" w:hSpace="180" w:wrap="around" w:vAnchor="text" w:hAnchor="page" w:x="1497" w:y="82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981342">
      <w:pPr>
        <w:pStyle w:val="textup"/>
      </w:pPr>
      <w:r>
        <w:rPr>
          <w:b/>
        </w:rPr>
        <w:t>Transportation – SF 424</w:t>
      </w:r>
      <w:r>
        <w:tab/>
        <w:t>The House Appropriations Committee passed the Transportation Appropriations Bill, SF 424, on April 7.  The Bill, as amended, appropriates a total of $259.6 million and 3,833.5 FTE positions for FY 2000 to the Department of Transport</w:t>
      </w:r>
      <w:r>
        <w:t>ation (DOT).  This represents an increase of $5.5 million (2.2%) and a decrease of 37.5 FTE positions compared to FY 1999.  The following table shows the total funding for SF 424, as amended, by funding source:</w:t>
      </w:r>
    </w:p>
    <w:tbl>
      <w:tblPr>
        <w:tblW w:w="0" w:type="auto"/>
        <w:jc w:val="center"/>
        <w:tblLayout w:type="fixed"/>
        <w:tblCellMar>
          <w:left w:w="30" w:type="dxa"/>
          <w:right w:w="30" w:type="dxa"/>
        </w:tblCellMar>
        <w:tblLook w:val="0000"/>
      </w:tblPr>
      <w:tblGrid>
        <w:gridCol w:w="1766"/>
        <w:gridCol w:w="128"/>
        <w:gridCol w:w="1404"/>
        <w:gridCol w:w="127"/>
        <w:gridCol w:w="1404"/>
        <w:gridCol w:w="127"/>
        <w:gridCol w:w="1183"/>
        <w:gridCol w:w="127"/>
        <w:gridCol w:w="1042"/>
      </w:tblGrid>
      <w:tr w:rsidR="00000000">
        <w:tblPrEx>
          <w:tblCellMar>
            <w:top w:w="0" w:type="dxa"/>
            <w:bottom w:w="0" w:type="dxa"/>
          </w:tblCellMar>
        </w:tblPrEx>
        <w:trPr>
          <w:trHeight w:val="1000"/>
          <w:jc w:val="center"/>
        </w:trPr>
        <w:tc>
          <w:tcPr>
            <w:tcW w:w="7308" w:type="dxa"/>
            <w:gridSpan w:val="9"/>
            <w:tcBorders>
              <w:bottom w:val="nil"/>
            </w:tcBorders>
          </w:tcPr>
          <w:p w:rsidR="00000000" w:rsidRDefault="00981342">
            <w:pPr>
              <w:jc w:val="center"/>
              <w:rPr>
                <w:rFonts w:ascii="Univers" w:hAnsi="Univers"/>
                <w:b/>
                <w:snapToGrid w:val="0"/>
                <w:color w:val="000000"/>
              </w:rPr>
            </w:pPr>
            <w:r>
              <w:rPr>
                <w:rFonts w:ascii="Univers" w:hAnsi="Univers"/>
                <w:b/>
                <w:snapToGrid w:val="0"/>
                <w:color w:val="000000"/>
              </w:rPr>
              <w:t xml:space="preserve">Department of Transportation </w:t>
            </w:r>
          </w:p>
          <w:p w:rsidR="00000000" w:rsidRDefault="00981342">
            <w:pPr>
              <w:jc w:val="center"/>
              <w:rPr>
                <w:rFonts w:ascii="Univers" w:hAnsi="Univers"/>
                <w:b/>
                <w:snapToGrid w:val="0"/>
                <w:color w:val="000000"/>
              </w:rPr>
            </w:pPr>
            <w:r>
              <w:rPr>
                <w:rFonts w:ascii="Univers" w:hAnsi="Univers"/>
                <w:b/>
                <w:snapToGrid w:val="0"/>
                <w:color w:val="000000"/>
              </w:rPr>
              <w:t xml:space="preserve">Appropriations </w:t>
            </w:r>
            <w:r>
              <w:rPr>
                <w:rFonts w:ascii="Univers" w:hAnsi="Univers"/>
                <w:b/>
                <w:snapToGrid w:val="0"/>
                <w:color w:val="000000"/>
              </w:rPr>
              <w:t>Bill (SF 424)</w:t>
            </w:r>
          </w:p>
          <w:p w:rsidR="00000000" w:rsidRDefault="00981342">
            <w:pPr>
              <w:jc w:val="center"/>
              <w:rPr>
                <w:rFonts w:ascii="Univers" w:hAnsi="Univers"/>
                <w:b/>
                <w:snapToGrid w:val="0"/>
                <w:color w:val="000000"/>
              </w:rPr>
            </w:pPr>
            <w:r>
              <w:rPr>
                <w:rFonts w:ascii="Univers" w:hAnsi="Univers"/>
                <w:b/>
                <w:snapToGrid w:val="0"/>
                <w:color w:val="000000"/>
              </w:rPr>
              <w:t>as Amended by the House Appropriations Committee</w:t>
            </w:r>
          </w:p>
        </w:tc>
      </w:tr>
      <w:tr w:rsidR="00000000">
        <w:tblPrEx>
          <w:tblCellMar>
            <w:top w:w="0" w:type="dxa"/>
            <w:bottom w:w="0" w:type="dxa"/>
          </w:tblCellMar>
        </w:tblPrEx>
        <w:trPr>
          <w:trHeight w:val="230"/>
          <w:jc w:val="center"/>
        </w:trPr>
        <w:tc>
          <w:tcPr>
            <w:tcW w:w="1766" w:type="dxa"/>
          </w:tcPr>
          <w:p w:rsidR="00000000" w:rsidRDefault="00981342">
            <w:pPr>
              <w:jc w:val="center"/>
              <w:rPr>
                <w:rFonts w:ascii="Univers" w:hAnsi="Univers"/>
                <w:snapToGrid w:val="0"/>
                <w:color w:val="000000"/>
                <w:sz w:val="16"/>
              </w:rPr>
            </w:pPr>
          </w:p>
        </w:tc>
        <w:tc>
          <w:tcPr>
            <w:tcW w:w="128" w:type="dxa"/>
          </w:tcPr>
          <w:p w:rsidR="00000000" w:rsidRDefault="00981342">
            <w:pPr>
              <w:jc w:val="center"/>
              <w:rPr>
                <w:rFonts w:ascii="Univers" w:hAnsi="Univers"/>
                <w:snapToGrid w:val="0"/>
                <w:color w:val="000000"/>
                <w:sz w:val="16"/>
              </w:rPr>
            </w:pPr>
          </w:p>
        </w:tc>
        <w:tc>
          <w:tcPr>
            <w:tcW w:w="1404" w:type="dxa"/>
          </w:tcPr>
          <w:p w:rsidR="00000000" w:rsidRDefault="00981342">
            <w:pPr>
              <w:jc w:val="center"/>
              <w:rPr>
                <w:rFonts w:ascii="Univers" w:hAnsi="Univers"/>
                <w:snapToGrid w:val="0"/>
                <w:color w:val="000000"/>
                <w:sz w:val="16"/>
              </w:rPr>
            </w:pPr>
          </w:p>
        </w:tc>
        <w:tc>
          <w:tcPr>
            <w:tcW w:w="127" w:type="dxa"/>
          </w:tcPr>
          <w:p w:rsidR="00000000" w:rsidRDefault="00981342">
            <w:pPr>
              <w:jc w:val="center"/>
              <w:rPr>
                <w:rFonts w:ascii="Univers" w:hAnsi="Univers"/>
                <w:snapToGrid w:val="0"/>
                <w:color w:val="000000"/>
                <w:sz w:val="16"/>
              </w:rPr>
            </w:pPr>
          </w:p>
        </w:tc>
        <w:tc>
          <w:tcPr>
            <w:tcW w:w="1404" w:type="dxa"/>
          </w:tcPr>
          <w:p w:rsidR="00000000" w:rsidRDefault="00981342">
            <w:pPr>
              <w:jc w:val="center"/>
              <w:rPr>
                <w:rFonts w:ascii="Univers" w:hAnsi="Univers"/>
                <w:snapToGrid w:val="0"/>
                <w:color w:val="000000"/>
                <w:sz w:val="16"/>
              </w:rPr>
            </w:pPr>
            <w:r>
              <w:rPr>
                <w:rFonts w:ascii="Univers" w:hAnsi="Univers"/>
                <w:snapToGrid w:val="0"/>
                <w:color w:val="000000"/>
                <w:sz w:val="16"/>
              </w:rPr>
              <w:t>House Approp.</w:t>
            </w:r>
          </w:p>
        </w:tc>
        <w:tc>
          <w:tcPr>
            <w:tcW w:w="127" w:type="dxa"/>
          </w:tcPr>
          <w:p w:rsidR="00000000" w:rsidRDefault="00981342">
            <w:pPr>
              <w:jc w:val="center"/>
              <w:rPr>
                <w:rFonts w:ascii="Univers" w:hAnsi="Univers"/>
                <w:snapToGrid w:val="0"/>
                <w:color w:val="000000"/>
                <w:sz w:val="16"/>
              </w:rPr>
            </w:pPr>
          </w:p>
        </w:tc>
        <w:tc>
          <w:tcPr>
            <w:tcW w:w="1183" w:type="dxa"/>
          </w:tcPr>
          <w:p w:rsidR="00000000" w:rsidRDefault="00981342">
            <w:pPr>
              <w:jc w:val="center"/>
              <w:rPr>
                <w:rFonts w:ascii="Univers" w:hAnsi="Univers"/>
                <w:snapToGrid w:val="0"/>
                <w:color w:val="000000"/>
                <w:sz w:val="16"/>
              </w:rPr>
            </w:pPr>
          </w:p>
        </w:tc>
        <w:tc>
          <w:tcPr>
            <w:tcW w:w="127" w:type="dxa"/>
          </w:tcPr>
          <w:p w:rsidR="00000000" w:rsidRDefault="00981342">
            <w:pPr>
              <w:jc w:val="center"/>
              <w:rPr>
                <w:rFonts w:ascii="Univers" w:hAnsi="Univers"/>
                <w:snapToGrid w:val="0"/>
                <w:color w:val="000000"/>
                <w:sz w:val="16"/>
              </w:rPr>
            </w:pPr>
          </w:p>
        </w:tc>
        <w:tc>
          <w:tcPr>
            <w:tcW w:w="1042" w:type="dxa"/>
          </w:tcPr>
          <w:p w:rsidR="00000000" w:rsidRDefault="00981342">
            <w:pPr>
              <w:jc w:val="center"/>
              <w:rPr>
                <w:rFonts w:ascii="Univers" w:hAnsi="Univers"/>
                <w:snapToGrid w:val="0"/>
                <w:color w:val="000000"/>
                <w:sz w:val="16"/>
              </w:rPr>
            </w:pPr>
          </w:p>
        </w:tc>
      </w:tr>
      <w:tr w:rsidR="00000000">
        <w:tblPrEx>
          <w:tblCellMar>
            <w:top w:w="0" w:type="dxa"/>
            <w:bottom w:w="0" w:type="dxa"/>
          </w:tblCellMar>
        </w:tblPrEx>
        <w:trPr>
          <w:trHeight w:val="230"/>
          <w:jc w:val="center"/>
        </w:trPr>
        <w:tc>
          <w:tcPr>
            <w:tcW w:w="1766" w:type="dxa"/>
          </w:tcPr>
          <w:p w:rsidR="00000000" w:rsidRDefault="00981342">
            <w:pPr>
              <w:jc w:val="center"/>
              <w:rPr>
                <w:rFonts w:ascii="Univers" w:hAnsi="Univers"/>
                <w:snapToGrid w:val="0"/>
                <w:color w:val="000000"/>
                <w:sz w:val="16"/>
              </w:rPr>
            </w:pPr>
          </w:p>
        </w:tc>
        <w:tc>
          <w:tcPr>
            <w:tcW w:w="128" w:type="dxa"/>
          </w:tcPr>
          <w:p w:rsidR="00000000" w:rsidRDefault="00981342">
            <w:pPr>
              <w:jc w:val="center"/>
              <w:rPr>
                <w:rFonts w:ascii="Univers" w:hAnsi="Univers"/>
                <w:snapToGrid w:val="0"/>
                <w:color w:val="000000"/>
                <w:sz w:val="16"/>
              </w:rPr>
            </w:pPr>
          </w:p>
        </w:tc>
        <w:tc>
          <w:tcPr>
            <w:tcW w:w="1404" w:type="dxa"/>
          </w:tcPr>
          <w:p w:rsidR="00000000" w:rsidRDefault="00981342">
            <w:pPr>
              <w:jc w:val="center"/>
              <w:rPr>
                <w:rFonts w:ascii="Univers" w:hAnsi="Univers"/>
                <w:snapToGrid w:val="0"/>
                <w:color w:val="000000"/>
                <w:sz w:val="16"/>
              </w:rPr>
            </w:pPr>
            <w:r>
              <w:rPr>
                <w:rFonts w:ascii="Univers" w:hAnsi="Univers"/>
                <w:snapToGrid w:val="0"/>
                <w:color w:val="000000"/>
                <w:sz w:val="16"/>
              </w:rPr>
              <w:t>Estimated</w:t>
            </w:r>
          </w:p>
        </w:tc>
        <w:tc>
          <w:tcPr>
            <w:tcW w:w="127" w:type="dxa"/>
          </w:tcPr>
          <w:p w:rsidR="00000000" w:rsidRDefault="00981342">
            <w:pPr>
              <w:jc w:val="center"/>
              <w:rPr>
                <w:rFonts w:ascii="Univers" w:hAnsi="Univers"/>
                <w:snapToGrid w:val="0"/>
                <w:color w:val="000000"/>
                <w:sz w:val="16"/>
              </w:rPr>
            </w:pPr>
          </w:p>
        </w:tc>
        <w:tc>
          <w:tcPr>
            <w:tcW w:w="1404" w:type="dxa"/>
          </w:tcPr>
          <w:p w:rsidR="00000000" w:rsidRDefault="00981342">
            <w:pPr>
              <w:jc w:val="center"/>
              <w:rPr>
                <w:rFonts w:ascii="Univers" w:hAnsi="Univers"/>
                <w:snapToGrid w:val="0"/>
                <w:color w:val="000000"/>
                <w:sz w:val="16"/>
              </w:rPr>
            </w:pPr>
            <w:r>
              <w:rPr>
                <w:rFonts w:ascii="Univers" w:hAnsi="Univers"/>
                <w:snapToGrid w:val="0"/>
                <w:color w:val="000000"/>
                <w:sz w:val="16"/>
              </w:rPr>
              <w:t>Action</w:t>
            </w:r>
          </w:p>
        </w:tc>
        <w:tc>
          <w:tcPr>
            <w:tcW w:w="127" w:type="dxa"/>
          </w:tcPr>
          <w:p w:rsidR="00000000" w:rsidRDefault="00981342">
            <w:pPr>
              <w:jc w:val="center"/>
              <w:rPr>
                <w:rFonts w:ascii="Univers" w:hAnsi="Univers"/>
                <w:snapToGrid w:val="0"/>
                <w:color w:val="000000"/>
                <w:sz w:val="16"/>
              </w:rPr>
            </w:pPr>
          </w:p>
        </w:tc>
        <w:tc>
          <w:tcPr>
            <w:tcW w:w="1183" w:type="dxa"/>
          </w:tcPr>
          <w:p w:rsidR="00000000" w:rsidRDefault="00981342">
            <w:pPr>
              <w:jc w:val="center"/>
              <w:rPr>
                <w:rFonts w:ascii="Univers" w:hAnsi="Univers"/>
                <w:snapToGrid w:val="0"/>
                <w:color w:val="000000"/>
                <w:sz w:val="16"/>
              </w:rPr>
            </w:pPr>
            <w:r>
              <w:rPr>
                <w:rFonts w:ascii="Univers" w:hAnsi="Univers"/>
                <w:snapToGrid w:val="0"/>
                <w:color w:val="000000"/>
                <w:sz w:val="16"/>
              </w:rPr>
              <w:t>FY 2000 vs.</w:t>
            </w:r>
          </w:p>
        </w:tc>
        <w:tc>
          <w:tcPr>
            <w:tcW w:w="127" w:type="dxa"/>
          </w:tcPr>
          <w:p w:rsidR="00000000" w:rsidRDefault="00981342">
            <w:pPr>
              <w:jc w:val="center"/>
              <w:rPr>
                <w:rFonts w:ascii="Univers" w:hAnsi="Univers"/>
                <w:snapToGrid w:val="0"/>
                <w:color w:val="000000"/>
                <w:sz w:val="16"/>
              </w:rPr>
            </w:pPr>
          </w:p>
        </w:tc>
        <w:tc>
          <w:tcPr>
            <w:tcW w:w="1042" w:type="dxa"/>
          </w:tcPr>
          <w:p w:rsidR="00000000" w:rsidRDefault="00981342">
            <w:pPr>
              <w:jc w:val="center"/>
              <w:rPr>
                <w:rFonts w:ascii="Univers" w:hAnsi="Univers"/>
                <w:snapToGrid w:val="0"/>
                <w:color w:val="000000"/>
                <w:sz w:val="16"/>
              </w:rPr>
            </w:pPr>
            <w:r>
              <w:rPr>
                <w:rFonts w:ascii="Univers" w:hAnsi="Univers"/>
                <w:snapToGrid w:val="0"/>
                <w:color w:val="000000"/>
                <w:sz w:val="16"/>
              </w:rPr>
              <w:t>Percent</w:t>
            </w:r>
          </w:p>
        </w:tc>
      </w:tr>
      <w:tr w:rsidR="00000000">
        <w:tblPrEx>
          <w:tblCellMar>
            <w:top w:w="0" w:type="dxa"/>
            <w:bottom w:w="0" w:type="dxa"/>
          </w:tblCellMar>
        </w:tblPrEx>
        <w:trPr>
          <w:trHeight w:val="230"/>
          <w:jc w:val="center"/>
        </w:trPr>
        <w:tc>
          <w:tcPr>
            <w:tcW w:w="1766" w:type="dxa"/>
          </w:tcPr>
          <w:p w:rsidR="00000000" w:rsidRDefault="00981342">
            <w:pPr>
              <w:jc w:val="center"/>
              <w:rPr>
                <w:rFonts w:ascii="Univers" w:hAnsi="Univers"/>
                <w:snapToGrid w:val="0"/>
                <w:color w:val="000000"/>
                <w:sz w:val="16"/>
              </w:rPr>
            </w:pPr>
          </w:p>
        </w:tc>
        <w:tc>
          <w:tcPr>
            <w:tcW w:w="128" w:type="dxa"/>
          </w:tcPr>
          <w:p w:rsidR="00000000" w:rsidRDefault="00981342">
            <w:pPr>
              <w:jc w:val="center"/>
              <w:rPr>
                <w:rFonts w:ascii="Univers" w:hAnsi="Univers"/>
                <w:snapToGrid w:val="0"/>
                <w:color w:val="000000"/>
                <w:sz w:val="16"/>
              </w:rPr>
            </w:pPr>
          </w:p>
        </w:tc>
        <w:tc>
          <w:tcPr>
            <w:tcW w:w="1404" w:type="dxa"/>
            <w:tcBorders>
              <w:bottom w:val="single" w:sz="4" w:space="0" w:color="auto"/>
            </w:tcBorders>
          </w:tcPr>
          <w:p w:rsidR="00000000" w:rsidRDefault="00981342">
            <w:pPr>
              <w:jc w:val="center"/>
              <w:rPr>
                <w:rFonts w:ascii="Univers" w:hAnsi="Univers"/>
                <w:snapToGrid w:val="0"/>
                <w:color w:val="000000"/>
                <w:sz w:val="16"/>
              </w:rPr>
            </w:pPr>
            <w:r>
              <w:rPr>
                <w:rFonts w:ascii="Univers" w:hAnsi="Univers"/>
                <w:snapToGrid w:val="0"/>
                <w:color w:val="000000"/>
                <w:sz w:val="16"/>
              </w:rPr>
              <w:t>FY 1999</w:t>
            </w:r>
          </w:p>
        </w:tc>
        <w:tc>
          <w:tcPr>
            <w:tcW w:w="127" w:type="dxa"/>
          </w:tcPr>
          <w:p w:rsidR="00000000" w:rsidRDefault="00981342">
            <w:pPr>
              <w:jc w:val="center"/>
              <w:rPr>
                <w:rFonts w:ascii="Univers" w:hAnsi="Univers"/>
                <w:snapToGrid w:val="0"/>
                <w:color w:val="000000"/>
                <w:sz w:val="16"/>
              </w:rPr>
            </w:pPr>
          </w:p>
        </w:tc>
        <w:tc>
          <w:tcPr>
            <w:tcW w:w="1404" w:type="dxa"/>
            <w:tcBorders>
              <w:bottom w:val="single" w:sz="4" w:space="0" w:color="auto"/>
            </w:tcBorders>
          </w:tcPr>
          <w:p w:rsidR="00000000" w:rsidRDefault="00981342">
            <w:pPr>
              <w:jc w:val="center"/>
              <w:rPr>
                <w:rFonts w:ascii="Univers" w:hAnsi="Univers"/>
                <w:snapToGrid w:val="0"/>
                <w:color w:val="000000"/>
                <w:sz w:val="16"/>
              </w:rPr>
            </w:pPr>
            <w:r>
              <w:rPr>
                <w:rFonts w:ascii="Univers" w:hAnsi="Univers"/>
                <w:snapToGrid w:val="0"/>
                <w:color w:val="000000"/>
                <w:sz w:val="16"/>
              </w:rPr>
              <w:t>FY 2000</w:t>
            </w:r>
          </w:p>
        </w:tc>
        <w:tc>
          <w:tcPr>
            <w:tcW w:w="127" w:type="dxa"/>
          </w:tcPr>
          <w:p w:rsidR="00000000" w:rsidRDefault="00981342">
            <w:pPr>
              <w:jc w:val="center"/>
              <w:rPr>
                <w:rFonts w:ascii="Univers" w:hAnsi="Univers"/>
                <w:snapToGrid w:val="0"/>
                <w:color w:val="000000"/>
                <w:sz w:val="16"/>
              </w:rPr>
            </w:pPr>
          </w:p>
        </w:tc>
        <w:tc>
          <w:tcPr>
            <w:tcW w:w="1183" w:type="dxa"/>
            <w:tcBorders>
              <w:bottom w:val="single" w:sz="4" w:space="0" w:color="auto"/>
            </w:tcBorders>
          </w:tcPr>
          <w:p w:rsidR="00000000" w:rsidRDefault="00981342">
            <w:pPr>
              <w:jc w:val="center"/>
              <w:rPr>
                <w:rFonts w:ascii="Univers" w:hAnsi="Univers"/>
                <w:snapToGrid w:val="0"/>
                <w:color w:val="000000"/>
                <w:sz w:val="16"/>
              </w:rPr>
            </w:pPr>
            <w:r>
              <w:rPr>
                <w:rFonts w:ascii="Univers" w:hAnsi="Univers"/>
                <w:snapToGrid w:val="0"/>
                <w:color w:val="000000"/>
                <w:sz w:val="16"/>
              </w:rPr>
              <w:t>FY 1999</w:t>
            </w:r>
          </w:p>
        </w:tc>
        <w:tc>
          <w:tcPr>
            <w:tcW w:w="127" w:type="dxa"/>
          </w:tcPr>
          <w:p w:rsidR="00000000" w:rsidRDefault="00981342">
            <w:pPr>
              <w:jc w:val="center"/>
              <w:rPr>
                <w:rFonts w:ascii="Univers" w:hAnsi="Univers"/>
                <w:snapToGrid w:val="0"/>
                <w:color w:val="000000"/>
                <w:sz w:val="16"/>
              </w:rPr>
            </w:pPr>
          </w:p>
        </w:tc>
        <w:tc>
          <w:tcPr>
            <w:tcW w:w="1042" w:type="dxa"/>
            <w:tcBorders>
              <w:bottom w:val="single" w:sz="4" w:space="0" w:color="auto"/>
            </w:tcBorders>
          </w:tcPr>
          <w:p w:rsidR="00000000" w:rsidRDefault="00981342">
            <w:pPr>
              <w:jc w:val="center"/>
              <w:rPr>
                <w:rFonts w:ascii="Univers" w:hAnsi="Univers"/>
                <w:snapToGrid w:val="0"/>
                <w:color w:val="000000"/>
                <w:sz w:val="16"/>
              </w:rPr>
            </w:pPr>
            <w:r>
              <w:rPr>
                <w:rFonts w:ascii="Univers" w:hAnsi="Univers"/>
                <w:snapToGrid w:val="0"/>
                <w:color w:val="000000"/>
                <w:sz w:val="16"/>
              </w:rPr>
              <w:t>Change</w:t>
            </w:r>
          </w:p>
        </w:tc>
      </w:tr>
      <w:tr w:rsidR="00000000">
        <w:tblPrEx>
          <w:tblCellMar>
            <w:top w:w="0" w:type="dxa"/>
            <w:bottom w:w="0" w:type="dxa"/>
          </w:tblCellMar>
        </w:tblPrEx>
        <w:trPr>
          <w:trHeight w:val="230"/>
          <w:jc w:val="center"/>
        </w:trPr>
        <w:tc>
          <w:tcPr>
            <w:tcW w:w="1766" w:type="dxa"/>
          </w:tcPr>
          <w:p w:rsidR="00000000" w:rsidRDefault="00981342">
            <w:pPr>
              <w:rPr>
                <w:rFonts w:ascii="Univers" w:hAnsi="Univers"/>
                <w:snapToGrid w:val="0"/>
                <w:color w:val="000000"/>
                <w:sz w:val="16"/>
              </w:rPr>
            </w:pPr>
            <w:r>
              <w:rPr>
                <w:rFonts w:ascii="Univers" w:hAnsi="Univers"/>
                <w:snapToGrid w:val="0"/>
                <w:color w:val="000000"/>
                <w:sz w:val="16"/>
              </w:rPr>
              <w:t>General Fund</w:t>
            </w:r>
          </w:p>
        </w:tc>
        <w:tc>
          <w:tcPr>
            <w:tcW w:w="128" w:type="dxa"/>
          </w:tcPr>
          <w:p w:rsidR="00000000" w:rsidRDefault="00981342">
            <w:pPr>
              <w:jc w:val="right"/>
              <w:rPr>
                <w:rFonts w:ascii="Univers" w:hAnsi="Univers"/>
                <w:snapToGrid w:val="0"/>
                <w:color w:val="000000"/>
                <w:sz w:val="16"/>
              </w:rPr>
            </w:pPr>
          </w:p>
        </w:tc>
        <w:tc>
          <w:tcPr>
            <w:tcW w:w="1404" w:type="dxa"/>
          </w:tcPr>
          <w:p w:rsidR="00000000" w:rsidRDefault="00981342">
            <w:pPr>
              <w:jc w:val="right"/>
              <w:rPr>
                <w:rFonts w:ascii="Univers" w:hAnsi="Univers"/>
                <w:snapToGrid w:val="0"/>
                <w:color w:val="000000"/>
                <w:sz w:val="16"/>
              </w:rPr>
            </w:pPr>
            <w:r>
              <w:rPr>
                <w:rFonts w:ascii="Univers" w:hAnsi="Univers"/>
                <w:snapToGrid w:val="0"/>
                <w:color w:val="000000"/>
                <w:sz w:val="16"/>
              </w:rPr>
              <w:t xml:space="preserve">$    3,968,997 </w:t>
            </w:r>
          </w:p>
        </w:tc>
        <w:tc>
          <w:tcPr>
            <w:tcW w:w="127" w:type="dxa"/>
          </w:tcPr>
          <w:p w:rsidR="00000000" w:rsidRDefault="00981342">
            <w:pPr>
              <w:jc w:val="right"/>
              <w:rPr>
                <w:rFonts w:ascii="Univers" w:hAnsi="Univers"/>
                <w:snapToGrid w:val="0"/>
                <w:color w:val="000000"/>
                <w:sz w:val="16"/>
              </w:rPr>
            </w:pPr>
          </w:p>
        </w:tc>
        <w:tc>
          <w:tcPr>
            <w:tcW w:w="1404" w:type="dxa"/>
          </w:tcPr>
          <w:p w:rsidR="00000000" w:rsidRDefault="00981342">
            <w:pPr>
              <w:jc w:val="right"/>
              <w:rPr>
                <w:rFonts w:ascii="Univers" w:hAnsi="Univers"/>
                <w:snapToGrid w:val="0"/>
                <w:color w:val="000000"/>
                <w:sz w:val="16"/>
              </w:rPr>
            </w:pPr>
            <w:r>
              <w:rPr>
                <w:rFonts w:ascii="Univers" w:hAnsi="Univers"/>
                <w:snapToGrid w:val="0"/>
                <w:color w:val="000000"/>
                <w:sz w:val="16"/>
              </w:rPr>
              <w:t xml:space="preserve">$    4,127,757 </w:t>
            </w:r>
          </w:p>
        </w:tc>
        <w:tc>
          <w:tcPr>
            <w:tcW w:w="127" w:type="dxa"/>
          </w:tcPr>
          <w:p w:rsidR="00000000" w:rsidRDefault="00981342">
            <w:pPr>
              <w:jc w:val="right"/>
              <w:rPr>
                <w:rFonts w:ascii="Univers" w:hAnsi="Univers"/>
                <w:snapToGrid w:val="0"/>
                <w:color w:val="000000"/>
                <w:sz w:val="16"/>
              </w:rPr>
            </w:pPr>
          </w:p>
        </w:tc>
        <w:tc>
          <w:tcPr>
            <w:tcW w:w="1183" w:type="dxa"/>
          </w:tcPr>
          <w:p w:rsidR="00000000" w:rsidRDefault="00981342">
            <w:pPr>
              <w:jc w:val="right"/>
              <w:rPr>
                <w:rFonts w:ascii="Univers" w:hAnsi="Univers"/>
                <w:snapToGrid w:val="0"/>
                <w:color w:val="000000"/>
                <w:sz w:val="16"/>
              </w:rPr>
            </w:pPr>
            <w:r>
              <w:rPr>
                <w:rFonts w:ascii="Univers" w:hAnsi="Univers"/>
                <w:snapToGrid w:val="0"/>
                <w:color w:val="000000"/>
                <w:sz w:val="16"/>
              </w:rPr>
              <w:t xml:space="preserve">$   158,760 </w:t>
            </w:r>
          </w:p>
        </w:tc>
        <w:tc>
          <w:tcPr>
            <w:tcW w:w="127" w:type="dxa"/>
          </w:tcPr>
          <w:p w:rsidR="00000000" w:rsidRDefault="00981342">
            <w:pPr>
              <w:jc w:val="right"/>
              <w:rPr>
                <w:rFonts w:ascii="Univers" w:hAnsi="Univers"/>
                <w:snapToGrid w:val="0"/>
                <w:color w:val="000000"/>
                <w:sz w:val="16"/>
              </w:rPr>
            </w:pPr>
          </w:p>
        </w:tc>
        <w:tc>
          <w:tcPr>
            <w:tcW w:w="1042" w:type="dxa"/>
          </w:tcPr>
          <w:p w:rsidR="00000000" w:rsidRDefault="00981342">
            <w:pPr>
              <w:jc w:val="right"/>
              <w:rPr>
                <w:rFonts w:ascii="Univers" w:hAnsi="Univers"/>
                <w:snapToGrid w:val="0"/>
                <w:color w:val="000000"/>
                <w:sz w:val="16"/>
              </w:rPr>
            </w:pPr>
            <w:r>
              <w:rPr>
                <w:rFonts w:ascii="Univers" w:hAnsi="Univers"/>
                <w:snapToGrid w:val="0"/>
                <w:color w:val="000000"/>
                <w:sz w:val="16"/>
              </w:rPr>
              <w:t>4.0%</w:t>
            </w:r>
          </w:p>
        </w:tc>
      </w:tr>
      <w:tr w:rsidR="00000000">
        <w:tblPrEx>
          <w:tblCellMar>
            <w:top w:w="0" w:type="dxa"/>
            <w:bottom w:w="0" w:type="dxa"/>
          </w:tblCellMar>
        </w:tblPrEx>
        <w:trPr>
          <w:trHeight w:val="230"/>
          <w:jc w:val="center"/>
        </w:trPr>
        <w:tc>
          <w:tcPr>
            <w:tcW w:w="1766" w:type="dxa"/>
          </w:tcPr>
          <w:p w:rsidR="00000000" w:rsidRDefault="00981342">
            <w:pPr>
              <w:rPr>
                <w:rFonts w:ascii="Univers" w:hAnsi="Univers"/>
                <w:snapToGrid w:val="0"/>
                <w:color w:val="000000"/>
                <w:sz w:val="16"/>
              </w:rPr>
            </w:pPr>
            <w:r>
              <w:rPr>
                <w:rFonts w:ascii="Univers" w:hAnsi="Univers"/>
                <w:snapToGrid w:val="0"/>
                <w:color w:val="000000"/>
                <w:sz w:val="16"/>
              </w:rPr>
              <w:t>Road Use Tax Fund</w:t>
            </w:r>
          </w:p>
        </w:tc>
        <w:tc>
          <w:tcPr>
            <w:tcW w:w="128" w:type="dxa"/>
          </w:tcPr>
          <w:p w:rsidR="00000000" w:rsidRDefault="00981342">
            <w:pPr>
              <w:jc w:val="right"/>
              <w:rPr>
                <w:rFonts w:ascii="Univers" w:hAnsi="Univers"/>
                <w:snapToGrid w:val="0"/>
                <w:color w:val="000000"/>
                <w:sz w:val="16"/>
              </w:rPr>
            </w:pPr>
          </w:p>
        </w:tc>
        <w:tc>
          <w:tcPr>
            <w:tcW w:w="1404" w:type="dxa"/>
          </w:tcPr>
          <w:p w:rsidR="00000000" w:rsidRDefault="00981342">
            <w:pPr>
              <w:jc w:val="right"/>
              <w:rPr>
                <w:rFonts w:ascii="Univers" w:hAnsi="Univers"/>
                <w:snapToGrid w:val="0"/>
                <w:color w:val="000000"/>
                <w:sz w:val="16"/>
              </w:rPr>
            </w:pPr>
            <w:r>
              <w:rPr>
                <w:rFonts w:ascii="Univers" w:hAnsi="Univers"/>
                <w:snapToGrid w:val="0"/>
                <w:color w:val="000000"/>
                <w:sz w:val="16"/>
              </w:rPr>
              <w:t>33</w:t>
            </w:r>
            <w:r>
              <w:rPr>
                <w:rFonts w:ascii="Univers" w:hAnsi="Univers"/>
                <w:snapToGrid w:val="0"/>
                <w:color w:val="000000"/>
                <w:sz w:val="16"/>
              </w:rPr>
              <w:t xml:space="preserve">,016,768 </w:t>
            </w:r>
          </w:p>
        </w:tc>
        <w:tc>
          <w:tcPr>
            <w:tcW w:w="127" w:type="dxa"/>
          </w:tcPr>
          <w:p w:rsidR="00000000" w:rsidRDefault="00981342">
            <w:pPr>
              <w:jc w:val="right"/>
              <w:rPr>
                <w:rFonts w:ascii="Univers" w:hAnsi="Univers"/>
                <w:snapToGrid w:val="0"/>
                <w:color w:val="000000"/>
                <w:sz w:val="16"/>
              </w:rPr>
            </w:pPr>
          </w:p>
        </w:tc>
        <w:tc>
          <w:tcPr>
            <w:tcW w:w="1404" w:type="dxa"/>
          </w:tcPr>
          <w:p w:rsidR="00000000" w:rsidRDefault="00981342">
            <w:pPr>
              <w:jc w:val="right"/>
              <w:rPr>
                <w:rFonts w:ascii="Univers" w:hAnsi="Univers"/>
                <w:snapToGrid w:val="0"/>
                <w:color w:val="000000"/>
                <w:sz w:val="16"/>
              </w:rPr>
            </w:pPr>
            <w:r>
              <w:rPr>
                <w:rFonts w:ascii="Univers" w:hAnsi="Univers"/>
                <w:snapToGrid w:val="0"/>
                <w:color w:val="000000"/>
                <w:sz w:val="16"/>
              </w:rPr>
              <w:t xml:space="preserve">34,256,062 </w:t>
            </w:r>
          </w:p>
        </w:tc>
        <w:tc>
          <w:tcPr>
            <w:tcW w:w="127" w:type="dxa"/>
          </w:tcPr>
          <w:p w:rsidR="00000000" w:rsidRDefault="00981342">
            <w:pPr>
              <w:jc w:val="right"/>
              <w:rPr>
                <w:rFonts w:ascii="Univers" w:hAnsi="Univers"/>
                <w:snapToGrid w:val="0"/>
                <w:color w:val="000000"/>
                <w:sz w:val="16"/>
              </w:rPr>
            </w:pPr>
          </w:p>
        </w:tc>
        <w:tc>
          <w:tcPr>
            <w:tcW w:w="1183" w:type="dxa"/>
          </w:tcPr>
          <w:p w:rsidR="00000000" w:rsidRDefault="00981342">
            <w:pPr>
              <w:jc w:val="right"/>
              <w:rPr>
                <w:rFonts w:ascii="Univers" w:hAnsi="Univers"/>
                <w:snapToGrid w:val="0"/>
                <w:color w:val="000000"/>
                <w:sz w:val="16"/>
              </w:rPr>
            </w:pPr>
            <w:r>
              <w:rPr>
                <w:rFonts w:ascii="Univers" w:hAnsi="Univers"/>
                <w:snapToGrid w:val="0"/>
                <w:color w:val="000000"/>
                <w:sz w:val="16"/>
              </w:rPr>
              <w:t xml:space="preserve">1,239,294 </w:t>
            </w:r>
          </w:p>
        </w:tc>
        <w:tc>
          <w:tcPr>
            <w:tcW w:w="127" w:type="dxa"/>
          </w:tcPr>
          <w:p w:rsidR="00000000" w:rsidRDefault="00981342">
            <w:pPr>
              <w:jc w:val="right"/>
              <w:rPr>
                <w:rFonts w:ascii="Univers" w:hAnsi="Univers"/>
                <w:snapToGrid w:val="0"/>
                <w:color w:val="000000"/>
                <w:sz w:val="16"/>
              </w:rPr>
            </w:pPr>
          </w:p>
        </w:tc>
        <w:tc>
          <w:tcPr>
            <w:tcW w:w="1042" w:type="dxa"/>
          </w:tcPr>
          <w:p w:rsidR="00000000" w:rsidRDefault="00981342">
            <w:pPr>
              <w:jc w:val="right"/>
              <w:rPr>
                <w:rFonts w:ascii="Univers" w:hAnsi="Univers"/>
                <w:snapToGrid w:val="0"/>
                <w:color w:val="000000"/>
                <w:sz w:val="16"/>
              </w:rPr>
            </w:pPr>
            <w:r>
              <w:rPr>
                <w:rFonts w:ascii="Univers" w:hAnsi="Univers"/>
                <w:snapToGrid w:val="0"/>
                <w:color w:val="000000"/>
                <w:sz w:val="16"/>
              </w:rPr>
              <w:t>3.8%</w:t>
            </w:r>
          </w:p>
        </w:tc>
      </w:tr>
      <w:tr w:rsidR="00000000">
        <w:tblPrEx>
          <w:tblCellMar>
            <w:top w:w="0" w:type="dxa"/>
            <w:bottom w:w="0" w:type="dxa"/>
          </w:tblCellMar>
        </w:tblPrEx>
        <w:trPr>
          <w:trHeight w:val="230"/>
          <w:jc w:val="center"/>
        </w:trPr>
        <w:tc>
          <w:tcPr>
            <w:tcW w:w="1766" w:type="dxa"/>
          </w:tcPr>
          <w:p w:rsidR="00000000" w:rsidRDefault="00981342">
            <w:pPr>
              <w:rPr>
                <w:rFonts w:ascii="Univers" w:hAnsi="Univers"/>
                <w:snapToGrid w:val="0"/>
                <w:color w:val="000000"/>
                <w:sz w:val="16"/>
              </w:rPr>
            </w:pPr>
            <w:r>
              <w:rPr>
                <w:rFonts w:ascii="Univers" w:hAnsi="Univers"/>
                <w:snapToGrid w:val="0"/>
                <w:color w:val="000000"/>
                <w:sz w:val="16"/>
              </w:rPr>
              <w:t>Primary Road Fund</w:t>
            </w:r>
          </w:p>
        </w:tc>
        <w:tc>
          <w:tcPr>
            <w:tcW w:w="128" w:type="dxa"/>
          </w:tcPr>
          <w:p w:rsidR="00000000" w:rsidRDefault="00981342">
            <w:pPr>
              <w:jc w:val="right"/>
              <w:rPr>
                <w:rFonts w:ascii="Univers" w:hAnsi="Univers"/>
                <w:snapToGrid w:val="0"/>
                <w:color w:val="000000"/>
                <w:sz w:val="16"/>
              </w:rPr>
            </w:pPr>
          </w:p>
        </w:tc>
        <w:tc>
          <w:tcPr>
            <w:tcW w:w="1404" w:type="dxa"/>
          </w:tcPr>
          <w:p w:rsidR="00000000" w:rsidRDefault="00981342">
            <w:pPr>
              <w:jc w:val="right"/>
              <w:rPr>
                <w:rFonts w:ascii="Univers" w:hAnsi="Univers"/>
                <w:snapToGrid w:val="0"/>
                <w:color w:val="000000"/>
                <w:sz w:val="16"/>
              </w:rPr>
            </w:pPr>
            <w:r>
              <w:rPr>
                <w:rFonts w:ascii="Univers" w:hAnsi="Univers"/>
                <w:snapToGrid w:val="0"/>
                <w:color w:val="000000"/>
                <w:sz w:val="16"/>
              </w:rPr>
              <w:t xml:space="preserve">217,108,303 </w:t>
            </w:r>
          </w:p>
        </w:tc>
        <w:tc>
          <w:tcPr>
            <w:tcW w:w="127" w:type="dxa"/>
          </w:tcPr>
          <w:p w:rsidR="00000000" w:rsidRDefault="00981342">
            <w:pPr>
              <w:jc w:val="right"/>
              <w:rPr>
                <w:rFonts w:ascii="Univers" w:hAnsi="Univers"/>
                <w:snapToGrid w:val="0"/>
                <w:color w:val="000000"/>
                <w:sz w:val="16"/>
              </w:rPr>
            </w:pPr>
          </w:p>
        </w:tc>
        <w:tc>
          <w:tcPr>
            <w:tcW w:w="1404" w:type="dxa"/>
          </w:tcPr>
          <w:p w:rsidR="00000000" w:rsidRDefault="00981342">
            <w:pPr>
              <w:jc w:val="right"/>
              <w:rPr>
                <w:rFonts w:ascii="Univers" w:hAnsi="Univers"/>
                <w:snapToGrid w:val="0"/>
                <w:color w:val="000000"/>
                <w:sz w:val="16"/>
              </w:rPr>
            </w:pPr>
            <w:r>
              <w:rPr>
                <w:rFonts w:ascii="Univers" w:hAnsi="Univers"/>
                <w:snapToGrid w:val="0"/>
                <w:color w:val="000000"/>
                <w:sz w:val="16"/>
              </w:rPr>
              <w:t xml:space="preserve">221,211,138 </w:t>
            </w:r>
          </w:p>
        </w:tc>
        <w:tc>
          <w:tcPr>
            <w:tcW w:w="127" w:type="dxa"/>
          </w:tcPr>
          <w:p w:rsidR="00000000" w:rsidRDefault="00981342">
            <w:pPr>
              <w:jc w:val="right"/>
              <w:rPr>
                <w:rFonts w:ascii="Univers" w:hAnsi="Univers"/>
                <w:snapToGrid w:val="0"/>
                <w:color w:val="000000"/>
                <w:sz w:val="16"/>
              </w:rPr>
            </w:pPr>
          </w:p>
        </w:tc>
        <w:tc>
          <w:tcPr>
            <w:tcW w:w="1183" w:type="dxa"/>
          </w:tcPr>
          <w:p w:rsidR="00000000" w:rsidRDefault="00981342">
            <w:pPr>
              <w:jc w:val="right"/>
              <w:rPr>
                <w:rFonts w:ascii="Univers" w:hAnsi="Univers"/>
                <w:snapToGrid w:val="0"/>
                <w:color w:val="000000"/>
                <w:sz w:val="16"/>
              </w:rPr>
            </w:pPr>
            <w:r>
              <w:rPr>
                <w:rFonts w:ascii="Univers" w:hAnsi="Univers"/>
                <w:snapToGrid w:val="0"/>
                <w:color w:val="000000"/>
                <w:sz w:val="16"/>
              </w:rPr>
              <w:t xml:space="preserve">4,102,835 </w:t>
            </w:r>
          </w:p>
        </w:tc>
        <w:tc>
          <w:tcPr>
            <w:tcW w:w="127" w:type="dxa"/>
          </w:tcPr>
          <w:p w:rsidR="00000000" w:rsidRDefault="00981342">
            <w:pPr>
              <w:jc w:val="right"/>
              <w:rPr>
                <w:rFonts w:ascii="Univers" w:hAnsi="Univers"/>
                <w:snapToGrid w:val="0"/>
                <w:color w:val="000000"/>
                <w:sz w:val="16"/>
              </w:rPr>
            </w:pPr>
          </w:p>
        </w:tc>
        <w:tc>
          <w:tcPr>
            <w:tcW w:w="1042" w:type="dxa"/>
          </w:tcPr>
          <w:p w:rsidR="00000000" w:rsidRDefault="00981342">
            <w:pPr>
              <w:jc w:val="right"/>
              <w:rPr>
                <w:rFonts w:ascii="Univers" w:hAnsi="Univers"/>
                <w:snapToGrid w:val="0"/>
                <w:color w:val="000000"/>
                <w:sz w:val="16"/>
              </w:rPr>
            </w:pPr>
            <w:r>
              <w:rPr>
                <w:rFonts w:ascii="Univers" w:hAnsi="Univers"/>
                <w:snapToGrid w:val="0"/>
                <w:color w:val="000000"/>
                <w:sz w:val="16"/>
              </w:rPr>
              <w:t>1.9%</w:t>
            </w:r>
          </w:p>
        </w:tc>
      </w:tr>
      <w:tr w:rsidR="00000000">
        <w:tblPrEx>
          <w:tblCellMar>
            <w:top w:w="0" w:type="dxa"/>
            <w:bottom w:w="0" w:type="dxa"/>
          </w:tblCellMar>
        </w:tblPrEx>
        <w:trPr>
          <w:trHeight w:val="230"/>
          <w:jc w:val="center"/>
        </w:trPr>
        <w:tc>
          <w:tcPr>
            <w:tcW w:w="1766" w:type="dxa"/>
          </w:tcPr>
          <w:p w:rsidR="00000000" w:rsidRDefault="00981342">
            <w:pPr>
              <w:rPr>
                <w:rFonts w:ascii="Univers" w:hAnsi="Univers"/>
                <w:snapToGrid w:val="0"/>
                <w:color w:val="000000"/>
                <w:sz w:val="16"/>
              </w:rPr>
            </w:pPr>
            <w:r>
              <w:rPr>
                <w:rFonts w:ascii="Univers" w:hAnsi="Univers"/>
                <w:snapToGrid w:val="0"/>
                <w:color w:val="000000"/>
                <w:sz w:val="16"/>
              </w:rPr>
              <w:t>Motorcycle Ed. Fund</w:t>
            </w:r>
          </w:p>
        </w:tc>
        <w:tc>
          <w:tcPr>
            <w:tcW w:w="128" w:type="dxa"/>
          </w:tcPr>
          <w:p w:rsidR="00000000" w:rsidRDefault="00981342">
            <w:pPr>
              <w:jc w:val="right"/>
              <w:rPr>
                <w:rFonts w:ascii="Univers" w:hAnsi="Univers"/>
                <w:snapToGrid w:val="0"/>
                <w:color w:val="000000"/>
                <w:sz w:val="16"/>
              </w:rPr>
            </w:pPr>
          </w:p>
        </w:tc>
        <w:tc>
          <w:tcPr>
            <w:tcW w:w="1404" w:type="dxa"/>
          </w:tcPr>
          <w:p w:rsidR="00000000" w:rsidRDefault="00981342">
            <w:pPr>
              <w:jc w:val="right"/>
              <w:rPr>
                <w:rFonts w:ascii="Univers" w:hAnsi="Univers"/>
                <w:snapToGrid w:val="0"/>
                <w:color w:val="000000"/>
                <w:sz w:val="16"/>
              </w:rPr>
            </w:pPr>
            <w:r>
              <w:rPr>
                <w:rFonts w:ascii="Univers" w:hAnsi="Univers"/>
                <w:snapToGrid w:val="0"/>
                <w:color w:val="000000"/>
                <w:sz w:val="16"/>
              </w:rPr>
              <w:t xml:space="preserve">25,000 </w:t>
            </w:r>
          </w:p>
        </w:tc>
        <w:tc>
          <w:tcPr>
            <w:tcW w:w="127" w:type="dxa"/>
          </w:tcPr>
          <w:p w:rsidR="00000000" w:rsidRDefault="00981342">
            <w:pPr>
              <w:jc w:val="right"/>
              <w:rPr>
                <w:rFonts w:ascii="Univers" w:hAnsi="Univers"/>
                <w:snapToGrid w:val="0"/>
                <w:color w:val="000000"/>
                <w:sz w:val="16"/>
              </w:rPr>
            </w:pPr>
          </w:p>
        </w:tc>
        <w:tc>
          <w:tcPr>
            <w:tcW w:w="1404" w:type="dxa"/>
          </w:tcPr>
          <w:p w:rsidR="00000000" w:rsidRDefault="00981342">
            <w:pPr>
              <w:jc w:val="right"/>
              <w:rPr>
                <w:rFonts w:ascii="Univers" w:hAnsi="Univers"/>
                <w:snapToGrid w:val="0"/>
                <w:color w:val="000000"/>
                <w:sz w:val="16"/>
              </w:rPr>
            </w:pPr>
            <w:r>
              <w:rPr>
                <w:rFonts w:ascii="Univers" w:hAnsi="Univers"/>
                <w:snapToGrid w:val="0"/>
                <w:color w:val="000000"/>
                <w:sz w:val="16"/>
              </w:rPr>
              <w:t xml:space="preserve">0 </w:t>
            </w:r>
          </w:p>
        </w:tc>
        <w:tc>
          <w:tcPr>
            <w:tcW w:w="127" w:type="dxa"/>
          </w:tcPr>
          <w:p w:rsidR="00000000" w:rsidRDefault="00981342">
            <w:pPr>
              <w:jc w:val="right"/>
              <w:rPr>
                <w:rFonts w:ascii="Univers" w:hAnsi="Univers"/>
                <w:snapToGrid w:val="0"/>
                <w:color w:val="000000"/>
                <w:sz w:val="16"/>
              </w:rPr>
            </w:pPr>
          </w:p>
        </w:tc>
        <w:tc>
          <w:tcPr>
            <w:tcW w:w="1183" w:type="dxa"/>
          </w:tcPr>
          <w:p w:rsidR="00000000" w:rsidRDefault="00981342">
            <w:pPr>
              <w:jc w:val="right"/>
              <w:rPr>
                <w:rFonts w:ascii="Univers" w:hAnsi="Univers"/>
                <w:snapToGrid w:val="0"/>
                <w:color w:val="000000"/>
                <w:sz w:val="16"/>
              </w:rPr>
            </w:pPr>
            <w:r>
              <w:rPr>
                <w:rFonts w:ascii="Univers" w:hAnsi="Univers"/>
                <w:snapToGrid w:val="0"/>
                <w:color w:val="000000"/>
                <w:sz w:val="16"/>
              </w:rPr>
              <w:t xml:space="preserve">- 25,000 </w:t>
            </w:r>
          </w:p>
        </w:tc>
        <w:tc>
          <w:tcPr>
            <w:tcW w:w="127" w:type="dxa"/>
          </w:tcPr>
          <w:p w:rsidR="00000000" w:rsidRDefault="00981342">
            <w:pPr>
              <w:jc w:val="right"/>
              <w:rPr>
                <w:rFonts w:ascii="Univers" w:hAnsi="Univers"/>
                <w:snapToGrid w:val="0"/>
                <w:color w:val="000000"/>
                <w:sz w:val="16"/>
              </w:rPr>
            </w:pPr>
          </w:p>
        </w:tc>
        <w:tc>
          <w:tcPr>
            <w:tcW w:w="1042" w:type="dxa"/>
          </w:tcPr>
          <w:p w:rsidR="00000000" w:rsidRDefault="00981342">
            <w:pPr>
              <w:jc w:val="right"/>
              <w:rPr>
                <w:rFonts w:ascii="Univers" w:hAnsi="Univers"/>
                <w:snapToGrid w:val="0"/>
                <w:color w:val="000000"/>
                <w:sz w:val="16"/>
              </w:rPr>
            </w:pPr>
            <w:r>
              <w:rPr>
                <w:rFonts w:ascii="Univers" w:hAnsi="Univers"/>
                <w:snapToGrid w:val="0"/>
                <w:color w:val="000000"/>
                <w:sz w:val="16"/>
              </w:rPr>
              <w:t>-100.0%</w:t>
            </w:r>
          </w:p>
        </w:tc>
      </w:tr>
      <w:tr w:rsidR="00000000">
        <w:tblPrEx>
          <w:tblCellMar>
            <w:top w:w="0" w:type="dxa"/>
            <w:bottom w:w="0" w:type="dxa"/>
          </w:tblCellMar>
        </w:tblPrEx>
        <w:trPr>
          <w:trHeight w:val="245"/>
          <w:jc w:val="center"/>
        </w:trPr>
        <w:tc>
          <w:tcPr>
            <w:tcW w:w="1766" w:type="dxa"/>
          </w:tcPr>
          <w:p w:rsidR="00000000" w:rsidRDefault="00981342">
            <w:pPr>
              <w:rPr>
                <w:rFonts w:ascii="Univers" w:hAnsi="Univers"/>
                <w:snapToGrid w:val="0"/>
                <w:color w:val="000000"/>
                <w:sz w:val="16"/>
              </w:rPr>
            </w:pPr>
            <w:r>
              <w:rPr>
                <w:rFonts w:ascii="Univers" w:hAnsi="Univers"/>
                <w:snapToGrid w:val="0"/>
                <w:color w:val="000000"/>
                <w:sz w:val="16"/>
              </w:rPr>
              <w:t>Total</w:t>
            </w:r>
          </w:p>
        </w:tc>
        <w:tc>
          <w:tcPr>
            <w:tcW w:w="128" w:type="dxa"/>
          </w:tcPr>
          <w:p w:rsidR="00000000" w:rsidRDefault="00981342">
            <w:pPr>
              <w:jc w:val="right"/>
              <w:rPr>
                <w:rFonts w:ascii="Univers" w:hAnsi="Univers"/>
                <w:snapToGrid w:val="0"/>
                <w:color w:val="000000"/>
                <w:sz w:val="16"/>
              </w:rPr>
            </w:pPr>
          </w:p>
        </w:tc>
        <w:tc>
          <w:tcPr>
            <w:tcW w:w="1404" w:type="dxa"/>
            <w:tcBorders>
              <w:top w:val="single" w:sz="4" w:space="0" w:color="auto"/>
              <w:bottom w:val="double" w:sz="4" w:space="0" w:color="auto"/>
            </w:tcBorders>
          </w:tcPr>
          <w:p w:rsidR="00000000" w:rsidRDefault="00981342">
            <w:pPr>
              <w:jc w:val="right"/>
              <w:rPr>
                <w:rFonts w:ascii="Univers" w:hAnsi="Univers"/>
                <w:snapToGrid w:val="0"/>
                <w:color w:val="000000"/>
                <w:sz w:val="16"/>
              </w:rPr>
            </w:pPr>
            <w:r>
              <w:rPr>
                <w:rFonts w:ascii="Univers" w:hAnsi="Univers"/>
                <w:snapToGrid w:val="0"/>
                <w:color w:val="000000"/>
                <w:sz w:val="16"/>
              </w:rPr>
              <w:t xml:space="preserve">$254,119,068 </w:t>
            </w:r>
          </w:p>
        </w:tc>
        <w:tc>
          <w:tcPr>
            <w:tcW w:w="127" w:type="dxa"/>
          </w:tcPr>
          <w:p w:rsidR="00000000" w:rsidRDefault="00981342">
            <w:pPr>
              <w:jc w:val="right"/>
              <w:rPr>
                <w:rFonts w:ascii="Univers" w:hAnsi="Univers"/>
                <w:snapToGrid w:val="0"/>
                <w:color w:val="000000"/>
                <w:sz w:val="16"/>
              </w:rPr>
            </w:pPr>
          </w:p>
        </w:tc>
        <w:tc>
          <w:tcPr>
            <w:tcW w:w="1404" w:type="dxa"/>
            <w:tcBorders>
              <w:top w:val="single" w:sz="4" w:space="0" w:color="auto"/>
              <w:bottom w:val="double" w:sz="4" w:space="0" w:color="auto"/>
            </w:tcBorders>
          </w:tcPr>
          <w:p w:rsidR="00000000" w:rsidRDefault="00981342">
            <w:pPr>
              <w:jc w:val="right"/>
              <w:rPr>
                <w:rFonts w:ascii="Univers" w:hAnsi="Univers"/>
                <w:snapToGrid w:val="0"/>
                <w:color w:val="000000"/>
                <w:sz w:val="16"/>
              </w:rPr>
            </w:pPr>
            <w:r>
              <w:rPr>
                <w:rFonts w:ascii="Univers" w:hAnsi="Univers"/>
                <w:snapToGrid w:val="0"/>
                <w:color w:val="000000"/>
                <w:sz w:val="16"/>
              </w:rPr>
              <w:t xml:space="preserve">$259,594,957 </w:t>
            </w:r>
          </w:p>
        </w:tc>
        <w:tc>
          <w:tcPr>
            <w:tcW w:w="127" w:type="dxa"/>
          </w:tcPr>
          <w:p w:rsidR="00000000" w:rsidRDefault="00981342">
            <w:pPr>
              <w:jc w:val="right"/>
              <w:rPr>
                <w:rFonts w:ascii="Univers" w:hAnsi="Univers"/>
                <w:snapToGrid w:val="0"/>
                <w:color w:val="000000"/>
                <w:sz w:val="16"/>
              </w:rPr>
            </w:pPr>
          </w:p>
        </w:tc>
        <w:tc>
          <w:tcPr>
            <w:tcW w:w="1183" w:type="dxa"/>
            <w:tcBorders>
              <w:top w:val="single" w:sz="4" w:space="0" w:color="auto"/>
              <w:bottom w:val="double" w:sz="4" w:space="0" w:color="auto"/>
            </w:tcBorders>
          </w:tcPr>
          <w:p w:rsidR="00000000" w:rsidRDefault="00981342">
            <w:pPr>
              <w:jc w:val="right"/>
              <w:rPr>
                <w:rFonts w:ascii="Univers" w:hAnsi="Univers"/>
                <w:snapToGrid w:val="0"/>
                <w:color w:val="000000"/>
                <w:sz w:val="16"/>
              </w:rPr>
            </w:pPr>
            <w:r>
              <w:rPr>
                <w:rFonts w:ascii="Univers" w:hAnsi="Univers"/>
                <w:snapToGrid w:val="0"/>
                <w:color w:val="000000"/>
                <w:sz w:val="16"/>
              </w:rPr>
              <w:t xml:space="preserve">$5,475,889 </w:t>
            </w:r>
          </w:p>
        </w:tc>
        <w:tc>
          <w:tcPr>
            <w:tcW w:w="127" w:type="dxa"/>
          </w:tcPr>
          <w:p w:rsidR="00000000" w:rsidRDefault="00981342">
            <w:pPr>
              <w:jc w:val="right"/>
              <w:rPr>
                <w:rFonts w:ascii="Univers" w:hAnsi="Univers"/>
                <w:snapToGrid w:val="0"/>
                <w:color w:val="000000"/>
                <w:sz w:val="16"/>
              </w:rPr>
            </w:pPr>
          </w:p>
        </w:tc>
        <w:tc>
          <w:tcPr>
            <w:tcW w:w="1042" w:type="dxa"/>
            <w:tcBorders>
              <w:top w:val="single" w:sz="4" w:space="0" w:color="auto"/>
            </w:tcBorders>
          </w:tcPr>
          <w:p w:rsidR="00000000" w:rsidRDefault="00981342">
            <w:pPr>
              <w:jc w:val="right"/>
              <w:rPr>
                <w:rFonts w:ascii="Univers" w:hAnsi="Univers"/>
                <w:snapToGrid w:val="0"/>
                <w:color w:val="000000"/>
                <w:sz w:val="16"/>
              </w:rPr>
            </w:pPr>
            <w:r>
              <w:rPr>
                <w:rFonts w:ascii="Univers" w:hAnsi="Univers"/>
                <w:snapToGrid w:val="0"/>
                <w:color w:val="000000"/>
                <w:sz w:val="16"/>
              </w:rPr>
              <w:t>2.2%</w:t>
            </w:r>
          </w:p>
        </w:tc>
      </w:tr>
    </w:tbl>
    <w:p w:rsidR="00000000" w:rsidRDefault="00981342">
      <w:pPr>
        <w:pStyle w:val="textup"/>
      </w:pPr>
      <w:r>
        <w:rPr>
          <w:b/>
        </w:rPr>
        <w:t>House Approp. Action</w:t>
      </w:r>
      <w:r>
        <w:tab/>
        <w:t>The House Appropri</w:t>
      </w:r>
      <w:r>
        <w:t>ations Committee made the following amendments to the Bill:</w:t>
      </w:r>
    </w:p>
    <w:p w:rsidR="00000000" w:rsidRDefault="00981342">
      <w:pPr>
        <w:pStyle w:val="bulletup"/>
        <w:numPr>
          <w:ilvl w:val="0"/>
          <w:numId w:val="3"/>
        </w:numPr>
      </w:pPr>
      <w:r>
        <w:t>Decreased the General Fund appropriation for airport improvements by $25,000 and appropriated $25,000 to the Iowa Civil Air Patrol for maintenance and repairs to vehicles and aircraft.</w:t>
      </w:r>
    </w:p>
    <w:p w:rsidR="00000000" w:rsidRDefault="00981342">
      <w:pPr>
        <w:framePr w:w="943" w:h="916" w:hSpace="180" w:wrap="around" w:vAnchor="text" w:hAnchor="page" w:x="1297" w:y="726"/>
      </w:pPr>
      <w:r>
        <w:object w:dxaOrig="1080" w:dyaOrig="941">
          <v:shape id="_x0000_i1046" type="#_x0000_t75" style="width:54pt;height:40pt" o:ole="" fillcolor="window">
            <v:imagedata r:id="rId28" o:title=""/>
          </v:shape>
          <o:OLEObject Type="Embed" ProgID="Word.Picture.8" ShapeID="_x0000_i1046" DrawAspect="Content" ObjectID="_1314621660" r:id="rId29"/>
        </w:object>
      </w:r>
    </w:p>
    <w:p w:rsidR="00000000" w:rsidRDefault="00981342">
      <w:pPr>
        <w:pStyle w:val="bulletup"/>
        <w:numPr>
          <w:ilvl w:val="0"/>
          <w:numId w:val="3"/>
        </w:numPr>
      </w:pPr>
      <w:r>
        <w:t>Decreased the Primary Road Fund appropriation to the DOT’s Maintenance Division by $187,000 for the elimination of 7.0 FTE positions that have been vacant for more than one year.</w:t>
      </w:r>
    </w:p>
    <w:p w:rsidR="00000000" w:rsidRDefault="00981342">
      <w:pPr>
        <w:pStyle w:val="bulletup"/>
        <w:numPr>
          <w:ilvl w:val="0"/>
          <w:numId w:val="3"/>
        </w:numPr>
      </w:pPr>
      <w:r>
        <w:t xml:space="preserve">Added language to require the DOT to conduct a study of the </w:t>
      </w:r>
      <w:r>
        <w:t xml:space="preserve">hours of service for drivers that operate vehicles for hire and that are designed to </w:t>
      </w:r>
      <w:r>
        <w:lastRenderedPageBreak/>
        <w:t>transport more than six persons.  The study will not include drivers of vehicles that operate transportation services to the general public.</w:t>
      </w:r>
    </w:p>
    <w:p w:rsidR="00000000" w:rsidRDefault="00981342">
      <w:pPr>
        <w:pStyle w:val="bulletup"/>
        <w:numPr>
          <w:ilvl w:val="0"/>
          <w:numId w:val="3"/>
        </w:numPr>
      </w:pPr>
      <w:r>
        <w:t xml:space="preserve">Added language to require the </w:t>
      </w:r>
      <w:r>
        <w:t xml:space="preserve">DOT to review public policy issues related to State involvement in commercial truck parking and requires the DOT to report the findings to the General Assembly by January 1, 2000.  The amendment also eliminates language requiring the DOT to make available </w:t>
      </w:r>
      <w:r>
        <w:t>the parking areas of the former Clear Lake rest area for use for commercial vehicle parking.</w:t>
      </w:r>
      <w:r>
        <w:tab/>
      </w:r>
    </w:p>
    <w:p w:rsidR="00000000" w:rsidRDefault="00981342">
      <w:pPr>
        <w:framePr w:w="497" w:h="425" w:hSpace="180" w:wrap="auto" w:vAnchor="text" w:hAnchor="page" w:x="1353" w:y="393"/>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981342">
      <w:pPr>
        <w:pStyle w:val="textup"/>
      </w:pPr>
      <w:r>
        <w:rPr>
          <w:b/>
        </w:rPr>
        <w:t>Bill Summary</w:t>
      </w:r>
      <w:r>
        <w:tab/>
        <w:t>Copies of the Notes on Bills and Amendments (NOBA) are available from the LFB.</w:t>
      </w:r>
    </w:p>
    <w:p w:rsidR="00000000" w:rsidRDefault="00981342">
      <w:pPr>
        <w:pStyle w:val="Contactup"/>
      </w:pPr>
      <w:r>
        <w:t>STAFF CONTACT:  David Reynolds (Ext. 16934)</w:t>
      </w:r>
    </w:p>
    <w:p w:rsidR="00000000" w:rsidRDefault="00981342">
      <w:pPr>
        <w:pStyle w:val="Blurbtitle"/>
      </w:pPr>
      <w:bookmarkStart w:id="11" w:name="FU4CRSB"/>
      <w:r>
        <w:t>SEX OFFENDER REGISTRY</w:t>
      </w:r>
      <w:r>
        <w:t xml:space="preserve"> BILL - HF 136 PASSES HOUSE</w:t>
      </w:r>
      <w:bookmarkEnd w:id="11"/>
    </w:p>
    <w:p w:rsidR="00000000" w:rsidRDefault="00981342">
      <w:pPr>
        <w:pStyle w:val="textup"/>
      </w:pPr>
      <w:r>
        <w:rPr>
          <w:b/>
        </w:rPr>
        <w:t>Sex Offender Bill - HF 136</w:t>
      </w:r>
      <w:r>
        <w:tab/>
        <w:t>House File 136 passed the House on April 5.  The Bill amends the Sex Offender Registry Chapter by adding kidnapping and false imprisonment to the list of offenses that require registration with the Sex</w:t>
      </w:r>
      <w:r>
        <w:t xml:space="preserve"> Offender Registry.  The Bill provides for the exception of kidnapping committed by the minor’s parent.</w:t>
      </w:r>
    </w:p>
    <w:p w:rsidR="00000000" w:rsidRDefault="00981342">
      <w:pPr>
        <w:framePr w:hSpace="180" w:wrap="around" w:vAnchor="text" w:hAnchor="page" w:x="1153" w:y="709"/>
      </w:pPr>
      <w:r>
        <w:rPr>
          <w:noProof/>
        </w:rPr>
        <w:drawing>
          <wp:inline distT="0" distB="0" distL="0" distR="0">
            <wp:extent cx="914400" cy="5969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srcRect/>
                    <a:stretch>
                      <a:fillRect/>
                    </a:stretch>
                  </pic:blipFill>
                  <pic:spPr bwMode="auto">
                    <a:xfrm>
                      <a:off x="0" y="0"/>
                      <a:ext cx="914400" cy="596900"/>
                    </a:xfrm>
                    <a:prstGeom prst="rect">
                      <a:avLst/>
                    </a:prstGeom>
                    <a:noFill/>
                    <a:ln w="9525">
                      <a:noFill/>
                      <a:miter lim="800000"/>
                      <a:headEnd/>
                      <a:tailEnd/>
                    </a:ln>
                  </pic:spPr>
                </pic:pic>
              </a:graphicData>
            </a:graphic>
          </wp:inline>
        </w:drawing>
      </w:r>
    </w:p>
    <w:p w:rsidR="00000000" w:rsidRDefault="00981342">
      <w:pPr>
        <w:pStyle w:val="textup"/>
      </w:pPr>
      <w:r>
        <w:rPr>
          <w:b/>
        </w:rPr>
        <w:t>Federal Grant</w:t>
      </w:r>
      <w:r>
        <w:tab/>
        <w:t>Iowa will receive approximately $5.9 million in FY 1999 from the Federal Drug Control and System Improvement Grant funding, which is adm</w:t>
      </w:r>
      <w:r>
        <w:t>inistered by the Governor’s Alliance on Substance Abuse (GASA).  Eighty percent of this funding is passed through to local governments.  The U.S. Department of Justice has indicated that Iowa has until September 1999 to come into compliance with the federa</w:t>
      </w:r>
      <w:r>
        <w:t>l requirements pertaining to the Jacob Wetterling Act.  In order to be in compliance, Iowa must add kidnapping and false imprisonment, except by a minor’s parent, to the list of offenses requiring registration on the Sex Offender Registry.  The State faili</w:t>
      </w:r>
      <w:r>
        <w:t xml:space="preserve">ng to comply will lose 10% of their Drug Control and System Improvement Grant money. </w:t>
      </w:r>
    </w:p>
    <w:p w:rsidR="00000000" w:rsidRDefault="00981342">
      <w:pPr>
        <w:pStyle w:val="textup"/>
      </w:pPr>
      <w:r>
        <w:rPr>
          <w:b/>
        </w:rPr>
        <w:t>Impact on Funding</w:t>
      </w:r>
      <w:r>
        <w:tab/>
        <w:t>Based on the FY 1999 funding level, this could result in an annual reduction of $590,000 in Federal Drug Control and System Improvement Grant funding to</w:t>
      </w:r>
      <w:r>
        <w:t xml:space="preserve"> the State of Iowa.</w:t>
      </w:r>
    </w:p>
    <w:p w:rsidR="00000000" w:rsidRDefault="00981342">
      <w:pPr>
        <w:pStyle w:val="Contactup"/>
      </w:pPr>
      <w:r>
        <w:t>STAFF CONTACT:  Christina Schaefer (Ext. 16301)</w:t>
      </w:r>
    </w:p>
    <w:p w:rsidR="00000000" w:rsidRDefault="00981342"/>
    <w:p w:rsidR="00000000" w:rsidRDefault="00981342">
      <w:pPr>
        <w:framePr w:w="653" w:h="737" w:hSpace="180" w:wrap="around" w:vAnchor="text" w:hAnchor="page" w:x="1785" w:y="44"/>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381000" cy="317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srcRect/>
                    <a:stretch>
                      <a:fillRect/>
                    </a:stretch>
                  </pic:blipFill>
                  <pic:spPr bwMode="auto">
                    <a:xfrm>
                      <a:off x="0" y="0"/>
                      <a:ext cx="381000" cy="317500"/>
                    </a:xfrm>
                    <a:prstGeom prst="rect">
                      <a:avLst/>
                    </a:prstGeom>
                    <a:noFill/>
                    <a:ln w="9525">
                      <a:noFill/>
                      <a:miter lim="800000"/>
                      <a:headEnd/>
                      <a:tailEnd/>
                    </a:ln>
                  </pic:spPr>
                </pic:pic>
              </a:graphicData>
            </a:graphic>
          </wp:inline>
        </w:drawing>
      </w:r>
    </w:p>
    <w:p w:rsidR="00000000" w:rsidRDefault="00981342">
      <w:pPr>
        <w:framePr w:w="653" w:h="737" w:hSpace="180" w:wrap="around" w:vAnchor="text" w:hAnchor="page" w:x="1785" w:y="44"/>
        <w:pBdr>
          <w:top w:val="single" w:sz="12" w:space="5" w:color="auto" w:shadow="1"/>
          <w:left w:val="single" w:sz="12" w:space="5" w:color="auto" w:shadow="1"/>
          <w:bottom w:val="single" w:sz="12" w:space="5" w:color="auto" w:shadow="1"/>
          <w:right w:val="single" w:sz="12" w:space="5" w:color="auto" w:shadow="1"/>
        </w:pBdr>
        <w:rPr>
          <w:rFonts w:ascii="Univers" w:hAnsi="Univers"/>
          <w:b/>
          <w:sz w:val="16"/>
        </w:rPr>
      </w:pPr>
      <w:r>
        <w:rPr>
          <w:rFonts w:ascii="Univers" w:hAnsi="Univers"/>
          <w:b/>
          <w:sz w:val="16"/>
        </w:rPr>
        <w:t xml:space="preserve"> Website</w:t>
      </w:r>
    </w:p>
    <w:p w:rsidR="00000000" w:rsidRDefault="00981342">
      <w:pPr>
        <w:pStyle w:val="textup"/>
      </w:pPr>
      <w:r>
        <w:tab/>
        <w:t xml:space="preserve">Visit the LFB website located at </w:t>
      </w:r>
      <w:hyperlink r:id="rId32" w:history="1">
        <w:r>
          <w:rPr>
            <w:rStyle w:val="Hyperlink"/>
            <w:b/>
            <w:i/>
          </w:rPr>
          <w:t>http</w:t>
        </w:r>
        <w:bookmarkStart w:id="12" w:name="_Hlt436391950"/>
        <w:r>
          <w:rPr>
            <w:rStyle w:val="Hyperlink"/>
            <w:b/>
            <w:i/>
          </w:rPr>
          <w:t>:</w:t>
        </w:r>
        <w:bookmarkEnd w:id="12"/>
        <w:r>
          <w:rPr>
            <w:rStyle w:val="Hyperlink"/>
            <w:b/>
            <w:i/>
          </w:rPr>
          <w:t>//staffweb.le</w:t>
        </w:r>
        <w:bookmarkStart w:id="13" w:name="_Hlt436391976"/>
        <w:r>
          <w:rPr>
            <w:rStyle w:val="Hyperlink"/>
            <w:b/>
            <w:i/>
          </w:rPr>
          <w:t>g</w:t>
        </w:r>
        <w:bookmarkEnd w:id="13"/>
        <w:r>
          <w:rPr>
            <w:rStyle w:val="Hyperlink"/>
            <w:b/>
            <w:i/>
          </w:rPr>
          <w:t>is.state.ia.us/lfb/</w:t>
        </w:r>
      </w:hyperlink>
    </w:p>
    <w:p w:rsidR="00000000" w:rsidRDefault="00981342"/>
    <w:p w:rsidR="00000000" w:rsidRDefault="00981342">
      <w:pPr>
        <w:framePr w:w="11009" w:h="2881" w:hSpace="180" w:wrap="around" w:vAnchor="text" w:hAnchor="page" w:x="617" w:y="9844"/>
      </w:pPr>
    </w:p>
    <w:sectPr w:rsidR="00000000">
      <w:headerReference w:type="even" r:id="rId33"/>
      <w:headerReference w:type="default" r:id="rId34"/>
      <w:type w:val="continuous"/>
      <w:pgSz w:w="12240" w:h="15840" w:code="1"/>
      <w:pgMar w:top="1440" w:right="1440" w:bottom="1440" w:left="396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981342">
      <w:r>
        <w:separator/>
      </w:r>
    </w:p>
  </w:endnote>
  <w:endnote w:type="continuationSeparator" w:id="1">
    <w:p w:rsidR="00000000" w:rsidRDefault="009813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981342">
      <w:r>
        <w:separator/>
      </w:r>
    </w:p>
  </w:footnote>
  <w:footnote w:type="continuationSeparator" w:id="1">
    <w:p w:rsidR="00000000" w:rsidRDefault="009813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81342">
    <w:pPr>
      <w:pStyle w:val="Header"/>
    </w:pPr>
    <w:r>
      <w:t>FISCAL UPDATE</w:t>
    </w:r>
  </w:p>
  <w:p w:rsidR="00000000" w:rsidRDefault="00981342">
    <w:pPr>
      <w:pStyle w:val="pagenumber6"/>
    </w:pPr>
    <w:bookmarkStart w:id="14" w:name="HeaderEvenLockDate"/>
    <w:r>
      <w:rPr>
        <w:rFonts w:ascii="Times New Roman" w:hAnsi="Times New Roman"/>
        <w:noProof/>
      </w:rPr>
      <w:pict>
        <v:line id="_x0000_s2049" style="position:absolute;left:0;text-align:left;z-index:251657216;mso-position-horizontal:absolute;mso-position-horizontal-relative:text;mso-position-vertical:absolute;mso-position-vertical-relative:text" from="-2in,21.65pt" to="345.65pt,21.7pt" o:allowincell="f" strokeweight="2pt">
          <v:stroke startarrowwidth="narrow" startarrowlength="short" endarrowwidth="narrow" endarrowlength="short"/>
        </v:line>
      </w:pict>
    </w:r>
    <w:r>
      <w:rPr>
        <w:noProof/>
      </w:rPr>
      <w:t>April 12, 1999</w:t>
    </w:r>
    <w:bookmarkEnd w:id="14"/>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14</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81342">
    <w:pPr>
      <w:pStyle w:val="Header7"/>
    </w:pPr>
    <w:r>
      <w:t>FISCAL UPDATE</w:t>
    </w:r>
  </w:p>
  <w:p w:rsidR="00000000" w:rsidRDefault="00981342">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15</w:t>
    </w:r>
    <w:r>
      <w:rPr>
        <w:rStyle w:val="PageNumber"/>
        <w:b w:val="0"/>
      </w:rPr>
      <w:fldChar w:fldCharType="end"/>
    </w:r>
    <w:r>
      <w:rPr>
        <w:rStyle w:val="PageNumber"/>
        <w:b w:val="0"/>
      </w:rPr>
      <w:t xml:space="preserve">                                   </w:t>
    </w:r>
    <w:r>
      <w:rPr>
        <w:rStyle w:val="PageNumber"/>
        <w:noProof/>
      </w:rPr>
      <w:t>April 12, 1999</w:t>
    </w:r>
  </w:p>
  <w:p w:rsidR="00000000" w:rsidRDefault="00981342">
    <w:pPr>
      <w:pStyle w:val="Header7"/>
    </w:pPr>
    <w:r>
      <w:rPr>
        <w:noProof/>
      </w:rPr>
      <w:pict>
        <v:line id="_x0000_s2050" style="position:absolute;left:0;text-align:left;z-index:251658240;mso-position-horizontal:absolute;mso-position-horizontal-relative:text;mso-position-vertical:absolute;mso-position-vertical-relative:text" from="-140.4pt,7.25pt" to="349.25pt,7.3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9650FBD"/>
    <w:multiLevelType w:val="singleLevel"/>
    <w:tmpl w:val="88D4BC6E"/>
    <w:lvl w:ilvl="0">
      <w:start w:val="1"/>
      <w:numFmt w:val="bullet"/>
      <w:lvlText w:val=""/>
      <w:lvlJc w:val="left"/>
      <w:pPr>
        <w:tabs>
          <w:tab w:val="num" w:pos="360"/>
        </w:tabs>
        <w:ind w:left="360" w:hanging="360"/>
      </w:pPr>
      <w:rPr>
        <w:rFonts w:ascii="Symbol" w:hAnsi="Symbol" w:hint="default"/>
        <w:sz w:val="16"/>
      </w:rPr>
    </w:lvl>
  </w:abstractNum>
  <w:abstractNum w:abstractNumId="2">
    <w:nsid w:val="1CFD51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3A47197"/>
    <w:multiLevelType w:val="singleLevel"/>
    <w:tmpl w:val="88D4BC6E"/>
    <w:lvl w:ilvl="0">
      <w:start w:val="1"/>
      <w:numFmt w:val="bullet"/>
      <w:lvlText w:val=""/>
      <w:lvlJc w:val="left"/>
      <w:pPr>
        <w:tabs>
          <w:tab w:val="num" w:pos="360"/>
        </w:tabs>
        <w:ind w:left="360" w:hanging="360"/>
      </w:pPr>
      <w:rPr>
        <w:rFonts w:ascii="Symbol" w:hAnsi="Symbol" w:hint="default"/>
        <w:sz w:val="16"/>
      </w:rPr>
    </w:lvl>
  </w:abstractNum>
  <w:abstractNum w:abstractNumId="4">
    <w:nsid w:val="24A50804"/>
    <w:multiLevelType w:val="singleLevel"/>
    <w:tmpl w:val="88D4BC6E"/>
    <w:lvl w:ilvl="0">
      <w:start w:val="1"/>
      <w:numFmt w:val="bullet"/>
      <w:lvlText w:val=""/>
      <w:lvlJc w:val="left"/>
      <w:pPr>
        <w:tabs>
          <w:tab w:val="num" w:pos="360"/>
        </w:tabs>
        <w:ind w:left="360" w:hanging="360"/>
      </w:pPr>
      <w:rPr>
        <w:rFonts w:ascii="Symbol" w:hAnsi="Symbol" w:hint="default"/>
        <w:sz w:val="16"/>
      </w:rPr>
    </w:lvl>
  </w:abstractNum>
  <w:abstractNum w:abstractNumId="5">
    <w:nsid w:val="3295366D"/>
    <w:multiLevelType w:val="singleLevel"/>
    <w:tmpl w:val="88D4BC6E"/>
    <w:lvl w:ilvl="0">
      <w:start w:val="1"/>
      <w:numFmt w:val="bullet"/>
      <w:lvlText w:val=""/>
      <w:lvlJc w:val="left"/>
      <w:pPr>
        <w:tabs>
          <w:tab w:val="num" w:pos="360"/>
        </w:tabs>
        <w:ind w:left="360" w:hanging="360"/>
      </w:pPr>
      <w:rPr>
        <w:rFonts w:ascii="Symbol" w:hAnsi="Symbol" w:hint="default"/>
        <w:sz w:val="16"/>
      </w:rPr>
    </w:lvl>
  </w:abstractNum>
  <w:abstractNum w:abstractNumId="6">
    <w:nsid w:val="342E0CB3"/>
    <w:multiLevelType w:val="singleLevel"/>
    <w:tmpl w:val="88D4BC6E"/>
    <w:lvl w:ilvl="0">
      <w:start w:val="1"/>
      <w:numFmt w:val="bullet"/>
      <w:lvlText w:val=""/>
      <w:lvlJc w:val="left"/>
      <w:pPr>
        <w:tabs>
          <w:tab w:val="num" w:pos="360"/>
        </w:tabs>
        <w:ind w:left="360" w:hanging="360"/>
      </w:pPr>
      <w:rPr>
        <w:rFonts w:ascii="Symbol" w:hAnsi="Symbol" w:hint="default"/>
        <w:sz w:val="16"/>
      </w:rPr>
    </w:lvl>
  </w:abstractNum>
  <w:abstractNum w:abstractNumId="7">
    <w:nsid w:val="3C23563E"/>
    <w:multiLevelType w:val="singleLevel"/>
    <w:tmpl w:val="88D4BC6E"/>
    <w:lvl w:ilvl="0">
      <w:start w:val="1"/>
      <w:numFmt w:val="bullet"/>
      <w:lvlText w:val=""/>
      <w:lvlJc w:val="left"/>
      <w:pPr>
        <w:tabs>
          <w:tab w:val="num" w:pos="360"/>
        </w:tabs>
        <w:ind w:left="360" w:hanging="360"/>
      </w:pPr>
      <w:rPr>
        <w:rFonts w:ascii="Symbol" w:hAnsi="Symbol" w:hint="default"/>
        <w:sz w:val="16"/>
      </w:rPr>
    </w:lvl>
  </w:abstractNum>
  <w:abstractNum w:abstractNumId="8">
    <w:nsid w:val="41966984"/>
    <w:multiLevelType w:val="singleLevel"/>
    <w:tmpl w:val="88D4BC6E"/>
    <w:lvl w:ilvl="0">
      <w:start w:val="1"/>
      <w:numFmt w:val="bullet"/>
      <w:lvlText w:val=""/>
      <w:lvlJc w:val="left"/>
      <w:pPr>
        <w:tabs>
          <w:tab w:val="num" w:pos="360"/>
        </w:tabs>
        <w:ind w:left="360" w:hanging="360"/>
      </w:pPr>
      <w:rPr>
        <w:rFonts w:ascii="Symbol" w:hAnsi="Symbol" w:hint="default"/>
        <w:sz w:val="16"/>
      </w:rPr>
    </w:lvl>
  </w:abstractNum>
  <w:abstractNum w:abstractNumId="9">
    <w:nsid w:val="429F0EC1"/>
    <w:multiLevelType w:val="singleLevel"/>
    <w:tmpl w:val="88D4BC6E"/>
    <w:lvl w:ilvl="0">
      <w:start w:val="1"/>
      <w:numFmt w:val="bullet"/>
      <w:lvlText w:val=""/>
      <w:lvlJc w:val="left"/>
      <w:pPr>
        <w:tabs>
          <w:tab w:val="num" w:pos="360"/>
        </w:tabs>
        <w:ind w:left="360" w:hanging="360"/>
      </w:pPr>
      <w:rPr>
        <w:rFonts w:ascii="Symbol" w:hAnsi="Symbol" w:hint="default"/>
        <w:sz w:val="16"/>
      </w:rPr>
    </w:lvl>
  </w:abstractNum>
  <w:abstractNum w:abstractNumId="10">
    <w:nsid w:val="4526169D"/>
    <w:multiLevelType w:val="singleLevel"/>
    <w:tmpl w:val="88D4BC6E"/>
    <w:lvl w:ilvl="0">
      <w:start w:val="1"/>
      <w:numFmt w:val="bullet"/>
      <w:lvlText w:val=""/>
      <w:lvlJc w:val="left"/>
      <w:pPr>
        <w:tabs>
          <w:tab w:val="num" w:pos="360"/>
        </w:tabs>
        <w:ind w:left="360" w:hanging="360"/>
      </w:pPr>
      <w:rPr>
        <w:rFonts w:ascii="Symbol" w:hAnsi="Symbol" w:hint="default"/>
        <w:sz w:val="16"/>
      </w:rPr>
    </w:lvl>
  </w:abstractNum>
  <w:abstractNum w:abstractNumId="11">
    <w:nsid w:val="5AA11F1A"/>
    <w:multiLevelType w:val="singleLevel"/>
    <w:tmpl w:val="F60846E8"/>
    <w:lvl w:ilvl="0">
      <w:start w:val="1"/>
      <w:numFmt w:val="bullet"/>
      <w:lvlText w:val=""/>
      <w:lvlJc w:val="left"/>
      <w:pPr>
        <w:tabs>
          <w:tab w:val="num" w:pos="360"/>
        </w:tabs>
        <w:ind w:left="360" w:hanging="360"/>
      </w:pPr>
      <w:rPr>
        <w:rFonts w:ascii="Symbol" w:hAnsi="Symbol" w:hint="default"/>
        <w:sz w:val="16"/>
      </w:rPr>
    </w:lvl>
  </w:abstractNum>
  <w:abstractNum w:abstractNumId="12">
    <w:nsid w:val="5C2128C9"/>
    <w:multiLevelType w:val="singleLevel"/>
    <w:tmpl w:val="88D4BC6E"/>
    <w:lvl w:ilvl="0">
      <w:start w:val="1"/>
      <w:numFmt w:val="bullet"/>
      <w:lvlText w:val=""/>
      <w:lvlJc w:val="left"/>
      <w:pPr>
        <w:tabs>
          <w:tab w:val="num" w:pos="360"/>
        </w:tabs>
        <w:ind w:left="360" w:hanging="360"/>
      </w:pPr>
      <w:rPr>
        <w:rFonts w:ascii="Symbol" w:hAnsi="Symbol" w:hint="default"/>
        <w:sz w:val="16"/>
      </w:rPr>
    </w:lvl>
  </w:abstractNum>
  <w:abstractNum w:abstractNumId="13">
    <w:nsid w:val="62326066"/>
    <w:multiLevelType w:val="singleLevel"/>
    <w:tmpl w:val="88D4BC6E"/>
    <w:lvl w:ilvl="0">
      <w:start w:val="1"/>
      <w:numFmt w:val="bullet"/>
      <w:lvlText w:val=""/>
      <w:lvlJc w:val="left"/>
      <w:pPr>
        <w:tabs>
          <w:tab w:val="num" w:pos="360"/>
        </w:tabs>
        <w:ind w:left="360" w:hanging="360"/>
      </w:pPr>
      <w:rPr>
        <w:rFonts w:ascii="Symbol" w:hAnsi="Symbol" w:hint="default"/>
        <w:sz w:val="16"/>
      </w:rPr>
    </w:lvl>
  </w:abstractNum>
  <w:abstractNum w:abstractNumId="14">
    <w:nsid w:val="697C0578"/>
    <w:multiLevelType w:val="singleLevel"/>
    <w:tmpl w:val="91609466"/>
    <w:lvl w:ilvl="0">
      <w:start w:val="1"/>
      <w:numFmt w:val="bullet"/>
      <w:lvlText w:val=""/>
      <w:lvlJc w:val="left"/>
      <w:pPr>
        <w:tabs>
          <w:tab w:val="num" w:pos="360"/>
        </w:tabs>
        <w:ind w:left="360" w:hanging="360"/>
      </w:pPr>
      <w:rPr>
        <w:rFonts w:ascii="Symbol" w:hAnsi="Symbol" w:hint="default"/>
      </w:rPr>
    </w:lvl>
  </w:abstractNum>
  <w:abstractNum w:abstractNumId="15">
    <w:nsid w:val="6A6E55DD"/>
    <w:multiLevelType w:val="singleLevel"/>
    <w:tmpl w:val="D94494D2"/>
    <w:lvl w:ilvl="0">
      <w:start w:val="1"/>
      <w:numFmt w:val="bullet"/>
      <w:lvlText w:val=""/>
      <w:lvlJc w:val="left"/>
      <w:pPr>
        <w:tabs>
          <w:tab w:val="num" w:pos="0"/>
        </w:tabs>
        <w:ind w:left="792" w:hanging="360"/>
      </w:pPr>
      <w:rPr>
        <w:rFonts w:ascii="Symbol" w:hAnsi="Symbol" w:hint="default"/>
        <w:sz w:val="12"/>
      </w:rPr>
    </w:lvl>
  </w:abstractNum>
  <w:abstractNum w:abstractNumId="16">
    <w:nsid w:val="6D0D4A1B"/>
    <w:multiLevelType w:val="singleLevel"/>
    <w:tmpl w:val="88D4BC6E"/>
    <w:lvl w:ilvl="0">
      <w:start w:val="1"/>
      <w:numFmt w:val="bullet"/>
      <w:lvlText w:val=""/>
      <w:lvlJc w:val="left"/>
      <w:pPr>
        <w:tabs>
          <w:tab w:val="num" w:pos="360"/>
        </w:tabs>
        <w:ind w:left="360" w:hanging="360"/>
      </w:pPr>
      <w:rPr>
        <w:rFonts w:ascii="Symbol" w:hAnsi="Symbol" w:hint="default"/>
        <w:sz w:val="16"/>
      </w:rPr>
    </w:lvl>
  </w:abstractNum>
  <w:abstractNum w:abstractNumId="17">
    <w:nsid w:val="6D110078"/>
    <w:multiLevelType w:val="singleLevel"/>
    <w:tmpl w:val="88D4BC6E"/>
    <w:lvl w:ilvl="0">
      <w:start w:val="1"/>
      <w:numFmt w:val="bullet"/>
      <w:lvlText w:val=""/>
      <w:lvlJc w:val="left"/>
      <w:pPr>
        <w:tabs>
          <w:tab w:val="num" w:pos="360"/>
        </w:tabs>
        <w:ind w:left="360" w:hanging="360"/>
      </w:pPr>
      <w:rPr>
        <w:rFonts w:ascii="Symbol" w:hAnsi="Symbol" w:hint="default"/>
        <w:sz w:val="16"/>
      </w:rPr>
    </w:lvl>
  </w:abstractNum>
  <w:abstractNum w:abstractNumId="18">
    <w:nsid w:val="7BB103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CFA5AE8"/>
    <w:multiLevelType w:val="singleLevel"/>
    <w:tmpl w:val="88D4BC6E"/>
    <w:lvl w:ilvl="0">
      <w:start w:val="1"/>
      <w:numFmt w:val="bullet"/>
      <w:lvlText w:val=""/>
      <w:lvlJc w:val="left"/>
      <w:pPr>
        <w:tabs>
          <w:tab w:val="num" w:pos="360"/>
        </w:tabs>
        <w:ind w:left="360" w:hanging="360"/>
      </w:pPr>
      <w:rPr>
        <w:rFonts w:ascii="Symbol" w:hAnsi="Symbol" w:hint="default"/>
        <w:sz w:val="16"/>
      </w:rPr>
    </w:lvl>
  </w:abstractNum>
  <w:num w:numId="1">
    <w:abstractNumId w:val="0"/>
    <w:lvlOverride w:ilvl="0">
      <w:lvl w:ilvl="0">
        <w:start w:val="1"/>
        <w:numFmt w:val="bullet"/>
        <w:lvlText w:val=""/>
        <w:legacy w:legacy="1" w:legacySpace="0" w:legacyIndent="360"/>
        <w:lvlJc w:val="left"/>
        <w:pPr>
          <w:ind w:left="792" w:hanging="360"/>
        </w:pPr>
        <w:rPr>
          <w:rFonts w:ascii="Symbol" w:hAnsi="Symbol" w:hint="default"/>
          <w:sz w:val="12"/>
        </w:rPr>
      </w:lvl>
    </w:lvlOverride>
  </w:num>
  <w:num w:numId="2">
    <w:abstractNumId w:val="14"/>
  </w:num>
  <w:num w:numId="3">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4">
    <w:abstractNumId w:val="2"/>
  </w:num>
  <w:num w:numId="5">
    <w:abstractNumId w:val="18"/>
  </w:num>
  <w:num w:numId="6">
    <w:abstractNumId w:val="0"/>
    <w:lvlOverride w:ilvl="0">
      <w:lvl w:ilvl="0">
        <w:start w:val="1"/>
        <w:numFmt w:val="bullet"/>
        <w:lvlText w:val=""/>
        <w:legacy w:legacy="1" w:legacySpace="0" w:legacyIndent="360"/>
        <w:lvlJc w:val="left"/>
        <w:pPr>
          <w:ind w:left="360" w:hanging="360"/>
        </w:pPr>
        <w:rPr>
          <w:rFonts w:ascii="Times" w:hAnsi="Times" w:hint="default"/>
          <w:sz w:val="18"/>
        </w:rPr>
      </w:lvl>
    </w:lvlOverride>
  </w:num>
  <w:num w:numId="7">
    <w:abstractNumId w:val="0"/>
    <w:lvlOverride w:ilvl="0">
      <w:lvl w:ilvl="0">
        <w:start w:val="1"/>
        <w:numFmt w:val="bullet"/>
        <w:lvlText w:val=""/>
        <w:legacy w:legacy="1" w:legacySpace="0" w:legacyIndent="360"/>
        <w:lvlJc w:val="left"/>
        <w:pPr>
          <w:ind w:left="792" w:hanging="360"/>
        </w:pPr>
        <w:rPr>
          <w:rFonts w:ascii="Times" w:hAnsi="Times" w:hint="default"/>
          <w:sz w:val="12"/>
        </w:rPr>
      </w:lvl>
    </w:lvlOverride>
  </w:num>
  <w:num w:numId="8">
    <w:abstractNumId w:val="0"/>
    <w:lvlOverride w:ilvl="0">
      <w:lvl w:ilvl="0">
        <w:start w:val="1"/>
        <w:numFmt w:val="bullet"/>
        <w:lvlText w:val=""/>
        <w:legacy w:legacy="1" w:legacySpace="0" w:legacyIndent="360"/>
        <w:lvlJc w:val="left"/>
        <w:pPr>
          <w:ind w:left="360" w:hanging="360"/>
        </w:pPr>
        <w:rPr>
          <w:rFonts w:ascii="Arial" w:hAnsi="Arial" w:hint="default"/>
          <w:sz w:val="18"/>
        </w:rPr>
      </w:lvl>
    </w:lvlOverride>
  </w:num>
  <w:num w:numId="9">
    <w:abstractNumId w:val="0"/>
    <w:lvlOverride w:ilvl="0">
      <w:lvl w:ilvl="0">
        <w:start w:val="1"/>
        <w:numFmt w:val="bullet"/>
        <w:lvlText w:val=""/>
        <w:legacy w:legacy="1" w:legacySpace="0" w:legacyIndent="360"/>
        <w:lvlJc w:val="left"/>
        <w:pPr>
          <w:ind w:left="792" w:hanging="360"/>
        </w:pPr>
        <w:rPr>
          <w:rFonts w:ascii="Arial" w:hAnsi="Arial" w:hint="default"/>
          <w:sz w:val="12"/>
        </w:rPr>
      </w:lvl>
    </w:lvlOverride>
  </w:num>
  <w:num w:numId="10">
    <w:abstractNumId w:val="17"/>
  </w:num>
  <w:num w:numId="11">
    <w:abstractNumId w:val="5"/>
  </w:num>
  <w:num w:numId="12">
    <w:abstractNumId w:val="6"/>
  </w:num>
  <w:num w:numId="13">
    <w:abstractNumId w:val="12"/>
  </w:num>
  <w:num w:numId="14">
    <w:abstractNumId w:val="11"/>
  </w:num>
  <w:num w:numId="15">
    <w:abstractNumId w:val="13"/>
  </w:num>
  <w:num w:numId="16">
    <w:abstractNumId w:val="19"/>
  </w:num>
  <w:num w:numId="17">
    <w:abstractNumId w:val="10"/>
  </w:num>
  <w:num w:numId="18">
    <w:abstractNumId w:val="7"/>
  </w:num>
  <w:num w:numId="19">
    <w:abstractNumId w:val="9"/>
  </w:num>
  <w:num w:numId="20">
    <w:abstractNumId w:val="4"/>
  </w:num>
  <w:num w:numId="21">
    <w:abstractNumId w:val="3"/>
  </w:num>
  <w:num w:numId="22">
    <w:abstractNumId w:val="1"/>
  </w:num>
  <w:num w:numId="23">
    <w:abstractNumId w:val="16"/>
  </w:num>
  <w:num w:numId="24">
    <w:abstractNumId w:val="8"/>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linkStyl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981342"/>
    <w:rsid w:val="009813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spacing w:before="160" w:after="120"/>
      <w:ind w:left="-2880" w:firstLine="2880"/>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spacing w:after="200"/>
      <w:ind w:left="360" w:hanging="360"/>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paragraph" w:customStyle="1" w:styleId="monitor">
    <w:name w:val="monitor"/>
    <w:basedOn w:val="textup"/>
    <w:pPr>
      <w:spacing w:after="0"/>
    </w:pPr>
    <w:rPr>
      <w:sz w:val="18"/>
    </w:rPr>
  </w:style>
  <w:style w:type="paragraph" w:customStyle="1" w:styleId="Number">
    <w:name w:val="Number"/>
    <w:basedOn w:val="bulletup"/>
  </w:style>
  <w:style w:type="paragraph" w:customStyle="1" w:styleId="Outline">
    <w:name w:val="Outline"/>
    <w:basedOn w:val="bulletup"/>
  </w:style>
  <w:style w:type="paragraph" w:styleId="BodyText">
    <w:name w:val="Body Text"/>
    <w:basedOn w:val="Normal"/>
    <w:semiHidden/>
    <w:pPr>
      <w:framePr w:w="792" w:h="864" w:hSpace="187" w:wrap="around" w:vAnchor="page" w:hAnchor="page" w:x="1202" w:y="11953"/>
      <w:pBdr>
        <w:top w:val="single" w:sz="12" w:space="5" w:color="auto" w:shadow="1"/>
        <w:left w:val="single" w:sz="12" w:space="5" w:color="auto" w:shadow="1"/>
        <w:bottom w:val="single" w:sz="12" w:space="5" w:color="auto" w:shadow="1"/>
        <w:right w:val="single" w:sz="12" w:space="5" w:color="auto" w:shadow="1"/>
      </w:pBdr>
    </w:pPr>
    <w:rPr>
      <w:sz w:val="16"/>
    </w:rPr>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wmf"/><Relationship Id="rId18" Type="http://schemas.openxmlformats.org/officeDocument/2006/relationships/image" Target="media/image10.wmf"/><Relationship Id="rId26"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oleObject" Target="embeddings/oleObject3.bin"/><Relationship Id="rId34"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9.wmf"/><Relationship Id="rId25" Type="http://schemas.openxmlformats.org/officeDocument/2006/relationships/image" Target="media/image16.wmf"/><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5.wmf"/><Relationship Id="rId32" Type="http://schemas.openxmlformats.org/officeDocument/2006/relationships/hyperlink" Target="http://staffweb.legis.state.ia.us/lfb/" TargetMode="Externa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4.wmf"/><Relationship Id="rId28" Type="http://schemas.openxmlformats.org/officeDocument/2006/relationships/image" Target="media/image18.wmf"/><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11.wmf"/><Relationship Id="rId31"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image" Target="media/image13.png"/><Relationship Id="rId27" Type="http://schemas.openxmlformats.org/officeDocument/2006/relationships/image" Target="media/image17.wmf"/><Relationship Id="rId30" Type="http://schemas.openxmlformats.org/officeDocument/2006/relationships/image" Target="media/image19.wmf"/><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1</TotalTime>
  <Pages>15</Pages>
  <Words>4730</Words>
  <Characters>26967</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FISCAL UPDATE        April 12, 1999</vt:lpstr>
    </vt:vector>
  </TitlesOfParts>
  <Company>Iowa Legislature</Company>
  <LinksUpToDate>false</LinksUpToDate>
  <CharactersWithSpaces>31634</CharactersWithSpaces>
  <SharedDoc>false</SharedDoc>
  <HLinks>
    <vt:vector size="6" baseType="variant">
      <vt:variant>
        <vt:i4>6946875</vt:i4>
      </vt:variant>
      <vt:variant>
        <vt:i4>12</vt:i4>
      </vt:variant>
      <vt:variant>
        <vt:i4>0</vt:i4>
      </vt:variant>
      <vt:variant>
        <vt:i4>5</vt:i4>
      </vt:variant>
      <vt:variant>
        <vt:lpwstr>http://staffweb.legis.state.ia.us/lfb/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April 12, 1999</dc:title>
  <dc:subject/>
  <dc:creator>Holly Lyons</dc:creator>
  <cp:keywords/>
  <dc:description/>
  <cp:lastModifiedBy>Margaret Noon</cp:lastModifiedBy>
  <cp:revision>2</cp:revision>
  <cp:lastPrinted>1999-04-12T19:06:00Z</cp:lastPrinted>
  <dcterms:created xsi:type="dcterms:W3CDTF">2009-09-16T20:55:00Z</dcterms:created>
  <dcterms:modified xsi:type="dcterms:W3CDTF">2009-09-16T20:55:00Z</dcterms:modified>
</cp:coreProperties>
</file>