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761D12">
      <w:pPr>
        <w:pStyle w:val="TITLEup"/>
        <w:framePr w:w="12239" w:h="1570" w:hSpace="187" w:wrap="around" w:x="1" w:y="-709"/>
        <w:pBdr>
          <w:top w:val="none" w:sz="0" w:space="0" w:color="auto"/>
          <w:left w:val="none" w:sz="0" w:space="0" w:color="auto"/>
          <w:bottom w:val="none" w:sz="0" w:space="0" w:color="auto"/>
          <w:right w:val="none" w:sz="0" w:space="0" w:color="auto"/>
        </w:pBdr>
        <w:shd w:val="pct10" w:color="auto" w:fill="auto"/>
        <w:tabs>
          <w:tab w:val="left" w:pos="900"/>
          <w:tab w:val="right" w:pos="11340"/>
        </w:tabs>
      </w:pPr>
      <w:r>
        <w:tab/>
        <w:t xml:space="preserve">FISCAL UPDATE </w:t>
      </w:r>
      <w:r>
        <w:tab/>
      </w:r>
      <w:r>
        <w:rPr>
          <w:sz w:val="36"/>
        </w:rPr>
        <w:t>October 05, 1998</w:t>
      </w:r>
    </w:p>
    <w:p w:rsidR="00000000" w:rsidRDefault="00761D12">
      <w:pPr>
        <w:pStyle w:val="TITLE3up"/>
        <w:framePr w:w="12159" w:wrap="around" w:x="1"/>
        <w:shd w:val="pct10" w:color="auto" w:fill="auto"/>
        <w:tabs>
          <w:tab w:val="left" w:pos="900"/>
          <w:tab w:val="right" w:pos="11340"/>
        </w:tabs>
        <w:ind w:left="720"/>
      </w:pPr>
      <w:r>
        <w:rPr>
          <w:rFonts w:ascii="Univers" w:hAnsi="Univers"/>
          <w:b w:val="0"/>
          <w:noProof/>
          <w:sz w:val="20"/>
        </w:rPr>
        <w:pict>
          <v:line id="_x0000_s2050" style="position:absolute;left:0;text-align:left;z-index:251657728;mso-position-horizontal:absolute;mso-position-horizontal-relative:text;mso-position-vertical:absolute;mso-position-vertical-relative:text" from="41.05pt,.05pt" to="566.7pt,.1pt" o:allowincell="f" strokeweight="2pt">
            <v:stroke startarrowwidth="narrow" startarrowlength="short" endarrowwidth="narrow" endarrowlength="short"/>
          </v:line>
        </w:pict>
      </w:r>
      <w:r>
        <w:rPr>
          <w:rFonts w:ascii="Univers" w:hAnsi="Univers"/>
        </w:rPr>
        <w:tab/>
        <w:t>Legislative Fiscal Bureau</w:t>
      </w:r>
      <w:r>
        <w:rPr>
          <w:rFonts w:ascii="Univers" w:hAnsi="Univers"/>
          <w:sz w:val="24"/>
        </w:rPr>
        <w:t xml:space="preserve">    </w:t>
      </w:r>
      <w:r>
        <w:rPr>
          <w:rFonts w:ascii="Univers" w:hAnsi="Univers"/>
          <w:sz w:val="24"/>
        </w:rPr>
        <w:tab/>
        <w:t xml:space="preserve"> (515) 281-5279  FAX 281-8451</w:t>
      </w:r>
    </w:p>
    <w:p w:rsidR="00000000" w:rsidRDefault="00761D12">
      <w:pPr>
        <w:jc w:val="center"/>
        <w:rPr>
          <w:b/>
        </w:rPr>
      </w:pPr>
    </w:p>
    <w:p w:rsidR="00000000" w:rsidRDefault="00761D12">
      <w:pPr>
        <w:pStyle w:val="ISSUE"/>
        <w:framePr w:w="0" w:hRule="auto" w:hSpace="0" w:wrap="auto" w:vAnchor="margin" w:hAnchor="text" w:xAlign="left" w:yAlign="inline"/>
      </w:pPr>
    </w:p>
    <w:tbl>
      <w:tblPr>
        <w:tblW w:w="0" w:type="auto"/>
        <w:tblBorders>
          <w:top w:val="single" w:sz="6" w:space="0" w:color="auto"/>
          <w:left w:val="single" w:sz="6" w:space="0" w:color="auto"/>
          <w:bottom w:val="single" w:sz="6" w:space="0" w:color="auto"/>
          <w:right w:val="single" w:sz="6" w:space="0" w:color="auto"/>
        </w:tblBorders>
        <w:tblLayout w:type="fixed"/>
        <w:tblLook w:val="0000"/>
      </w:tblPr>
      <w:tblGrid>
        <w:gridCol w:w="1548"/>
        <w:gridCol w:w="4230"/>
        <w:gridCol w:w="4680"/>
      </w:tblGrid>
      <w:tr w:rsidR="00000000">
        <w:tblPrEx>
          <w:tblCellMar>
            <w:top w:w="0" w:type="dxa"/>
            <w:bottom w:w="0" w:type="dxa"/>
          </w:tblCellMar>
        </w:tblPrEx>
        <w:tc>
          <w:tcPr>
            <w:tcW w:w="1548" w:type="dxa"/>
          </w:tcPr>
          <w:p w:rsidR="00000000" w:rsidRDefault="00761D12">
            <w:pPr>
              <w:pStyle w:val="ISSUE"/>
              <w:framePr w:w="0" w:hRule="auto" w:hSpace="187" w:wrap="around" w:x="1554" w:y="10071" w:anchorLock="1"/>
              <w:rPr>
                <w:b/>
              </w:rPr>
            </w:pPr>
          </w:p>
        </w:tc>
        <w:tc>
          <w:tcPr>
            <w:tcW w:w="4230" w:type="dxa"/>
          </w:tcPr>
          <w:p w:rsidR="00000000" w:rsidRDefault="00761D12">
            <w:pPr>
              <w:pStyle w:val="ISSUE"/>
              <w:framePr w:w="0" w:hRule="auto" w:hSpace="187" w:wrap="around" w:x="1554" w:y="10071" w:anchorLock="1"/>
            </w:pPr>
          </w:p>
        </w:tc>
        <w:tc>
          <w:tcPr>
            <w:tcW w:w="4680" w:type="dxa"/>
            <w:tcBorders>
              <w:top w:val="single" w:sz="6" w:space="0" w:color="auto"/>
              <w:bottom w:val="nil"/>
              <w:right w:val="single" w:sz="6" w:space="0" w:color="auto"/>
            </w:tcBorders>
          </w:tcPr>
          <w:p w:rsidR="00000000" w:rsidRDefault="00761D12">
            <w:pPr>
              <w:pStyle w:val="ISSUE"/>
              <w:framePr w:w="0" w:hRule="auto" w:hSpace="187" w:wrap="around" w:x="1554" w:y="10071" w:anchorLock="1"/>
            </w:pPr>
          </w:p>
        </w:tc>
      </w:tr>
      <w:tr w:rsidR="00000000">
        <w:tblPrEx>
          <w:tblCellMar>
            <w:top w:w="0" w:type="dxa"/>
            <w:bottom w:w="0" w:type="dxa"/>
          </w:tblCellMar>
        </w:tblPrEx>
        <w:tc>
          <w:tcPr>
            <w:tcW w:w="1548" w:type="dxa"/>
          </w:tcPr>
          <w:p w:rsidR="00000000" w:rsidRDefault="00761D12">
            <w:pPr>
              <w:pStyle w:val="ISSUE"/>
              <w:framePr w:w="0" w:hRule="auto" w:hSpace="187" w:wrap="around" w:x="1554" w:y="10071" w:anchorLock="1"/>
              <w:rPr>
                <w:b/>
                <w:u w:val="single"/>
              </w:rPr>
            </w:pPr>
            <w:r>
              <w:rPr>
                <w:b/>
                <w:u w:val="single"/>
              </w:rPr>
              <w:t>IN THIS ISSUE:</w:t>
            </w:r>
          </w:p>
        </w:tc>
        <w:tc>
          <w:tcPr>
            <w:tcW w:w="4230" w:type="dxa"/>
          </w:tcPr>
          <w:p w:rsidR="00000000" w:rsidRDefault="00761D12">
            <w:pPr>
              <w:pStyle w:val="ISSUE"/>
              <w:framePr w:w="0" w:hRule="auto" w:hSpace="187" w:wrap="around" w:x="1554" w:y="10071" w:anchorLock="1"/>
            </w:pPr>
            <w:r>
              <w:t>Board of Corrections Approves Budget, p. 1</w:t>
            </w:r>
          </w:p>
        </w:tc>
        <w:tc>
          <w:tcPr>
            <w:tcW w:w="4680" w:type="dxa"/>
            <w:tcBorders>
              <w:top w:val="nil"/>
              <w:bottom w:val="nil"/>
              <w:right w:val="single" w:sz="6" w:space="0" w:color="auto"/>
            </w:tcBorders>
          </w:tcPr>
          <w:p w:rsidR="00000000" w:rsidRDefault="00761D12">
            <w:pPr>
              <w:pStyle w:val="ISSUE"/>
              <w:framePr w:w="0" w:hRule="auto" w:hSpace="187" w:wrap="around" w:x="1554" w:y="10071" w:anchorLock="1"/>
            </w:pPr>
            <w:r>
              <w:t>STAR Schools Funds Extended, pg. 8</w:t>
            </w:r>
          </w:p>
        </w:tc>
      </w:tr>
      <w:tr w:rsidR="00000000">
        <w:tblPrEx>
          <w:tblCellMar>
            <w:top w:w="0" w:type="dxa"/>
            <w:bottom w:w="0" w:type="dxa"/>
          </w:tblCellMar>
        </w:tblPrEx>
        <w:tc>
          <w:tcPr>
            <w:tcW w:w="1548" w:type="dxa"/>
          </w:tcPr>
          <w:p w:rsidR="00000000" w:rsidRDefault="00761D12">
            <w:pPr>
              <w:pStyle w:val="ISSUE"/>
              <w:framePr w:w="0" w:hRule="auto" w:hSpace="187" w:wrap="around" w:x="1554" w:y="10071" w:anchorLock="1"/>
              <w:rPr>
                <w:u w:val="single"/>
              </w:rPr>
            </w:pPr>
          </w:p>
        </w:tc>
        <w:tc>
          <w:tcPr>
            <w:tcW w:w="4230" w:type="dxa"/>
          </w:tcPr>
          <w:p w:rsidR="00000000" w:rsidRDefault="00761D12">
            <w:pPr>
              <w:pStyle w:val="ISSUE"/>
              <w:framePr w:w="0" w:hRule="auto" w:hSpace="187" w:wrap="around" w:x="1554" w:y="10071" w:anchorLock="1"/>
            </w:pPr>
            <w:r>
              <w:t>Council for Continuous Improv. in Educ., pg. 3</w:t>
            </w:r>
          </w:p>
        </w:tc>
        <w:tc>
          <w:tcPr>
            <w:tcW w:w="4680" w:type="dxa"/>
            <w:tcBorders>
              <w:top w:val="nil"/>
            </w:tcBorders>
          </w:tcPr>
          <w:p w:rsidR="00000000" w:rsidRDefault="00761D12">
            <w:pPr>
              <w:pStyle w:val="ISSUE"/>
              <w:framePr w:w="0" w:hRule="auto" w:hSpace="187" w:wrap="around" w:x="1554" w:y="10071" w:anchorLock="1"/>
            </w:pPr>
            <w:r>
              <w:t>Lottery Reven</w:t>
            </w:r>
            <w:r>
              <w:t>ues &amp; Expend. - August, pg. 8</w:t>
            </w:r>
          </w:p>
        </w:tc>
      </w:tr>
      <w:tr w:rsidR="00000000">
        <w:tblPrEx>
          <w:tblCellMar>
            <w:top w:w="0" w:type="dxa"/>
            <w:bottom w:w="0" w:type="dxa"/>
          </w:tblCellMar>
        </w:tblPrEx>
        <w:tc>
          <w:tcPr>
            <w:tcW w:w="1548" w:type="dxa"/>
          </w:tcPr>
          <w:p w:rsidR="00000000" w:rsidRDefault="00761D12">
            <w:pPr>
              <w:pStyle w:val="ISSUE"/>
              <w:framePr w:w="0" w:hRule="auto" w:hSpace="187" w:wrap="around" w:x="1554" w:y="10071" w:anchorLock="1"/>
            </w:pPr>
          </w:p>
        </w:tc>
        <w:tc>
          <w:tcPr>
            <w:tcW w:w="4230" w:type="dxa"/>
          </w:tcPr>
          <w:p w:rsidR="00000000" w:rsidRDefault="00761D12">
            <w:pPr>
              <w:pStyle w:val="ISSUE"/>
              <w:framePr w:w="0" w:hRule="auto" w:hSpace="187" w:wrap="around" w:x="1554" w:y="10071" w:anchorLock="1"/>
            </w:pPr>
            <w:r>
              <w:t>Board of Regents Meeting, pg. 4</w:t>
            </w:r>
          </w:p>
        </w:tc>
        <w:tc>
          <w:tcPr>
            <w:tcW w:w="4680" w:type="dxa"/>
          </w:tcPr>
          <w:p w:rsidR="00000000" w:rsidRDefault="00761D12">
            <w:pPr>
              <w:pStyle w:val="ISSUE"/>
              <w:framePr w:w="0" w:hRule="auto" w:hSpace="187" w:wrap="around" w:x="1554" w:y="10071" w:anchorLock="1"/>
            </w:pPr>
            <w:r>
              <w:t>Federal Education Block Grant Bill, pg. 10</w:t>
            </w:r>
          </w:p>
        </w:tc>
      </w:tr>
      <w:tr w:rsidR="00000000">
        <w:tblPrEx>
          <w:tblCellMar>
            <w:top w:w="0" w:type="dxa"/>
            <w:bottom w:w="0" w:type="dxa"/>
          </w:tblCellMar>
        </w:tblPrEx>
        <w:tc>
          <w:tcPr>
            <w:tcW w:w="1548" w:type="dxa"/>
          </w:tcPr>
          <w:p w:rsidR="00000000" w:rsidRDefault="00761D12">
            <w:pPr>
              <w:pStyle w:val="ISSUE"/>
              <w:framePr w:w="0" w:hRule="auto" w:hSpace="187" w:wrap="around" w:x="1554" w:y="10071" w:anchorLock="1"/>
            </w:pPr>
          </w:p>
        </w:tc>
        <w:tc>
          <w:tcPr>
            <w:tcW w:w="4230" w:type="dxa"/>
          </w:tcPr>
          <w:p w:rsidR="00000000" w:rsidRDefault="00761D12">
            <w:pPr>
              <w:pStyle w:val="ISSUE"/>
              <w:framePr w:w="0" w:hRule="auto" w:hSpace="187" w:wrap="around" w:x="1554" w:y="10071" w:anchorLock="1"/>
            </w:pPr>
            <w:r>
              <w:t>College Student Aid Comm. Meeting, pg. 6</w:t>
            </w:r>
          </w:p>
        </w:tc>
        <w:tc>
          <w:tcPr>
            <w:tcW w:w="4680" w:type="dxa"/>
          </w:tcPr>
          <w:p w:rsidR="00000000" w:rsidRDefault="00761D12">
            <w:pPr>
              <w:pStyle w:val="ISSUE"/>
              <w:framePr w:w="0" w:hRule="auto" w:hSpace="187" w:wrap="around" w:x="1554" w:y="10071" w:anchorLock="1"/>
            </w:pPr>
            <w:r>
              <w:t>1998 Inmate Profile, pg. 10</w:t>
            </w:r>
          </w:p>
        </w:tc>
      </w:tr>
      <w:tr w:rsidR="00000000">
        <w:tblPrEx>
          <w:tblCellMar>
            <w:top w:w="0" w:type="dxa"/>
            <w:bottom w:w="0" w:type="dxa"/>
          </w:tblCellMar>
        </w:tblPrEx>
        <w:tc>
          <w:tcPr>
            <w:tcW w:w="1548" w:type="dxa"/>
          </w:tcPr>
          <w:p w:rsidR="00000000" w:rsidRDefault="00761D12">
            <w:pPr>
              <w:pStyle w:val="ISSUE"/>
              <w:framePr w:w="0" w:hRule="auto" w:hSpace="187" w:wrap="around" w:x="1554" w:y="10071" w:anchorLock="1"/>
            </w:pPr>
          </w:p>
        </w:tc>
        <w:tc>
          <w:tcPr>
            <w:tcW w:w="4230" w:type="dxa"/>
          </w:tcPr>
          <w:p w:rsidR="00000000" w:rsidRDefault="00761D12">
            <w:pPr>
              <w:pStyle w:val="ISSUE"/>
              <w:framePr w:w="0" w:hRule="auto" w:hSpace="187" w:wrap="around" w:x="1554" w:y="10071" w:anchorLock="1"/>
            </w:pPr>
            <w:r>
              <w:t>Legislative Fiscal Committee, pg. 6</w:t>
            </w:r>
          </w:p>
        </w:tc>
        <w:tc>
          <w:tcPr>
            <w:tcW w:w="4680" w:type="dxa"/>
          </w:tcPr>
          <w:p w:rsidR="00000000" w:rsidRDefault="00761D12">
            <w:pPr>
              <w:pStyle w:val="ISSUE"/>
              <w:framePr w:w="0" w:hRule="auto" w:hSpace="187" w:wrap="around" w:x="1554" w:y="10071" w:anchorLock="1"/>
            </w:pPr>
            <w:r>
              <w:rPr>
                <w:b/>
                <w:i/>
              </w:rPr>
              <w:t>Issue Review</w:t>
            </w:r>
            <w:r>
              <w:t xml:space="preserve"> - ISU Coop Extension Progra</w:t>
            </w:r>
            <w:r>
              <w:t>m, pg. 11</w:t>
            </w:r>
          </w:p>
        </w:tc>
      </w:tr>
      <w:tr w:rsidR="00000000">
        <w:tblPrEx>
          <w:tblCellMar>
            <w:top w:w="0" w:type="dxa"/>
            <w:bottom w:w="0" w:type="dxa"/>
          </w:tblCellMar>
        </w:tblPrEx>
        <w:tc>
          <w:tcPr>
            <w:tcW w:w="1548" w:type="dxa"/>
          </w:tcPr>
          <w:p w:rsidR="00000000" w:rsidRDefault="00761D12">
            <w:pPr>
              <w:pStyle w:val="ISSUE"/>
              <w:framePr w:w="0" w:hRule="auto" w:hSpace="187" w:wrap="around" w:x="1554" w:y="10071" w:anchorLock="1"/>
            </w:pPr>
          </w:p>
        </w:tc>
        <w:tc>
          <w:tcPr>
            <w:tcW w:w="4230" w:type="dxa"/>
          </w:tcPr>
          <w:p w:rsidR="00000000" w:rsidRDefault="00761D12">
            <w:pPr>
              <w:pStyle w:val="ISSUE"/>
              <w:framePr w:w="0" w:hRule="auto" w:hSpace="187" w:wrap="around" w:x="1554" w:y="10071" w:anchorLock="1"/>
            </w:pPr>
            <w:r>
              <w:t>Seed Capital Liquidation Corp. Mtg., pg. 7</w:t>
            </w:r>
          </w:p>
        </w:tc>
        <w:tc>
          <w:tcPr>
            <w:tcW w:w="4680" w:type="dxa"/>
          </w:tcPr>
          <w:p w:rsidR="00000000" w:rsidRDefault="00761D12">
            <w:pPr>
              <w:pStyle w:val="ISSUE"/>
              <w:framePr w:w="0" w:hRule="auto" w:hSpace="187" w:wrap="around" w:x="1554" w:y="10071" w:anchorLock="1"/>
            </w:pPr>
            <w:r>
              <w:rPr>
                <w:b/>
                <w:i/>
              </w:rPr>
              <w:t>Issue Review</w:t>
            </w:r>
            <w:r>
              <w:t xml:space="preserve"> - Regents Graduate Study Ctrs., pg. 11</w:t>
            </w:r>
          </w:p>
        </w:tc>
      </w:tr>
      <w:tr w:rsidR="00000000">
        <w:tblPrEx>
          <w:tblCellMar>
            <w:top w:w="0" w:type="dxa"/>
            <w:bottom w:w="0" w:type="dxa"/>
          </w:tblCellMar>
        </w:tblPrEx>
        <w:tc>
          <w:tcPr>
            <w:tcW w:w="1548" w:type="dxa"/>
          </w:tcPr>
          <w:p w:rsidR="00000000" w:rsidRDefault="00761D12">
            <w:pPr>
              <w:pStyle w:val="ISSUE"/>
              <w:framePr w:w="0" w:hRule="auto" w:hSpace="187" w:wrap="around" w:x="1554" w:y="10071" w:anchorLock="1"/>
            </w:pPr>
          </w:p>
        </w:tc>
        <w:tc>
          <w:tcPr>
            <w:tcW w:w="4230" w:type="dxa"/>
          </w:tcPr>
          <w:p w:rsidR="00000000" w:rsidRDefault="00761D12">
            <w:pPr>
              <w:pStyle w:val="ISSUE"/>
              <w:framePr w:w="0" w:hRule="auto" w:hSpace="187" w:wrap="around" w:x="1554" w:y="10071" w:anchorLock="1"/>
            </w:pPr>
          </w:p>
        </w:tc>
        <w:tc>
          <w:tcPr>
            <w:tcW w:w="4680" w:type="dxa"/>
          </w:tcPr>
          <w:p w:rsidR="00000000" w:rsidRDefault="00761D12">
            <w:pPr>
              <w:pStyle w:val="ISSUE"/>
              <w:framePr w:w="0" w:hRule="auto" w:hSpace="187" w:wrap="around" w:x="1554" w:y="10071" w:anchorLock="1"/>
            </w:pPr>
          </w:p>
        </w:tc>
      </w:tr>
    </w:tbl>
    <w:p w:rsidR="00000000" w:rsidRDefault="00761D12">
      <w:pPr>
        <w:pStyle w:val="Blurbtitle"/>
      </w:pPr>
      <w:bookmarkStart w:id="0" w:name="FU9MDFD"/>
      <w:r>
        <w:t>Board of Corrections Approves Budget Request</w:t>
      </w:r>
      <w:bookmarkEnd w:id="0"/>
    </w:p>
    <w:p w:rsidR="00000000" w:rsidRDefault="00761D12">
      <w:pPr>
        <w:framePr w:w="534" w:h="1384" w:hRule="exact" w:hSpace="187" w:wrap="around" w:vAnchor="text" w:hAnchor="page" w:x="1346" w:y="498"/>
        <w:pBdr>
          <w:top w:val="single" w:sz="12" w:space="5" w:color="auto" w:shadow="1"/>
          <w:left w:val="single" w:sz="12" w:space="5" w:color="auto" w:shadow="1"/>
          <w:bottom w:val="single" w:sz="12" w:space="5" w:color="auto" w:shadow="1"/>
          <w:right w:val="single" w:sz="12" w:space="5" w:color="auto" w:shadow="1"/>
        </w:pBdr>
      </w:pPr>
      <w:r>
        <w:object w:dxaOrig="1140" w:dyaOrig="18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25pt;height:51pt" o:ole="">
            <v:imagedata r:id="rId7" o:title=""/>
          </v:shape>
          <o:OLEObject Type="Embed" ProgID="Word.Document.8" ShapeID="_x0000_i1025" DrawAspect="Content" ObjectID="_1314615219" r:id="rId8"/>
        </w:object>
      </w:r>
    </w:p>
    <w:p w:rsidR="00000000" w:rsidRDefault="00761D12">
      <w:pPr>
        <w:pStyle w:val="textup"/>
      </w:pPr>
      <w:r>
        <w:rPr>
          <w:b/>
        </w:rPr>
        <w:t>Board Meeting</w:t>
      </w:r>
      <w:r>
        <w:tab/>
        <w:t>The Board of Corrections met September 25.  The meeting o</w:t>
      </w:r>
      <w:r>
        <w:t>pened with comments from the Director of the Department of Corrections.  Mr. Kautzky discussed the out-of-state placement of women inmates from the Mitchellville prison.  One hundred women were transferred to a prison in Virginia at a cost of $60 per day p</w:t>
      </w:r>
      <w:r>
        <w:t xml:space="preserve">er inmate or a total annual cost of $2.2 million.  Forty-two women volunteered for the transfer.  The Department tried to select women without children or with older children for transfer.  Plans call for the inmates to be out of Iowa for a maximum of one </w:t>
      </w:r>
      <w:r>
        <w:t xml:space="preserve">year.  </w:t>
      </w:r>
    </w:p>
    <w:p w:rsidR="00000000" w:rsidRDefault="00761D12">
      <w:pPr>
        <w:framePr w:hSpace="180" w:wrap="around" w:vAnchor="text" w:hAnchor="page" w:x="3169" w:y="1816"/>
      </w:pPr>
      <w:r>
        <w:rPr>
          <w:noProof/>
        </w:rPr>
        <w:drawing>
          <wp:inline distT="0" distB="0" distL="0" distR="0">
            <wp:extent cx="5267325" cy="3238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5267325" cy="3238500"/>
                    </a:xfrm>
                    <a:prstGeom prst="rect">
                      <a:avLst/>
                    </a:prstGeom>
                    <a:noFill/>
                    <a:ln w="9525">
                      <a:noFill/>
                      <a:miter lim="800000"/>
                      <a:headEnd/>
                      <a:tailEnd/>
                    </a:ln>
                  </pic:spPr>
                </pic:pic>
              </a:graphicData>
            </a:graphic>
          </wp:inline>
        </w:drawing>
      </w:r>
    </w:p>
    <w:p w:rsidR="00000000" w:rsidRDefault="00761D12">
      <w:pPr>
        <w:pStyle w:val="textup"/>
      </w:pPr>
      <w:r>
        <w:rPr>
          <w:b/>
        </w:rPr>
        <w:t>Prison Population Forecast</w:t>
      </w:r>
      <w:r>
        <w:tab/>
        <w:t>Lettie Prell, Policy Analyst with the Criminal and Juvenile Justice Planning Division, Department of Human Rights, presented the prison population forecast for the next ten years.  The forecast assumes policies, laws, a</w:t>
      </w:r>
      <w:r>
        <w:t xml:space="preserve">nd correctional practices will remain the same for the forecast period.  The chart below shows the number of inmates and the available prison beds through June 30, 2008.  </w:t>
      </w:r>
    </w:p>
    <w:p w:rsidR="00000000" w:rsidRDefault="00761D12">
      <w:pPr>
        <w:pStyle w:val="textup"/>
      </w:pPr>
      <w:r>
        <w:rPr>
          <w:b/>
        </w:rPr>
        <w:lastRenderedPageBreak/>
        <w:t>Major Points</w:t>
      </w:r>
      <w:r>
        <w:tab/>
        <w:t>Ms. Prell’s major points were:</w:t>
      </w:r>
    </w:p>
    <w:p w:rsidR="00000000" w:rsidRDefault="00761D12">
      <w:pPr>
        <w:pStyle w:val="bulletup"/>
        <w:numPr>
          <w:ilvl w:val="0"/>
          <w:numId w:val="1"/>
        </w:numPr>
      </w:pPr>
      <w:r>
        <w:t>Policy and law are driving the prison po</w:t>
      </w:r>
      <w:r>
        <w:t xml:space="preserve">pulation growth more than crime rates, demographics, and other factors.  </w:t>
      </w:r>
    </w:p>
    <w:p w:rsidR="00000000" w:rsidRDefault="00761D12">
      <w:pPr>
        <w:framePr w:w="1066" w:h="1003" w:hSpace="180" w:wrap="around" w:vAnchor="text" w:hAnchor="page" w:x="1377" w:y="75"/>
        <w:pBdr>
          <w:top w:val="single" w:sz="6" w:space="1" w:color="auto" w:shadow="1"/>
          <w:left w:val="single" w:sz="6" w:space="1" w:color="auto" w:shadow="1"/>
          <w:bottom w:val="single" w:sz="6" w:space="1" w:color="auto" w:shadow="1"/>
          <w:right w:val="single" w:sz="6" w:space="1" w:color="auto" w:shadow="1"/>
        </w:pBdr>
      </w:pPr>
      <w:r>
        <w:rPr>
          <w:noProof/>
        </w:rPr>
        <w:drawing>
          <wp:inline distT="0" distB="0" distL="0" distR="0">
            <wp:extent cx="676275" cy="50482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676275" cy="504825"/>
                    </a:xfrm>
                    <a:prstGeom prst="rect">
                      <a:avLst/>
                    </a:prstGeom>
                    <a:noFill/>
                    <a:ln w="9525">
                      <a:noFill/>
                      <a:miter lim="800000"/>
                      <a:headEnd/>
                      <a:tailEnd/>
                    </a:ln>
                  </pic:spPr>
                </pic:pic>
              </a:graphicData>
            </a:graphic>
          </wp:inline>
        </w:drawing>
      </w:r>
    </w:p>
    <w:p w:rsidR="00000000" w:rsidRDefault="00761D12">
      <w:pPr>
        <w:pStyle w:val="bulletup"/>
        <w:numPr>
          <w:ilvl w:val="0"/>
          <w:numId w:val="1"/>
        </w:numPr>
      </w:pPr>
      <w:r>
        <w:t xml:space="preserve">The inmate population is projected to reach 14,586 inmates by June 2008, double the number of prison beds now available and authorized.  </w:t>
      </w:r>
    </w:p>
    <w:p w:rsidR="00000000" w:rsidRDefault="00761D12">
      <w:pPr>
        <w:pStyle w:val="bulletup"/>
        <w:numPr>
          <w:ilvl w:val="0"/>
          <w:numId w:val="1"/>
        </w:numPr>
      </w:pPr>
      <w:r>
        <w:t>Fiscal Year 1998 had a record prison popul</w:t>
      </w:r>
      <w:r>
        <w:t xml:space="preserve">ation growth, adding 795 inmates.  The increase was attributed to (a) increased admissions, divided equally between new court commitments and probation revocations, and (b) increased length of stay.  </w:t>
      </w:r>
    </w:p>
    <w:p w:rsidR="00000000" w:rsidRDefault="00761D12">
      <w:pPr>
        <w:pStyle w:val="bulletup"/>
        <w:numPr>
          <w:ilvl w:val="0"/>
          <w:numId w:val="1"/>
        </w:numPr>
      </w:pPr>
      <w:r>
        <w:t>Half of the impact of the “85.0% Truth-in-Sentencing” l</w:t>
      </w:r>
      <w:r>
        <w:t xml:space="preserve">aw is included in the ten-year forecast period.  The remaining increase will occur after FY 2008.  </w:t>
      </w:r>
    </w:p>
    <w:p w:rsidR="00000000" w:rsidRDefault="00761D12">
      <w:pPr>
        <w:pStyle w:val="bulletup"/>
        <w:numPr>
          <w:ilvl w:val="0"/>
          <w:numId w:val="1"/>
        </w:numPr>
      </w:pPr>
      <w:r>
        <w:t>Drug offenses accounted for 130 prison admissions in FY 1998; drunken driving and other traffic offenses accounted for 112 admissions; forgery/fraud (55), a</w:t>
      </w:r>
      <w:r>
        <w:t xml:space="preserve">ssault (52), and theft (42) were the other significant categories of new admissions.  </w:t>
      </w:r>
    </w:p>
    <w:p w:rsidR="00000000" w:rsidRDefault="00761D12">
      <w:pPr>
        <w:pStyle w:val="bulletup"/>
        <w:numPr>
          <w:ilvl w:val="0"/>
          <w:numId w:val="1"/>
        </w:numPr>
      </w:pPr>
      <w:r>
        <w:t xml:space="preserve">The major increases by offense type were for non-person Class C felonies, all types of Class D felonies, and non-person and Operating While Intoxicated (OWI) aggravated </w:t>
      </w:r>
      <w:r>
        <w:t xml:space="preserve">misdemeanors.  </w:t>
      </w:r>
    </w:p>
    <w:p w:rsidR="00000000" w:rsidRDefault="00761D12">
      <w:pPr>
        <w:pStyle w:val="bulletup"/>
        <w:numPr>
          <w:ilvl w:val="0"/>
          <w:numId w:val="1"/>
        </w:numPr>
      </w:pPr>
      <w:r>
        <w:t>Prison releases increased by 4.0%, as compared to a 12.0% prison population growth.  The reason for release showing the greatest increase was expiration of sentence, followed by work release.</w:t>
      </w:r>
    </w:p>
    <w:p w:rsidR="00000000" w:rsidRDefault="00761D12">
      <w:pPr>
        <w:framePr w:w="783" w:h="981" w:hSpace="180" w:wrap="around" w:vAnchor="text" w:hAnchor="page" w:x="1333" w:y="615"/>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noProof/>
        </w:rPr>
        <w:drawing>
          <wp:inline distT="0" distB="0" distL="0" distR="0">
            <wp:extent cx="495300" cy="44767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495300" cy="447675"/>
                    </a:xfrm>
                    <a:prstGeom prst="rect">
                      <a:avLst/>
                    </a:prstGeom>
                    <a:noFill/>
                    <a:ln w="9525">
                      <a:noFill/>
                      <a:miter lim="800000"/>
                      <a:headEnd/>
                      <a:tailEnd/>
                    </a:ln>
                  </pic:spPr>
                </pic:pic>
              </a:graphicData>
            </a:graphic>
          </wp:inline>
        </w:drawing>
      </w:r>
    </w:p>
    <w:p w:rsidR="00000000" w:rsidRDefault="00761D12">
      <w:pPr>
        <w:pStyle w:val="textup"/>
      </w:pPr>
      <w:r>
        <w:rPr>
          <w:b/>
        </w:rPr>
        <w:t>FY 2000 Budget Request</w:t>
      </w:r>
      <w:r>
        <w:tab/>
        <w:t>Mr. Kautzky continued t</w:t>
      </w:r>
      <w:r>
        <w:t>he discussion of prison overcrowding and moved into the Department’s budget request.  He commented that the State cannot “build its way out” of the prison crowding problem.  The Department is planning for expanded use of Community-Based Corrections and oth</w:t>
      </w:r>
      <w:r>
        <w:t>er diversions of offenders from prison.  The Department now places approximately 1,000 inmates in a 750-bed prison.  At that rate, each time 1,000 inmates are added to the prison system, another prison will need to be opened; that is, five or six prisons o</w:t>
      </w:r>
      <w:r>
        <w:t>ver the next ten years, if alternatives are not utilized.   Mr. Kautzky also stated that the inmate population needs to be kept below 130.0% to 140.% of design capacity to avoid federal lawsuits.  He commented that when the federal courts control prison ca</w:t>
      </w:r>
      <w:r>
        <w:t xml:space="preserve">pacity, costs increase.  Fort Madison, which is under a consent decree, costs $102 per day per inmate.  Anamosa, which is not under court control, costs $30 per day per inmate.  </w:t>
      </w:r>
    </w:p>
    <w:p w:rsidR="00000000" w:rsidRDefault="00761D12">
      <w:pPr>
        <w:pStyle w:val="textup"/>
      </w:pPr>
    </w:p>
    <w:p w:rsidR="00000000" w:rsidRDefault="00761D12">
      <w:pPr>
        <w:pStyle w:val="textup"/>
      </w:pPr>
    </w:p>
    <w:p w:rsidR="00000000" w:rsidRDefault="00761D12">
      <w:pPr>
        <w:pStyle w:val="textup"/>
      </w:pPr>
    </w:p>
    <w:p w:rsidR="00000000" w:rsidRDefault="00761D12">
      <w:pPr>
        <w:pStyle w:val="textup"/>
      </w:pPr>
    </w:p>
    <w:p w:rsidR="00000000" w:rsidRDefault="00761D12">
      <w:pPr>
        <w:pStyle w:val="bulletup"/>
        <w:numPr>
          <w:ilvl w:val="0"/>
          <w:numId w:val="0"/>
        </w:numPr>
        <w:ind w:left="360" w:hanging="360"/>
      </w:pPr>
    </w:p>
    <w:p w:rsidR="00000000" w:rsidRDefault="00761D12">
      <w:pPr>
        <w:pStyle w:val="bulletup"/>
        <w:numPr>
          <w:ilvl w:val="0"/>
          <w:numId w:val="0"/>
        </w:numPr>
        <w:ind w:left="360" w:hanging="360"/>
      </w:pPr>
    </w:p>
    <w:p w:rsidR="00000000" w:rsidRDefault="00761D12">
      <w:pPr>
        <w:framePr w:w="501" w:h="1159" w:hSpace="180" w:wrap="around" w:vAnchor="text" w:hAnchor="page" w:x="1333" w:y="563"/>
        <w:pBdr>
          <w:top w:val="single" w:sz="12" w:space="5" w:color="auto" w:shadow="1"/>
          <w:left w:val="single" w:sz="12" w:space="5" w:color="auto" w:shadow="1"/>
          <w:bottom w:val="single" w:sz="12" w:space="5" w:color="auto" w:shadow="1"/>
          <w:right w:val="single" w:sz="12" w:space="5" w:color="auto" w:shadow="1"/>
        </w:pBdr>
      </w:pPr>
      <w:r>
        <w:rPr>
          <w:noProof/>
        </w:rPr>
        <w:lastRenderedPageBreak/>
        <w:drawing>
          <wp:inline distT="0" distB="0" distL="0" distR="0">
            <wp:extent cx="314325" cy="447675"/>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314325" cy="447675"/>
                    </a:xfrm>
                    <a:prstGeom prst="rect">
                      <a:avLst/>
                    </a:prstGeom>
                    <a:noFill/>
                    <a:ln w="9525">
                      <a:noFill/>
                      <a:miter lim="800000"/>
                      <a:headEnd/>
                      <a:tailEnd/>
                    </a:ln>
                  </pic:spPr>
                </pic:pic>
              </a:graphicData>
            </a:graphic>
          </wp:inline>
        </w:drawing>
      </w:r>
    </w:p>
    <w:p w:rsidR="00000000" w:rsidRDefault="00761D12">
      <w:pPr>
        <w:pStyle w:val="textup"/>
      </w:pPr>
      <w:r>
        <w:rPr>
          <w:b/>
        </w:rPr>
        <w:t>Board Approval</w:t>
      </w:r>
      <w:r>
        <w:tab/>
        <w:t xml:space="preserve">Mr. Kautzky presented the Department’s Budget request </w:t>
      </w:r>
      <w:r>
        <w:t>and received unanimous approval from the Board.  The Department’s request includes:</w:t>
      </w:r>
    </w:p>
    <w:tbl>
      <w:tblPr>
        <w:tblW w:w="0" w:type="auto"/>
        <w:tblLayout w:type="fixed"/>
        <w:tblCellMar>
          <w:left w:w="30" w:type="dxa"/>
          <w:right w:w="30" w:type="dxa"/>
        </w:tblCellMar>
        <w:tblLook w:val="0000"/>
      </w:tblPr>
      <w:tblGrid>
        <w:gridCol w:w="521"/>
        <w:gridCol w:w="3122"/>
        <w:gridCol w:w="173"/>
        <w:gridCol w:w="1325"/>
        <w:gridCol w:w="173"/>
        <w:gridCol w:w="1435"/>
      </w:tblGrid>
      <w:tr w:rsidR="00761D12" w:rsidTr="00761D12">
        <w:tblPrEx>
          <w:tblCellMar>
            <w:top w:w="0" w:type="dxa"/>
            <w:bottom w:w="0" w:type="dxa"/>
          </w:tblCellMar>
        </w:tblPrEx>
        <w:tc>
          <w:tcPr>
            <w:tcW w:w="521" w:type="dxa"/>
          </w:tcPr>
          <w:p w:rsidR="00000000" w:rsidRDefault="00761D12">
            <w:pPr>
              <w:jc w:val="right"/>
              <w:rPr>
                <w:color w:val="000000"/>
                <w:sz w:val="16"/>
              </w:rPr>
            </w:pPr>
          </w:p>
        </w:tc>
        <w:tc>
          <w:tcPr>
            <w:tcW w:w="3122" w:type="dxa"/>
          </w:tcPr>
          <w:p w:rsidR="00000000" w:rsidRDefault="00761D12">
            <w:pPr>
              <w:jc w:val="right"/>
              <w:rPr>
                <w:color w:val="000000"/>
                <w:sz w:val="16"/>
              </w:rPr>
            </w:pPr>
          </w:p>
        </w:tc>
        <w:tc>
          <w:tcPr>
            <w:tcW w:w="173" w:type="dxa"/>
          </w:tcPr>
          <w:p w:rsidR="00000000" w:rsidRDefault="00761D12">
            <w:pPr>
              <w:jc w:val="right"/>
              <w:rPr>
                <w:color w:val="000000"/>
                <w:sz w:val="16"/>
              </w:rPr>
            </w:pPr>
          </w:p>
        </w:tc>
        <w:tc>
          <w:tcPr>
            <w:tcW w:w="1498" w:type="dxa"/>
            <w:gridSpan w:val="2"/>
          </w:tcPr>
          <w:p w:rsidR="00000000" w:rsidRDefault="00761D12">
            <w:pPr>
              <w:jc w:val="center"/>
              <w:rPr>
                <w:color w:val="000000"/>
                <w:sz w:val="16"/>
              </w:rPr>
            </w:pPr>
          </w:p>
          <w:p w:rsidR="00000000" w:rsidRDefault="00761D12">
            <w:pPr>
              <w:jc w:val="center"/>
              <w:rPr>
                <w:color w:val="000000"/>
                <w:sz w:val="16"/>
              </w:rPr>
            </w:pPr>
            <w:r>
              <w:rPr>
                <w:color w:val="000000"/>
                <w:sz w:val="16"/>
              </w:rPr>
              <w:t xml:space="preserve">Requested </w:t>
            </w:r>
          </w:p>
          <w:p w:rsidR="00000000" w:rsidRDefault="00761D12">
            <w:pPr>
              <w:jc w:val="center"/>
              <w:rPr>
                <w:color w:val="000000"/>
                <w:sz w:val="16"/>
              </w:rPr>
            </w:pPr>
            <w:r>
              <w:rPr>
                <w:color w:val="000000"/>
                <w:sz w:val="16"/>
              </w:rPr>
              <w:t>FY 2000</w:t>
            </w:r>
          </w:p>
          <w:p w:rsidR="00000000" w:rsidRDefault="00761D12">
            <w:pPr>
              <w:jc w:val="center"/>
              <w:rPr>
                <w:color w:val="000000"/>
                <w:sz w:val="16"/>
              </w:rPr>
            </w:pPr>
            <w:r>
              <w:rPr>
                <w:color w:val="000000"/>
                <w:sz w:val="16"/>
              </w:rPr>
              <w:t xml:space="preserve"> Increases</w:t>
            </w:r>
          </w:p>
        </w:tc>
        <w:tc>
          <w:tcPr>
            <w:tcW w:w="1435" w:type="dxa"/>
          </w:tcPr>
          <w:p w:rsidR="00000000" w:rsidRDefault="00761D12">
            <w:pPr>
              <w:jc w:val="center"/>
              <w:rPr>
                <w:color w:val="000000"/>
                <w:sz w:val="16"/>
              </w:rPr>
            </w:pPr>
          </w:p>
          <w:p w:rsidR="00000000" w:rsidRDefault="00761D12">
            <w:pPr>
              <w:jc w:val="center"/>
              <w:rPr>
                <w:color w:val="000000"/>
                <w:sz w:val="16"/>
              </w:rPr>
            </w:pPr>
          </w:p>
          <w:p w:rsidR="00000000" w:rsidRDefault="00761D12">
            <w:pPr>
              <w:jc w:val="center"/>
              <w:rPr>
                <w:color w:val="000000"/>
                <w:sz w:val="16"/>
              </w:rPr>
            </w:pPr>
          </w:p>
          <w:p w:rsidR="00000000" w:rsidRDefault="00761D12">
            <w:pPr>
              <w:jc w:val="center"/>
              <w:rPr>
                <w:color w:val="000000"/>
                <w:sz w:val="16"/>
              </w:rPr>
            </w:pPr>
            <w:r>
              <w:rPr>
                <w:color w:val="000000"/>
                <w:sz w:val="16"/>
              </w:rPr>
              <w:t>FTE</w:t>
            </w:r>
          </w:p>
        </w:tc>
      </w:tr>
      <w:tr w:rsidR="00000000">
        <w:tblPrEx>
          <w:tblCellMar>
            <w:top w:w="0" w:type="dxa"/>
            <w:bottom w:w="0" w:type="dxa"/>
          </w:tblCellMar>
        </w:tblPrEx>
        <w:tc>
          <w:tcPr>
            <w:tcW w:w="521" w:type="dxa"/>
          </w:tcPr>
          <w:p w:rsidR="00000000" w:rsidRDefault="00761D12">
            <w:pPr>
              <w:jc w:val="right"/>
              <w:rPr>
                <w:color w:val="000000"/>
                <w:sz w:val="16"/>
              </w:rPr>
            </w:pPr>
          </w:p>
        </w:tc>
        <w:tc>
          <w:tcPr>
            <w:tcW w:w="3122" w:type="dxa"/>
          </w:tcPr>
          <w:p w:rsidR="00000000" w:rsidRDefault="00761D12">
            <w:pPr>
              <w:jc w:val="right"/>
              <w:rPr>
                <w:color w:val="000000"/>
                <w:sz w:val="16"/>
              </w:rPr>
            </w:pPr>
          </w:p>
        </w:tc>
        <w:tc>
          <w:tcPr>
            <w:tcW w:w="173" w:type="dxa"/>
          </w:tcPr>
          <w:p w:rsidR="00000000" w:rsidRDefault="00761D12">
            <w:pPr>
              <w:jc w:val="right"/>
              <w:rPr>
                <w:color w:val="000000"/>
                <w:sz w:val="16"/>
              </w:rPr>
            </w:pPr>
          </w:p>
        </w:tc>
        <w:tc>
          <w:tcPr>
            <w:tcW w:w="1325" w:type="dxa"/>
            <w:tcBorders>
              <w:bottom w:val="single" w:sz="6" w:space="0" w:color="000000"/>
            </w:tcBorders>
          </w:tcPr>
          <w:p w:rsidR="00000000" w:rsidRDefault="00761D12">
            <w:pPr>
              <w:jc w:val="center"/>
              <w:rPr>
                <w:color w:val="000000"/>
                <w:sz w:val="16"/>
              </w:rPr>
            </w:pPr>
            <w:r>
              <w:rPr>
                <w:color w:val="000000"/>
                <w:sz w:val="16"/>
              </w:rPr>
              <w:t>(in millions)</w:t>
            </w:r>
          </w:p>
        </w:tc>
        <w:tc>
          <w:tcPr>
            <w:tcW w:w="173" w:type="dxa"/>
          </w:tcPr>
          <w:p w:rsidR="00000000" w:rsidRDefault="00761D12">
            <w:pPr>
              <w:jc w:val="right"/>
              <w:rPr>
                <w:color w:val="000000"/>
                <w:sz w:val="16"/>
              </w:rPr>
            </w:pPr>
          </w:p>
        </w:tc>
        <w:tc>
          <w:tcPr>
            <w:tcW w:w="1435" w:type="dxa"/>
            <w:tcBorders>
              <w:bottom w:val="single" w:sz="6" w:space="0" w:color="000000"/>
            </w:tcBorders>
          </w:tcPr>
          <w:p w:rsidR="00000000" w:rsidRDefault="00761D12">
            <w:pPr>
              <w:jc w:val="center"/>
              <w:rPr>
                <w:color w:val="000000"/>
                <w:sz w:val="16"/>
              </w:rPr>
            </w:pPr>
            <w:r>
              <w:rPr>
                <w:color w:val="000000"/>
                <w:sz w:val="16"/>
              </w:rPr>
              <w:t>Positions</w:t>
            </w:r>
          </w:p>
        </w:tc>
      </w:tr>
      <w:tr w:rsidR="00761D12" w:rsidTr="00761D12">
        <w:tblPrEx>
          <w:tblCellMar>
            <w:top w:w="0" w:type="dxa"/>
            <w:bottom w:w="0" w:type="dxa"/>
          </w:tblCellMar>
        </w:tblPrEx>
        <w:tc>
          <w:tcPr>
            <w:tcW w:w="3643" w:type="dxa"/>
            <w:gridSpan w:val="2"/>
          </w:tcPr>
          <w:p w:rsidR="00000000" w:rsidRDefault="00761D12">
            <w:pPr>
              <w:rPr>
                <w:color w:val="000000"/>
                <w:sz w:val="16"/>
              </w:rPr>
            </w:pPr>
            <w:r>
              <w:rPr>
                <w:color w:val="000000"/>
                <w:sz w:val="16"/>
              </w:rPr>
              <w:t>Operations Budget-General Fund</w:t>
            </w:r>
          </w:p>
        </w:tc>
        <w:tc>
          <w:tcPr>
            <w:tcW w:w="173" w:type="dxa"/>
          </w:tcPr>
          <w:p w:rsidR="00000000" w:rsidRDefault="00761D12">
            <w:pPr>
              <w:jc w:val="right"/>
              <w:rPr>
                <w:color w:val="000000"/>
                <w:sz w:val="16"/>
              </w:rPr>
            </w:pPr>
          </w:p>
        </w:tc>
        <w:tc>
          <w:tcPr>
            <w:tcW w:w="1325" w:type="dxa"/>
          </w:tcPr>
          <w:p w:rsidR="00000000" w:rsidRDefault="00761D12">
            <w:pPr>
              <w:jc w:val="right"/>
              <w:rPr>
                <w:color w:val="000000"/>
                <w:sz w:val="16"/>
              </w:rPr>
            </w:pPr>
          </w:p>
        </w:tc>
        <w:tc>
          <w:tcPr>
            <w:tcW w:w="173" w:type="dxa"/>
          </w:tcPr>
          <w:p w:rsidR="00000000" w:rsidRDefault="00761D12">
            <w:pPr>
              <w:jc w:val="right"/>
              <w:rPr>
                <w:color w:val="000000"/>
                <w:sz w:val="16"/>
              </w:rPr>
            </w:pPr>
          </w:p>
        </w:tc>
        <w:tc>
          <w:tcPr>
            <w:tcW w:w="1435" w:type="dxa"/>
          </w:tcPr>
          <w:p w:rsidR="00000000" w:rsidRDefault="00761D12">
            <w:pPr>
              <w:jc w:val="right"/>
              <w:rPr>
                <w:color w:val="000000"/>
                <w:sz w:val="16"/>
              </w:rPr>
            </w:pPr>
          </w:p>
        </w:tc>
      </w:tr>
      <w:tr w:rsidR="00000000">
        <w:tblPrEx>
          <w:tblCellMar>
            <w:top w:w="0" w:type="dxa"/>
            <w:bottom w:w="0" w:type="dxa"/>
          </w:tblCellMar>
        </w:tblPrEx>
        <w:tc>
          <w:tcPr>
            <w:tcW w:w="521" w:type="dxa"/>
          </w:tcPr>
          <w:p w:rsidR="00000000" w:rsidRDefault="00761D12">
            <w:pPr>
              <w:jc w:val="right"/>
              <w:rPr>
                <w:color w:val="000000"/>
                <w:sz w:val="16"/>
              </w:rPr>
            </w:pPr>
          </w:p>
        </w:tc>
        <w:tc>
          <w:tcPr>
            <w:tcW w:w="3122" w:type="dxa"/>
          </w:tcPr>
          <w:p w:rsidR="00000000" w:rsidRDefault="00761D12">
            <w:pPr>
              <w:rPr>
                <w:color w:val="000000"/>
                <w:sz w:val="16"/>
              </w:rPr>
            </w:pPr>
            <w:r>
              <w:rPr>
                <w:color w:val="000000"/>
                <w:sz w:val="16"/>
              </w:rPr>
              <w:t>Approved Bed Expansions</w:t>
            </w:r>
          </w:p>
        </w:tc>
        <w:tc>
          <w:tcPr>
            <w:tcW w:w="173" w:type="dxa"/>
          </w:tcPr>
          <w:p w:rsidR="00000000" w:rsidRDefault="00761D12">
            <w:pPr>
              <w:jc w:val="right"/>
              <w:rPr>
                <w:color w:val="000000"/>
                <w:sz w:val="16"/>
              </w:rPr>
            </w:pPr>
          </w:p>
        </w:tc>
        <w:tc>
          <w:tcPr>
            <w:tcW w:w="1325" w:type="dxa"/>
          </w:tcPr>
          <w:p w:rsidR="00000000" w:rsidRDefault="00761D12">
            <w:pPr>
              <w:jc w:val="right"/>
              <w:rPr>
                <w:color w:val="000000"/>
                <w:sz w:val="16"/>
              </w:rPr>
            </w:pPr>
            <w:r>
              <w:rPr>
                <w:color w:val="000000"/>
                <w:sz w:val="16"/>
              </w:rPr>
              <w:t>$           15.2</w:t>
            </w:r>
          </w:p>
        </w:tc>
        <w:tc>
          <w:tcPr>
            <w:tcW w:w="173" w:type="dxa"/>
          </w:tcPr>
          <w:p w:rsidR="00000000" w:rsidRDefault="00761D12">
            <w:pPr>
              <w:jc w:val="right"/>
              <w:rPr>
                <w:color w:val="000000"/>
                <w:sz w:val="16"/>
              </w:rPr>
            </w:pPr>
          </w:p>
        </w:tc>
        <w:tc>
          <w:tcPr>
            <w:tcW w:w="1435" w:type="dxa"/>
          </w:tcPr>
          <w:p w:rsidR="00000000" w:rsidRDefault="00761D12">
            <w:pPr>
              <w:jc w:val="right"/>
              <w:rPr>
                <w:color w:val="000000"/>
                <w:sz w:val="16"/>
              </w:rPr>
            </w:pPr>
            <w:r>
              <w:rPr>
                <w:color w:val="000000"/>
                <w:sz w:val="16"/>
              </w:rPr>
              <w:t>132.8</w:t>
            </w:r>
          </w:p>
        </w:tc>
      </w:tr>
      <w:tr w:rsidR="00000000">
        <w:tblPrEx>
          <w:tblCellMar>
            <w:top w:w="0" w:type="dxa"/>
            <w:bottom w:w="0" w:type="dxa"/>
          </w:tblCellMar>
        </w:tblPrEx>
        <w:tc>
          <w:tcPr>
            <w:tcW w:w="521" w:type="dxa"/>
          </w:tcPr>
          <w:p w:rsidR="00000000" w:rsidRDefault="00761D12">
            <w:pPr>
              <w:jc w:val="right"/>
              <w:rPr>
                <w:color w:val="000000"/>
                <w:sz w:val="16"/>
              </w:rPr>
            </w:pPr>
          </w:p>
        </w:tc>
        <w:tc>
          <w:tcPr>
            <w:tcW w:w="3122" w:type="dxa"/>
          </w:tcPr>
          <w:p w:rsidR="00000000" w:rsidRDefault="00761D12">
            <w:pPr>
              <w:rPr>
                <w:color w:val="000000"/>
                <w:sz w:val="16"/>
              </w:rPr>
            </w:pPr>
            <w:r>
              <w:rPr>
                <w:color w:val="000000"/>
                <w:sz w:val="16"/>
              </w:rPr>
              <w:t>CBC Facilit</w:t>
            </w:r>
            <w:r>
              <w:rPr>
                <w:color w:val="000000"/>
                <w:sz w:val="16"/>
              </w:rPr>
              <w:t>y Supervision</w:t>
            </w:r>
          </w:p>
        </w:tc>
        <w:tc>
          <w:tcPr>
            <w:tcW w:w="173" w:type="dxa"/>
          </w:tcPr>
          <w:p w:rsidR="00000000" w:rsidRDefault="00761D12">
            <w:pPr>
              <w:jc w:val="right"/>
              <w:rPr>
                <w:color w:val="000000"/>
                <w:sz w:val="16"/>
              </w:rPr>
            </w:pPr>
          </w:p>
        </w:tc>
        <w:tc>
          <w:tcPr>
            <w:tcW w:w="1325" w:type="dxa"/>
          </w:tcPr>
          <w:p w:rsidR="00000000" w:rsidRDefault="00761D12">
            <w:pPr>
              <w:jc w:val="right"/>
              <w:rPr>
                <w:color w:val="000000"/>
                <w:sz w:val="16"/>
              </w:rPr>
            </w:pPr>
            <w:r>
              <w:rPr>
                <w:color w:val="000000"/>
                <w:sz w:val="16"/>
              </w:rPr>
              <w:t>2.0</w:t>
            </w:r>
          </w:p>
        </w:tc>
        <w:tc>
          <w:tcPr>
            <w:tcW w:w="173" w:type="dxa"/>
          </w:tcPr>
          <w:p w:rsidR="00000000" w:rsidRDefault="00761D12">
            <w:pPr>
              <w:jc w:val="right"/>
              <w:rPr>
                <w:color w:val="000000"/>
                <w:sz w:val="16"/>
              </w:rPr>
            </w:pPr>
          </w:p>
        </w:tc>
        <w:tc>
          <w:tcPr>
            <w:tcW w:w="1435" w:type="dxa"/>
          </w:tcPr>
          <w:p w:rsidR="00000000" w:rsidRDefault="00761D12">
            <w:pPr>
              <w:jc w:val="right"/>
              <w:rPr>
                <w:color w:val="000000"/>
                <w:sz w:val="16"/>
              </w:rPr>
            </w:pPr>
            <w:r>
              <w:rPr>
                <w:color w:val="000000"/>
                <w:sz w:val="16"/>
              </w:rPr>
              <w:t>64.4</w:t>
            </w:r>
          </w:p>
        </w:tc>
      </w:tr>
      <w:tr w:rsidR="00000000">
        <w:tblPrEx>
          <w:tblCellMar>
            <w:top w:w="0" w:type="dxa"/>
            <w:bottom w:w="0" w:type="dxa"/>
          </w:tblCellMar>
        </w:tblPrEx>
        <w:tc>
          <w:tcPr>
            <w:tcW w:w="521" w:type="dxa"/>
          </w:tcPr>
          <w:p w:rsidR="00000000" w:rsidRDefault="00761D12">
            <w:pPr>
              <w:jc w:val="right"/>
              <w:rPr>
                <w:color w:val="000000"/>
                <w:sz w:val="16"/>
              </w:rPr>
            </w:pPr>
          </w:p>
        </w:tc>
        <w:tc>
          <w:tcPr>
            <w:tcW w:w="3122" w:type="dxa"/>
          </w:tcPr>
          <w:p w:rsidR="00000000" w:rsidRDefault="00761D12">
            <w:pPr>
              <w:rPr>
                <w:color w:val="000000"/>
                <w:sz w:val="16"/>
              </w:rPr>
            </w:pPr>
            <w:r>
              <w:rPr>
                <w:color w:val="000000"/>
                <w:sz w:val="16"/>
              </w:rPr>
              <w:t>Sex Offender Treatment</w:t>
            </w:r>
          </w:p>
        </w:tc>
        <w:tc>
          <w:tcPr>
            <w:tcW w:w="173" w:type="dxa"/>
          </w:tcPr>
          <w:p w:rsidR="00000000" w:rsidRDefault="00761D12">
            <w:pPr>
              <w:jc w:val="right"/>
              <w:rPr>
                <w:color w:val="000000"/>
                <w:sz w:val="16"/>
              </w:rPr>
            </w:pPr>
          </w:p>
        </w:tc>
        <w:tc>
          <w:tcPr>
            <w:tcW w:w="1325" w:type="dxa"/>
          </w:tcPr>
          <w:p w:rsidR="00000000" w:rsidRDefault="00761D12">
            <w:pPr>
              <w:jc w:val="right"/>
              <w:rPr>
                <w:color w:val="000000"/>
                <w:sz w:val="16"/>
              </w:rPr>
            </w:pPr>
            <w:r>
              <w:rPr>
                <w:color w:val="000000"/>
                <w:sz w:val="16"/>
              </w:rPr>
              <w:t>1.6</w:t>
            </w:r>
          </w:p>
        </w:tc>
        <w:tc>
          <w:tcPr>
            <w:tcW w:w="173" w:type="dxa"/>
          </w:tcPr>
          <w:p w:rsidR="00000000" w:rsidRDefault="00761D12">
            <w:pPr>
              <w:jc w:val="right"/>
              <w:rPr>
                <w:color w:val="000000"/>
                <w:sz w:val="16"/>
              </w:rPr>
            </w:pPr>
          </w:p>
        </w:tc>
        <w:tc>
          <w:tcPr>
            <w:tcW w:w="1435" w:type="dxa"/>
          </w:tcPr>
          <w:p w:rsidR="00000000" w:rsidRDefault="00761D12">
            <w:pPr>
              <w:jc w:val="right"/>
              <w:rPr>
                <w:color w:val="000000"/>
                <w:sz w:val="16"/>
              </w:rPr>
            </w:pPr>
            <w:r>
              <w:rPr>
                <w:color w:val="000000"/>
                <w:sz w:val="16"/>
              </w:rPr>
              <w:t>35.2</w:t>
            </w:r>
          </w:p>
        </w:tc>
      </w:tr>
      <w:tr w:rsidR="00000000">
        <w:tblPrEx>
          <w:tblCellMar>
            <w:top w:w="0" w:type="dxa"/>
            <w:bottom w:w="0" w:type="dxa"/>
          </w:tblCellMar>
        </w:tblPrEx>
        <w:tc>
          <w:tcPr>
            <w:tcW w:w="521" w:type="dxa"/>
          </w:tcPr>
          <w:p w:rsidR="00000000" w:rsidRDefault="00761D12">
            <w:pPr>
              <w:jc w:val="right"/>
              <w:rPr>
                <w:color w:val="000000"/>
                <w:sz w:val="16"/>
              </w:rPr>
            </w:pPr>
          </w:p>
        </w:tc>
        <w:tc>
          <w:tcPr>
            <w:tcW w:w="3122" w:type="dxa"/>
          </w:tcPr>
          <w:p w:rsidR="00000000" w:rsidRDefault="00761D12">
            <w:pPr>
              <w:rPr>
                <w:color w:val="000000"/>
                <w:sz w:val="16"/>
              </w:rPr>
            </w:pPr>
            <w:r>
              <w:rPr>
                <w:color w:val="000000"/>
                <w:sz w:val="16"/>
              </w:rPr>
              <w:t>Technology and Data Processing</w:t>
            </w:r>
          </w:p>
        </w:tc>
        <w:tc>
          <w:tcPr>
            <w:tcW w:w="173" w:type="dxa"/>
          </w:tcPr>
          <w:p w:rsidR="00000000" w:rsidRDefault="00761D12">
            <w:pPr>
              <w:jc w:val="right"/>
              <w:rPr>
                <w:color w:val="000000"/>
                <w:sz w:val="16"/>
              </w:rPr>
            </w:pPr>
          </w:p>
        </w:tc>
        <w:tc>
          <w:tcPr>
            <w:tcW w:w="1325" w:type="dxa"/>
          </w:tcPr>
          <w:p w:rsidR="00000000" w:rsidRDefault="00761D12">
            <w:pPr>
              <w:jc w:val="right"/>
              <w:rPr>
                <w:color w:val="000000"/>
                <w:sz w:val="16"/>
              </w:rPr>
            </w:pPr>
            <w:r>
              <w:rPr>
                <w:color w:val="000000"/>
                <w:sz w:val="16"/>
              </w:rPr>
              <w:t>1.9</w:t>
            </w:r>
          </w:p>
        </w:tc>
        <w:tc>
          <w:tcPr>
            <w:tcW w:w="173" w:type="dxa"/>
          </w:tcPr>
          <w:p w:rsidR="00000000" w:rsidRDefault="00761D12">
            <w:pPr>
              <w:jc w:val="right"/>
              <w:rPr>
                <w:color w:val="000000"/>
                <w:sz w:val="16"/>
              </w:rPr>
            </w:pPr>
          </w:p>
        </w:tc>
        <w:tc>
          <w:tcPr>
            <w:tcW w:w="1435" w:type="dxa"/>
          </w:tcPr>
          <w:p w:rsidR="00000000" w:rsidRDefault="00761D12">
            <w:pPr>
              <w:jc w:val="right"/>
              <w:rPr>
                <w:color w:val="000000"/>
                <w:sz w:val="16"/>
              </w:rPr>
            </w:pPr>
            <w:r>
              <w:rPr>
                <w:color w:val="000000"/>
                <w:sz w:val="16"/>
              </w:rPr>
              <w:t>9.0</w:t>
            </w:r>
          </w:p>
        </w:tc>
      </w:tr>
      <w:tr w:rsidR="00000000">
        <w:tblPrEx>
          <w:tblCellMar>
            <w:top w:w="0" w:type="dxa"/>
            <w:bottom w:w="0" w:type="dxa"/>
          </w:tblCellMar>
        </w:tblPrEx>
        <w:tc>
          <w:tcPr>
            <w:tcW w:w="521" w:type="dxa"/>
          </w:tcPr>
          <w:p w:rsidR="00000000" w:rsidRDefault="00761D12">
            <w:pPr>
              <w:jc w:val="right"/>
              <w:rPr>
                <w:color w:val="000000"/>
                <w:sz w:val="16"/>
              </w:rPr>
            </w:pPr>
          </w:p>
        </w:tc>
        <w:tc>
          <w:tcPr>
            <w:tcW w:w="3122" w:type="dxa"/>
          </w:tcPr>
          <w:p w:rsidR="00000000" w:rsidRDefault="00761D12">
            <w:pPr>
              <w:rPr>
                <w:color w:val="000000"/>
                <w:sz w:val="16"/>
              </w:rPr>
            </w:pPr>
            <w:r>
              <w:rPr>
                <w:color w:val="000000"/>
                <w:sz w:val="16"/>
              </w:rPr>
              <w:t>Segregation Inmate Reintegration</w:t>
            </w:r>
          </w:p>
        </w:tc>
        <w:tc>
          <w:tcPr>
            <w:tcW w:w="173" w:type="dxa"/>
          </w:tcPr>
          <w:p w:rsidR="00000000" w:rsidRDefault="00761D12">
            <w:pPr>
              <w:jc w:val="right"/>
              <w:rPr>
                <w:color w:val="000000"/>
                <w:sz w:val="16"/>
              </w:rPr>
            </w:pPr>
          </w:p>
        </w:tc>
        <w:tc>
          <w:tcPr>
            <w:tcW w:w="1325" w:type="dxa"/>
          </w:tcPr>
          <w:p w:rsidR="00000000" w:rsidRDefault="00761D12">
            <w:pPr>
              <w:jc w:val="right"/>
              <w:rPr>
                <w:color w:val="000000"/>
                <w:sz w:val="16"/>
              </w:rPr>
            </w:pPr>
            <w:r>
              <w:rPr>
                <w:color w:val="000000"/>
                <w:sz w:val="16"/>
              </w:rPr>
              <w:t>0.5</w:t>
            </w:r>
          </w:p>
        </w:tc>
        <w:tc>
          <w:tcPr>
            <w:tcW w:w="173" w:type="dxa"/>
          </w:tcPr>
          <w:p w:rsidR="00000000" w:rsidRDefault="00761D12">
            <w:pPr>
              <w:jc w:val="right"/>
              <w:rPr>
                <w:color w:val="000000"/>
                <w:sz w:val="16"/>
              </w:rPr>
            </w:pPr>
          </w:p>
        </w:tc>
        <w:tc>
          <w:tcPr>
            <w:tcW w:w="1435" w:type="dxa"/>
          </w:tcPr>
          <w:p w:rsidR="00000000" w:rsidRDefault="00761D12">
            <w:pPr>
              <w:jc w:val="right"/>
              <w:rPr>
                <w:color w:val="000000"/>
                <w:sz w:val="16"/>
              </w:rPr>
            </w:pPr>
            <w:r>
              <w:rPr>
                <w:color w:val="000000"/>
                <w:sz w:val="16"/>
              </w:rPr>
              <w:t>12.0</w:t>
            </w:r>
          </w:p>
        </w:tc>
      </w:tr>
      <w:tr w:rsidR="00000000">
        <w:tblPrEx>
          <w:tblCellMar>
            <w:top w:w="0" w:type="dxa"/>
            <w:bottom w:w="0" w:type="dxa"/>
          </w:tblCellMar>
        </w:tblPrEx>
        <w:tc>
          <w:tcPr>
            <w:tcW w:w="521" w:type="dxa"/>
          </w:tcPr>
          <w:p w:rsidR="00000000" w:rsidRDefault="00761D12">
            <w:pPr>
              <w:jc w:val="right"/>
              <w:rPr>
                <w:color w:val="000000"/>
                <w:sz w:val="16"/>
              </w:rPr>
            </w:pPr>
          </w:p>
        </w:tc>
        <w:tc>
          <w:tcPr>
            <w:tcW w:w="3122" w:type="dxa"/>
          </w:tcPr>
          <w:p w:rsidR="00000000" w:rsidRDefault="00761D12">
            <w:pPr>
              <w:rPr>
                <w:color w:val="000000"/>
                <w:sz w:val="16"/>
              </w:rPr>
            </w:pPr>
            <w:r>
              <w:rPr>
                <w:color w:val="000000"/>
                <w:sz w:val="16"/>
              </w:rPr>
              <w:t>GASA Funding Replacement</w:t>
            </w:r>
          </w:p>
        </w:tc>
        <w:tc>
          <w:tcPr>
            <w:tcW w:w="173" w:type="dxa"/>
          </w:tcPr>
          <w:p w:rsidR="00000000" w:rsidRDefault="00761D12">
            <w:pPr>
              <w:jc w:val="right"/>
              <w:rPr>
                <w:color w:val="000000"/>
                <w:sz w:val="16"/>
              </w:rPr>
            </w:pPr>
          </w:p>
        </w:tc>
        <w:tc>
          <w:tcPr>
            <w:tcW w:w="1325" w:type="dxa"/>
          </w:tcPr>
          <w:p w:rsidR="00000000" w:rsidRDefault="00761D12">
            <w:pPr>
              <w:jc w:val="right"/>
              <w:rPr>
                <w:color w:val="000000"/>
                <w:sz w:val="16"/>
              </w:rPr>
            </w:pPr>
            <w:r>
              <w:rPr>
                <w:color w:val="000000"/>
                <w:sz w:val="16"/>
              </w:rPr>
              <w:t>0.6</w:t>
            </w:r>
          </w:p>
        </w:tc>
        <w:tc>
          <w:tcPr>
            <w:tcW w:w="173" w:type="dxa"/>
          </w:tcPr>
          <w:p w:rsidR="00000000" w:rsidRDefault="00761D12">
            <w:pPr>
              <w:jc w:val="right"/>
              <w:rPr>
                <w:color w:val="000000"/>
                <w:sz w:val="16"/>
              </w:rPr>
            </w:pPr>
          </w:p>
        </w:tc>
        <w:tc>
          <w:tcPr>
            <w:tcW w:w="1435" w:type="dxa"/>
          </w:tcPr>
          <w:p w:rsidR="00000000" w:rsidRDefault="00761D12">
            <w:pPr>
              <w:jc w:val="right"/>
              <w:rPr>
                <w:color w:val="000000"/>
                <w:sz w:val="16"/>
              </w:rPr>
            </w:pPr>
            <w:r>
              <w:rPr>
                <w:color w:val="000000"/>
                <w:sz w:val="16"/>
              </w:rPr>
              <w:t>12.8</w:t>
            </w:r>
          </w:p>
        </w:tc>
      </w:tr>
      <w:tr w:rsidR="00000000">
        <w:tblPrEx>
          <w:tblCellMar>
            <w:top w:w="0" w:type="dxa"/>
            <w:bottom w:w="0" w:type="dxa"/>
          </w:tblCellMar>
        </w:tblPrEx>
        <w:tc>
          <w:tcPr>
            <w:tcW w:w="521" w:type="dxa"/>
          </w:tcPr>
          <w:p w:rsidR="00000000" w:rsidRDefault="00761D12">
            <w:pPr>
              <w:jc w:val="right"/>
              <w:rPr>
                <w:color w:val="000000"/>
                <w:sz w:val="16"/>
              </w:rPr>
            </w:pPr>
          </w:p>
        </w:tc>
        <w:tc>
          <w:tcPr>
            <w:tcW w:w="3122" w:type="dxa"/>
          </w:tcPr>
          <w:p w:rsidR="00000000" w:rsidRDefault="00761D12">
            <w:pPr>
              <w:rPr>
                <w:color w:val="000000"/>
                <w:sz w:val="16"/>
              </w:rPr>
            </w:pPr>
            <w:r>
              <w:rPr>
                <w:color w:val="000000"/>
                <w:sz w:val="16"/>
              </w:rPr>
              <w:t>Medical Care Cost Increases</w:t>
            </w:r>
          </w:p>
        </w:tc>
        <w:tc>
          <w:tcPr>
            <w:tcW w:w="173" w:type="dxa"/>
          </w:tcPr>
          <w:p w:rsidR="00000000" w:rsidRDefault="00761D12">
            <w:pPr>
              <w:jc w:val="right"/>
              <w:rPr>
                <w:color w:val="000000"/>
                <w:sz w:val="16"/>
              </w:rPr>
            </w:pPr>
          </w:p>
        </w:tc>
        <w:tc>
          <w:tcPr>
            <w:tcW w:w="1325" w:type="dxa"/>
          </w:tcPr>
          <w:p w:rsidR="00000000" w:rsidRDefault="00761D12">
            <w:pPr>
              <w:jc w:val="right"/>
              <w:rPr>
                <w:color w:val="000000"/>
                <w:sz w:val="16"/>
              </w:rPr>
            </w:pPr>
            <w:r>
              <w:rPr>
                <w:color w:val="000000"/>
                <w:sz w:val="16"/>
              </w:rPr>
              <w:t>1.0</w:t>
            </w:r>
          </w:p>
        </w:tc>
        <w:tc>
          <w:tcPr>
            <w:tcW w:w="173" w:type="dxa"/>
          </w:tcPr>
          <w:p w:rsidR="00000000" w:rsidRDefault="00761D12">
            <w:pPr>
              <w:jc w:val="right"/>
              <w:rPr>
                <w:color w:val="000000"/>
                <w:sz w:val="16"/>
              </w:rPr>
            </w:pPr>
          </w:p>
        </w:tc>
        <w:tc>
          <w:tcPr>
            <w:tcW w:w="1435" w:type="dxa"/>
          </w:tcPr>
          <w:p w:rsidR="00000000" w:rsidRDefault="00761D12">
            <w:pPr>
              <w:jc w:val="right"/>
              <w:rPr>
                <w:color w:val="000000"/>
                <w:sz w:val="16"/>
              </w:rPr>
            </w:pPr>
            <w:r>
              <w:rPr>
                <w:color w:val="000000"/>
                <w:sz w:val="16"/>
              </w:rPr>
              <w:t>6.7</w:t>
            </w:r>
          </w:p>
        </w:tc>
      </w:tr>
      <w:tr w:rsidR="00000000">
        <w:tblPrEx>
          <w:tblCellMar>
            <w:top w:w="0" w:type="dxa"/>
            <w:bottom w:w="0" w:type="dxa"/>
          </w:tblCellMar>
        </w:tblPrEx>
        <w:tc>
          <w:tcPr>
            <w:tcW w:w="521" w:type="dxa"/>
          </w:tcPr>
          <w:p w:rsidR="00000000" w:rsidRDefault="00761D12">
            <w:pPr>
              <w:jc w:val="right"/>
              <w:rPr>
                <w:color w:val="000000"/>
                <w:sz w:val="16"/>
              </w:rPr>
            </w:pPr>
          </w:p>
        </w:tc>
        <w:tc>
          <w:tcPr>
            <w:tcW w:w="3122" w:type="dxa"/>
          </w:tcPr>
          <w:p w:rsidR="00000000" w:rsidRDefault="00761D12">
            <w:pPr>
              <w:rPr>
                <w:color w:val="000000"/>
                <w:sz w:val="16"/>
              </w:rPr>
            </w:pPr>
            <w:r>
              <w:rPr>
                <w:color w:val="000000"/>
                <w:sz w:val="16"/>
              </w:rPr>
              <w:t>Training Officers</w:t>
            </w:r>
          </w:p>
        </w:tc>
        <w:tc>
          <w:tcPr>
            <w:tcW w:w="173" w:type="dxa"/>
          </w:tcPr>
          <w:p w:rsidR="00000000" w:rsidRDefault="00761D12">
            <w:pPr>
              <w:jc w:val="right"/>
              <w:rPr>
                <w:color w:val="000000"/>
                <w:sz w:val="16"/>
              </w:rPr>
            </w:pPr>
          </w:p>
        </w:tc>
        <w:tc>
          <w:tcPr>
            <w:tcW w:w="1325" w:type="dxa"/>
          </w:tcPr>
          <w:p w:rsidR="00000000" w:rsidRDefault="00761D12">
            <w:pPr>
              <w:jc w:val="right"/>
              <w:rPr>
                <w:color w:val="000000"/>
                <w:sz w:val="16"/>
              </w:rPr>
            </w:pPr>
            <w:r>
              <w:rPr>
                <w:color w:val="000000"/>
                <w:sz w:val="16"/>
              </w:rPr>
              <w:t>0.1</w:t>
            </w:r>
          </w:p>
        </w:tc>
        <w:tc>
          <w:tcPr>
            <w:tcW w:w="173" w:type="dxa"/>
          </w:tcPr>
          <w:p w:rsidR="00000000" w:rsidRDefault="00761D12">
            <w:pPr>
              <w:jc w:val="right"/>
              <w:rPr>
                <w:color w:val="000000"/>
                <w:sz w:val="16"/>
              </w:rPr>
            </w:pPr>
          </w:p>
        </w:tc>
        <w:tc>
          <w:tcPr>
            <w:tcW w:w="1435" w:type="dxa"/>
          </w:tcPr>
          <w:p w:rsidR="00000000" w:rsidRDefault="00761D12">
            <w:pPr>
              <w:jc w:val="right"/>
              <w:rPr>
                <w:color w:val="000000"/>
                <w:sz w:val="16"/>
              </w:rPr>
            </w:pPr>
            <w:r>
              <w:rPr>
                <w:color w:val="000000"/>
                <w:sz w:val="16"/>
              </w:rPr>
              <w:t>2.</w:t>
            </w:r>
            <w:r>
              <w:rPr>
                <w:color w:val="000000"/>
                <w:sz w:val="16"/>
              </w:rPr>
              <w:t>0</w:t>
            </w:r>
          </w:p>
        </w:tc>
      </w:tr>
      <w:tr w:rsidR="00000000">
        <w:tblPrEx>
          <w:tblCellMar>
            <w:top w:w="0" w:type="dxa"/>
            <w:bottom w:w="0" w:type="dxa"/>
          </w:tblCellMar>
        </w:tblPrEx>
        <w:tc>
          <w:tcPr>
            <w:tcW w:w="521" w:type="dxa"/>
          </w:tcPr>
          <w:p w:rsidR="00000000" w:rsidRDefault="00761D12">
            <w:pPr>
              <w:jc w:val="right"/>
              <w:rPr>
                <w:color w:val="000000"/>
                <w:sz w:val="16"/>
              </w:rPr>
            </w:pPr>
          </w:p>
        </w:tc>
        <w:tc>
          <w:tcPr>
            <w:tcW w:w="3122" w:type="dxa"/>
          </w:tcPr>
          <w:p w:rsidR="00000000" w:rsidRDefault="00761D12">
            <w:pPr>
              <w:rPr>
                <w:color w:val="000000"/>
                <w:sz w:val="16"/>
              </w:rPr>
            </w:pPr>
            <w:r>
              <w:rPr>
                <w:color w:val="000000"/>
                <w:sz w:val="16"/>
              </w:rPr>
              <w:t>Protective Custody</w:t>
            </w:r>
          </w:p>
        </w:tc>
        <w:tc>
          <w:tcPr>
            <w:tcW w:w="173" w:type="dxa"/>
          </w:tcPr>
          <w:p w:rsidR="00000000" w:rsidRDefault="00761D12">
            <w:pPr>
              <w:jc w:val="right"/>
              <w:rPr>
                <w:color w:val="000000"/>
                <w:sz w:val="16"/>
              </w:rPr>
            </w:pPr>
          </w:p>
        </w:tc>
        <w:tc>
          <w:tcPr>
            <w:tcW w:w="1325" w:type="dxa"/>
          </w:tcPr>
          <w:p w:rsidR="00000000" w:rsidRDefault="00761D12">
            <w:pPr>
              <w:jc w:val="right"/>
              <w:rPr>
                <w:color w:val="000000"/>
                <w:sz w:val="16"/>
              </w:rPr>
            </w:pPr>
            <w:r>
              <w:rPr>
                <w:color w:val="000000"/>
                <w:sz w:val="16"/>
              </w:rPr>
              <w:t>0.8</w:t>
            </w:r>
          </w:p>
        </w:tc>
        <w:tc>
          <w:tcPr>
            <w:tcW w:w="173" w:type="dxa"/>
          </w:tcPr>
          <w:p w:rsidR="00000000" w:rsidRDefault="00761D12">
            <w:pPr>
              <w:jc w:val="right"/>
              <w:rPr>
                <w:color w:val="000000"/>
                <w:sz w:val="16"/>
              </w:rPr>
            </w:pPr>
          </w:p>
        </w:tc>
        <w:tc>
          <w:tcPr>
            <w:tcW w:w="1435" w:type="dxa"/>
          </w:tcPr>
          <w:p w:rsidR="00000000" w:rsidRDefault="00761D12">
            <w:pPr>
              <w:jc w:val="right"/>
              <w:rPr>
                <w:color w:val="000000"/>
                <w:sz w:val="16"/>
              </w:rPr>
            </w:pPr>
            <w:r>
              <w:rPr>
                <w:color w:val="000000"/>
                <w:sz w:val="16"/>
              </w:rPr>
              <w:t>20.7</w:t>
            </w:r>
          </w:p>
        </w:tc>
      </w:tr>
      <w:tr w:rsidR="00000000">
        <w:tblPrEx>
          <w:tblCellMar>
            <w:top w:w="0" w:type="dxa"/>
            <w:bottom w:w="0" w:type="dxa"/>
          </w:tblCellMar>
        </w:tblPrEx>
        <w:tc>
          <w:tcPr>
            <w:tcW w:w="521" w:type="dxa"/>
          </w:tcPr>
          <w:p w:rsidR="00000000" w:rsidRDefault="00761D12">
            <w:pPr>
              <w:jc w:val="right"/>
              <w:rPr>
                <w:color w:val="000000"/>
                <w:sz w:val="16"/>
              </w:rPr>
            </w:pPr>
          </w:p>
        </w:tc>
        <w:tc>
          <w:tcPr>
            <w:tcW w:w="3122" w:type="dxa"/>
          </w:tcPr>
          <w:p w:rsidR="00000000" w:rsidRDefault="00761D12">
            <w:pPr>
              <w:rPr>
                <w:color w:val="000000"/>
                <w:sz w:val="16"/>
              </w:rPr>
            </w:pPr>
            <w:r>
              <w:rPr>
                <w:color w:val="000000"/>
                <w:sz w:val="16"/>
              </w:rPr>
              <w:t>Out-of-State Placement-Women</w:t>
            </w:r>
          </w:p>
        </w:tc>
        <w:tc>
          <w:tcPr>
            <w:tcW w:w="173" w:type="dxa"/>
          </w:tcPr>
          <w:p w:rsidR="00000000" w:rsidRDefault="00761D12">
            <w:pPr>
              <w:jc w:val="right"/>
              <w:rPr>
                <w:color w:val="000000"/>
                <w:sz w:val="16"/>
              </w:rPr>
            </w:pPr>
          </w:p>
        </w:tc>
        <w:tc>
          <w:tcPr>
            <w:tcW w:w="1325" w:type="dxa"/>
          </w:tcPr>
          <w:p w:rsidR="00000000" w:rsidRDefault="00761D12">
            <w:pPr>
              <w:jc w:val="right"/>
              <w:rPr>
                <w:color w:val="000000"/>
                <w:sz w:val="16"/>
              </w:rPr>
            </w:pPr>
            <w:r>
              <w:rPr>
                <w:color w:val="000000"/>
                <w:sz w:val="16"/>
              </w:rPr>
              <w:t>2.2</w:t>
            </w:r>
          </w:p>
        </w:tc>
        <w:tc>
          <w:tcPr>
            <w:tcW w:w="173" w:type="dxa"/>
          </w:tcPr>
          <w:p w:rsidR="00000000" w:rsidRDefault="00761D12">
            <w:pPr>
              <w:jc w:val="right"/>
              <w:rPr>
                <w:color w:val="000000"/>
                <w:sz w:val="16"/>
              </w:rPr>
            </w:pPr>
          </w:p>
        </w:tc>
        <w:tc>
          <w:tcPr>
            <w:tcW w:w="1435" w:type="dxa"/>
          </w:tcPr>
          <w:p w:rsidR="00000000" w:rsidRDefault="00761D12">
            <w:pPr>
              <w:jc w:val="right"/>
              <w:rPr>
                <w:color w:val="000000"/>
                <w:sz w:val="16"/>
              </w:rPr>
            </w:pPr>
          </w:p>
        </w:tc>
      </w:tr>
      <w:tr w:rsidR="00000000">
        <w:tblPrEx>
          <w:tblCellMar>
            <w:top w:w="0" w:type="dxa"/>
            <w:bottom w:w="0" w:type="dxa"/>
          </w:tblCellMar>
        </w:tblPrEx>
        <w:tc>
          <w:tcPr>
            <w:tcW w:w="521" w:type="dxa"/>
          </w:tcPr>
          <w:p w:rsidR="00000000" w:rsidRDefault="00761D12">
            <w:pPr>
              <w:jc w:val="right"/>
              <w:rPr>
                <w:color w:val="000000"/>
                <w:sz w:val="16"/>
              </w:rPr>
            </w:pPr>
          </w:p>
        </w:tc>
        <w:tc>
          <w:tcPr>
            <w:tcW w:w="3122" w:type="dxa"/>
          </w:tcPr>
          <w:p w:rsidR="00000000" w:rsidRDefault="00761D12">
            <w:pPr>
              <w:rPr>
                <w:color w:val="000000"/>
                <w:sz w:val="16"/>
              </w:rPr>
            </w:pPr>
            <w:r>
              <w:rPr>
                <w:color w:val="000000"/>
                <w:sz w:val="16"/>
              </w:rPr>
              <w:t>Inmate Education</w:t>
            </w:r>
          </w:p>
        </w:tc>
        <w:tc>
          <w:tcPr>
            <w:tcW w:w="173" w:type="dxa"/>
          </w:tcPr>
          <w:p w:rsidR="00000000" w:rsidRDefault="00761D12">
            <w:pPr>
              <w:jc w:val="right"/>
              <w:rPr>
                <w:color w:val="000000"/>
                <w:sz w:val="16"/>
              </w:rPr>
            </w:pPr>
          </w:p>
        </w:tc>
        <w:tc>
          <w:tcPr>
            <w:tcW w:w="1325" w:type="dxa"/>
          </w:tcPr>
          <w:p w:rsidR="00000000" w:rsidRDefault="00761D12">
            <w:pPr>
              <w:jc w:val="right"/>
              <w:rPr>
                <w:color w:val="000000"/>
                <w:sz w:val="16"/>
              </w:rPr>
            </w:pPr>
            <w:r>
              <w:rPr>
                <w:color w:val="000000"/>
                <w:sz w:val="16"/>
              </w:rPr>
              <w:t>0.3</w:t>
            </w:r>
          </w:p>
        </w:tc>
        <w:tc>
          <w:tcPr>
            <w:tcW w:w="173" w:type="dxa"/>
          </w:tcPr>
          <w:p w:rsidR="00000000" w:rsidRDefault="00761D12">
            <w:pPr>
              <w:jc w:val="right"/>
              <w:rPr>
                <w:color w:val="000000"/>
                <w:sz w:val="16"/>
              </w:rPr>
            </w:pPr>
          </w:p>
        </w:tc>
        <w:tc>
          <w:tcPr>
            <w:tcW w:w="1435" w:type="dxa"/>
          </w:tcPr>
          <w:p w:rsidR="00000000" w:rsidRDefault="00761D12">
            <w:pPr>
              <w:jc w:val="right"/>
              <w:rPr>
                <w:color w:val="000000"/>
                <w:sz w:val="16"/>
              </w:rPr>
            </w:pPr>
          </w:p>
        </w:tc>
      </w:tr>
      <w:tr w:rsidR="00000000">
        <w:tblPrEx>
          <w:tblCellMar>
            <w:top w:w="0" w:type="dxa"/>
            <w:bottom w:w="0" w:type="dxa"/>
          </w:tblCellMar>
        </w:tblPrEx>
        <w:tc>
          <w:tcPr>
            <w:tcW w:w="521" w:type="dxa"/>
          </w:tcPr>
          <w:p w:rsidR="00000000" w:rsidRDefault="00761D12">
            <w:pPr>
              <w:jc w:val="right"/>
              <w:rPr>
                <w:color w:val="000000"/>
                <w:sz w:val="16"/>
              </w:rPr>
            </w:pPr>
          </w:p>
        </w:tc>
        <w:tc>
          <w:tcPr>
            <w:tcW w:w="3122" w:type="dxa"/>
          </w:tcPr>
          <w:p w:rsidR="00000000" w:rsidRDefault="00761D12">
            <w:pPr>
              <w:rPr>
                <w:color w:val="000000"/>
                <w:sz w:val="16"/>
              </w:rPr>
            </w:pPr>
            <w:r>
              <w:rPr>
                <w:color w:val="000000"/>
                <w:sz w:val="16"/>
              </w:rPr>
              <w:t>DOC Victim Programs</w:t>
            </w:r>
          </w:p>
        </w:tc>
        <w:tc>
          <w:tcPr>
            <w:tcW w:w="173" w:type="dxa"/>
          </w:tcPr>
          <w:p w:rsidR="00000000" w:rsidRDefault="00761D12">
            <w:pPr>
              <w:jc w:val="right"/>
              <w:rPr>
                <w:color w:val="000000"/>
                <w:sz w:val="16"/>
              </w:rPr>
            </w:pPr>
          </w:p>
        </w:tc>
        <w:tc>
          <w:tcPr>
            <w:tcW w:w="1325" w:type="dxa"/>
          </w:tcPr>
          <w:p w:rsidR="00000000" w:rsidRDefault="00761D12">
            <w:pPr>
              <w:jc w:val="right"/>
              <w:rPr>
                <w:color w:val="000000"/>
                <w:sz w:val="16"/>
              </w:rPr>
            </w:pPr>
            <w:r>
              <w:rPr>
                <w:color w:val="000000"/>
                <w:sz w:val="16"/>
              </w:rPr>
              <w:t>0.1</w:t>
            </w:r>
          </w:p>
        </w:tc>
        <w:tc>
          <w:tcPr>
            <w:tcW w:w="173" w:type="dxa"/>
          </w:tcPr>
          <w:p w:rsidR="00000000" w:rsidRDefault="00761D12">
            <w:pPr>
              <w:jc w:val="right"/>
              <w:rPr>
                <w:color w:val="000000"/>
                <w:sz w:val="16"/>
              </w:rPr>
            </w:pPr>
          </w:p>
        </w:tc>
        <w:tc>
          <w:tcPr>
            <w:tcW w:w="1435" w:type="dxa"/>
          </w:tcPr>
          <w:p w:rsidR="00000000" w:rsidRDefault="00761D12">
            <w:pPr>
              <w:jc w:val="right"/>
              <w:rPr>
                <w:color w:val="000000"/>
                <w:sz w:val="16"/>
              </w:rPr>
            </w:pPr>
          </w:p>
        </w:tc>
      </w:tr>
      <w:tr w:rsidR="00761D12" w:rsidTr="00761D12">
        <w:tblPrEx>
          <w:tblCellMar>
            <w:top w:w="0" w:type="dxa"/>
            <w:bottom w:w="0" w:type="dxa"/>
          </w:tblCellMar>
        </w:tblPrEx>
        <w:tc>
          <w:tcPr>
            <w:tcW w:w="521" w:type="dxa"/>
          </w:tcPr>
          <w:p w:rsidR="00000000" w:rsidRDefault="00761D12">
            <w:pPr>
              <w:jc w:val="right"/>
              <w:rPr>
                <w:color w:val="000000"/>
                <w:sz w:val="16"/>
              </w:rPr>
            </w:pPr>
          </w:p>
        </w:tc>
        <w:tc>
          <w:tcPr>
            <w:tcW w:w="3295" w:type="dxa"/>
            <w:gridSpan w:val="2"/>
          </w:tcPr>
          <w:p w:rsidR="00000000" w:rsidRDefault="00761D12">
            <w:pPr>
              <w:rPr>
                <w:color w:val="000000"/>
                <w:sz w:val="16"/>
              </w:rPr>
            </w:pPr>
            <w:r>
              <w:rPr>
                <w:color w:val="000000"/>
                <w:sz w:val="16"/>
              </w:rPr>
              <w:t>Inmate Work Supervision-                Approved Facility Expansion</w:t>
            </w:r>
          </w:p>
        </w:tc>
        <w:tc>
          <w:tcPr>
            <w:tcW w:w="1325" w:type="dxa"/>
          </w:tcPr>
          <w:p w:rsidR="00000000" w:rsidRDefault="00761D12">
            <w:pPr>
              <w:jc w:val="right"/>
              <w:rPr>
                <w:color w:val="000000"/>
                <w:sz w:val="16"/>
              </w:rPr>
            </w:pPr>
            <w:r>
              <w:rPr>
                <w:color w:val="000000"/>
                <w:sz w:val="16"/>
              </w:rPr>
              <w:t>0.4</w:t>
            </w:r>
          </w:p>
        </w:tc>
        <w:tc>
          <w:tcPr>
            <w:tcW w:w="173" w:type="dxa"/>
          </w:tcPr>
          <w:p w:rsidR="00000000" w:rsidRDefault="00761D12">
            <w:pPr>
              <w:jc w:val="right"/>
              <w:rPr>
                <w:color w:val="000000"/>
                <w:sz w:val="16"/>
              </w:rPr>
            </w:pPr>
          </w:p>
        </w:tc>
        <w:tc>
          <w:tcPr>
            <w:tcW w:w="1435" w:type="dxa"/>
          </w:tcPr>
          <w:p w:rsidR="00000000" w:rsidRDefault="00761D12">
            <w:pPr>
              <w:jc w:val="right"/>
              <w:rPr>
                <w:color w:val="000000"/>
                <w:sz w:val="16"/>
              </w:rPr>
            </w:pPr>
            <w:r>
              <w:rPr>
                <w:color w:val="000000"/>
                <w:sz w:val="16"/>
              </w:rPr>
              <w:t>10.0</w:t>
            </w:r>
          </w:p>
        </w:tc>
      </w:tr>
      <w:tr w:rsidR="00761D12" w:rsidTr="00761D12">
        <w:tblPrEx>
          <w:tblCellMar>
            <w:top w:w="0" w:type="dxa"/>
            <w:bottom w:w="0" w:type="dxa"/>
          </w:tblCellMar>
        </w:tblPrEx>
        <w:tc>
          <w:tcPr>
            <w:tcW w:w="521" w:type="dxa"/>
          </w:tcPr>
          <w:p w:rsidR="00000000" w:rsidRDefault="00761D12">
            <w:pPr>
              <w:jc w:val="right"/>
              <w:rPr>
                <w:color w:val="000000"/>
                <w:sz w:val="16"/>
              </w:rPr>
            </w:pPr>
          </w:p>
        </w:tc>
        <w:tc>
          <w:tcPr>
            <w:tcW w:w="3295" w:type="dxa"/>
            <w:gridSpan w:val="2"/>
          </w:tcPr>
          <w:p w:rsidR="00000000" w:rsidRDefault="00761D12">
            <w:pPr>
              <w:rPr>
                <w:color w:val="000000"/>
                <w:sz w:val="16"/>
              </w:rPr>
            </w:pPr>
            <w:r>
              <w:rPr>
                <w:color w:val="000000"/>
                <w:sz w:val="16"/>
              </w:rPr>
              <w:t>Critical Authorized Positions                (</w:t>
            </w:r>
            <w:r>
              <w:rPr>
                <w:color w:val="000000"/>
                <w:sz w:val="16"/>
              </w:rPr>
              <w:t>federal consent decree)</w:t>
            </w:r>
          </w:p>
        </w:tc>
        <w:tc>
          <w:tcPr>
            <w:tcW w:w="1325" w:type="dxa"/>
            <w:tcBorders>
              <w:bottom w:val="single" w:sz="6" w:space="0" w:color="000000"/>
            </w:tcBorders>
          </w:tcPr>
          <w:p w:rsidR="00000000" w:rsidRDefault="00761D12">
            <w:pPr>
              <w:jc w:val="right"/>
              <w:rPr>
                <w:color w:val="000000"/>
                <w:sz w:val="16"/>
              </w:rPr>
            </w:pPr>
            <w:r>
              <w:rPr>
                <w:color w:val="000000"/>
                <w:sz w:val="16"/>
              </w:rPr>
              <w:t>0.3</w:t>
            </w:r>
          </w:p>
        </w:tc>
        <w:tc>
          <w:tcPr>
            <w:tcW w:w="173" w:type="dxa"/>
          </w:tcPr>
          <w:p w:rsidR="00000000" w:rsidRDefault="00761D12">
            <w:pPr>
              <w:jc w:val="right"/>
              <w:rPr>
                <w:color w:val="000000"/>
                <w:sz w:val="16"/>
              </w:rPr>
            </w:pPr>
          </w:p>
        </w:tc>
        <w:tc>
          <w:tcPr>
            <w:tcW w:w="1435" w:type="dxa"/>
            <w:tcBorders>
              <w:bottom w:val="single" w:sz="6" w:space="0" w:color="000000"/>
            </w:tcBorders>
          </w:tcPr>
          <w:p w:rsidR="00000000" w:rsidRDefault="00761D12">
            <w:pPr>
              <w:jc w:val="right"/>
              <w:rPr>
                <w:color w:val="000000"/>
                <w:sz w:val="16"/>
              </w:rPr>
            </w:pPr>
            <w:r>
              <w:rPr>
                <w:color w:val="000000"/>
                <w:sz w:val="16"/>
              </w:rPr>
              <w:t>8.0</w:t>
            </w:r>
          </w:p>
        </w:tc>
      </w:tr>
      <w:tr w:rsidR="00761D12" w:rsidTr="00761D12">
        <w:tblPrEx>
          <w:tblCellMar>
            <w:top w:w="0" w:type="dxa"/>
            <w:bottom w:w="0" w:type="dxa"/>
          </w:tblCellMar>
        </w:tblPrEx>
        <w:tc>
          <w:tcPr>
            <w:tcW w:w="3643" w:type="dxa"/>
            <w:gridSpan w:val="2"/>
          </w:tcPr>
          <w:p w:rsidR="00000000" w:rsidRDefault="00761D12">
            <w:pPr>
              <w:rPr>
                <w:color w:val="000000"/>
                <w:sz w:val="16"/>
              </w:rPr>
            </w:pPr>
            <w:r>
              <w:rPr>
                <w:color w:val="000000"/>
                <w:sz w:val="16"/>
              </w:rPr>
              <w:t>Total Operations Increases</w:t>
            </w:r>
          </w:p>
        </w:tc>
        <w:tc>
          <w:tcPr>
            <w:tcW w:w="173" w:type="dxa"/>
          </w:tcPr>
          <w:p w:rsidR="00000000" w:rsidRDefault="00761D12">
            <w:pPr>
              <w:jc w:val="right"/>
              <w:rPr>
                <w:color w:val="000000"/>
                <w:sz w:val="16"/>
              </w:rPr>
            </w:pPr>
          </w:p>
        </w:tc>
        <w:tc>
          <w:tcPr>
            <w:tcW w:w="1325" w:type="dxa"/>
            <w:tcBorders>
              <w:bottom w:val="double" w:sz="6" w:space="0" w:color="000000"/>
            </w:tcBorders>
          </w:tcPr>
          <w:p w:rsidR="00000000" w:rsidRDefault="00761D12">
            <w:pPr>
              <w:jc w:val="right"/>
              <w:rPr>
                <w:color w:val="000000"/>
                <w:sz w:val="16"/>
              </w:rPr>
            </w:pPr>
            <w:r>
              <w:rPr>
                <w:color w:val="000000"/>
                <w:sz w:val="16"/>
              </w:rPr>
              <w:t>$           27.0</w:t>
            </w:r>
          </w:p>
        </w:tc>
        <w:tc>
          <w:tcPr>
            <w:tcW w:w="173" w:type="dxa"/>
          </w:tcPr>
          <w:p w:rsidR="00000000" w:rsidRDefault="00761D12">
            <w:pPr>
              <w:jc w:val="right"/>
              <w:rPr>
                <w:color w:val="000000"/>
                <w:sz w:val="16"/>
              </w:rPr>
            </w:pPr>
          </w:p>
        </w:tc>
        <w:tc>
          <w:tcPr>
            <w:tcW w:w="1435" w:type="dxa"/>
            <w:tcBorders>
              <w:bottom w:val="double" w:sz="6" w:space="0" w:color="000000"/>
            </w:tcBorders>
          </w:tcPr>
          <w:p w:rsidR="00000000" w:rsidRDefault="00761D12">
            <w:pPr>
              <w:jc w:val="right"/>
              <w:rPr>
                <w:color w:val="000000"/>
                <w:sz w:val="16"/>
              </w:rPr>
            </w:pPr>
            <w:r>
              <w:rPr>
                <w:color w:val="000000"/>
                <w:sz w:val="16"/>
              </w:rPr>
              <w:t>313.6</w:t>
            </w:r>
          </w:p>
        </w:tc>
      </w:tr>
      <w:tr w:rsidR="00000000">
        <w:tblPrEx>
          <w:tblCellMar>
            <w:top w:w="0" w:type="dxa"/>
            <w:bottom w:w="0" w:type="dxa"/>
          </w:tblCellMar>
        </w:tblPrEx>
        <w:tc>
          <w:tcPr>
            <w:tcW w:w="521" w:type="dxa"/>
          </w:tcPr>
          <w:p w:rsidR="00000000" w:rsidRDefault="00761D12">
            <w:pPr>
              <w:jc w:val="right"/>
              <w:rPr>
                <w:color w:val="000000"/>
                <w:sz w:val="16"/>
              </w:rPr>
            </w:pPr>
          </w:p>
        </w:tc>
        <w:tc>
          <w:tcPr>
            <w:tcW w:w="3122" w:type="dxa"/>
          </w:tcPr>
          <w:p w:rsidR="00000000" w:rsidRDefault="00761D12">
            <w:pPr>
              <w:jc w:val="right"/>
              <w:rPr>
                <w:color w:val="000000"/>
                <w:sz w:val="16"/>
              </w:rPr>
            </w:pPr>
          </w:p>
        </w:tc>
        <w:tc>
          <w:tcPr>
            <w:tcW w:w="173" w:type="dxa"/>
          </w:tcPr>
          <w:p w:rsidR="00000000" w:rsidRDefault="00761D12">
            <w:pPr>
              <w:jc w:val="right"/>
              <w:rPr>
                <w:color w:val="000000"/>
                <w:sz w:val="16"/>
              </w:rPr>
            </w:pPr>
          </w:p>
        </w:tc>
        <w:tc>
          <w:tcPr>
            <w:tcW w:w="1325" w:type="dxa"/>
          </w:tcPr>
          <w:p w:rsidR="00000000" w:rsidRDefault="00761D12">
            <w:pPr>
              <w:jc w:val="right"/>
              <w:rPr>
                <w:color w:val="000000"/>
                <w:sz w:val="16"/>
              </w:rPr>
            </w:pPr>
          </w:p>
        </w:tc>
        <w:tc>
          <w:tcPr>
            <w:tcW w:w="173" w:type="dxa"/>
          </w:tcPr>
          <w:p w:rsidR="00000000" w:rsidRDefault="00761D12">
            <w:pPr>
              <w:jc w:val="right"/>
              <w:rPr>
                <w:color w:val="000000"/>
                <w:sz w:val="16"/>
              </w:rPr>
            </w:pPr>
          </w:p>
        </w:tc>
        <w:tc>
          <w:tcPr>
            <w:tcW w:w="1435" w:type="dxa"/>
          </w:tcPr>
          <w:p w:rsidR="00000000" w:rsidRDefault="00761D12">
            <w:pPr>
              <w:jc w:val="right"/>
              <w:rPr>
                <w:color w:val="000000"/>
                <w:sz w:val="16"/>
              </w:rPr>
            </w:pPr>
          </w:p>
        </w:tc>
      </w:tr>
      <w:tr w:rsidR="00761D12" w:rsidTr="00761D12">
        <w:tblPrEx>
          <w:tblCellMar>
            <w:top w:w="0" w:type="dxa"/>
            <w:bottom w:w="0" w:type="dxa"/>
          </w:tblCellMar>
        </w:tblPrEx>
        <w:tc>
          <w:tcPr>
            <w:tcW w:w="3643" w:type="dxa"/>
            <w:gridSpan w:val="2"/>
          </w:tcPr>
          <w:p w:rsidR="00000000" w:rsidRDefault="00761D12">
            <w:pPr>
              <w:rPr>
                <w:color w:val="000000"/>
                <w:sz w:val="16"/>
              </w:rPr>
            </w:pPr>
            <w:r>
              <w:rPr>
                <w:color w:val="000000"/>
                <w:sz w:val="16"/>
              </w:rPr>
              <w:t>Infrastructure Projects</w:t>
            </w:r>
          </w:p>
        </w:tc>
        <w:tc>
          <w:tcPr>
            <w:tcW w:w="173" w:type="dxa"/>
          </w:tcPr>
          <w:p w:rsidR="00000000" w:rsidRDefault="00761D12">
            <w:pPr>
              <w:jc w:val="right"/>
              <w:rPr>
                <w:color w:val="000000"/>
                <w:sz w:val="16"/>
              </w:rPr>
            </w:pPr>
          </w:p>
        </w:tc>
        <w:tc>
          <w:tcPr>
            <w:tcW w:w="1325" w:type="dxa"/>
          </w:tcPr>
          <w:p w:rsidR="00000000" w:rsidRDefault="00761D12">
            <w:pPr>
              <w:jc w:val="right"/>
              <w:rPr>
                <w:color w:val="000000"/>
                <w:sz w:val="16"/>
              </w:rPr>
            </w:pPr>
          </w:p>
        </w:tc>
        <w:tc>
          <w:tcPr>
            <w:tcW w:w="173" w:type="dxa"/>
          </w:tcPr>
          <w:p w:rsidR="00000000" w:rsidRDefault="00761D12">
            <w:pPr>
              <w:jc w:val="right"/>
              <w:rPr>
                <w:color w:val="000000"/>
                <w:sz w:val="16"/>
              </w:rPr>
            </w:pPr>
          </w:p>
        </w:tc>
        <w:tc>
          <w:tcPr>
            <w:tcW w:w="1435" w:type="dxa"/>
          </w:tcPr>
          <w:p w:rsidR="00000000" w:rsidRDefault="00761D12">
            <w:pPr>
              <w:jc w:val="right"/>
              <w:rPr>
                <w:color w:val="000000"/>
                <w:sz w:val="16"/>
              </w:rPr>
            </w:pPr>
          </w:p>
        </w:tc>
      </w:tr>
      <w:tr w:rsidR="00000000">
        <w:tblPrEx>
          <w:tblCellMar>
            <w:top w:w="0" w:type="dxa"/>
            <w:bottom w:w="0" w:type="dxa"/>
          </w:tblCellMar>
        </w:tblPrEx>
        <w:tc>
          <w:tcPr>
            <w:tcW w:w="521" w:type="dxa"/>
          </w:tcPr>
          <w:p w:rsidR="00000000" w:rsidRDefault="00761D12">
            <w:pPr>
              <w:jc w:val="right"/>
              <w:rPr>
                <w:color w:val="000000"/>
                <w:sz w:val="16"/>
              </w:rPr>
            </w:pPr>
          </w:p>
        </w:tc>
        <w:tc>
          <w:tcPr>
            <w:tcW w:w="3122" w:type="dxa"/>
          </w:tcPr>
          <w:p w:rsidR="00000000" w:rsidRDefault="00761D12">
            <w:pPr>
              <w:rPr>
                <w:color w:val="000000"/>
                <w:sz w:val="16"/>
              </w:rPr>
            </w:pPr>
            <w:r>
              <w:rPr>
                <w:color w:val="000000"/>
                <w:sz w:val="16"/>
              </w:rPr>
              <w:t>Oakdale-120 beds</w:t>
            </w:r>
          </w:p>
        </w:tc>
        <w:tc>
          <w:tcPr>
            <w:tcW w:w="173" w:type="dxa"/>
          </w:tcPr>
          <w:p w:rsidR="00000000" w:rsidRDefault="00761D12">
            <w:pPr>
              <w:jc w:val="right"/>
              <w:rPr>
                <w:color w:val="000000"/>
                <w:sz w:val="16"/>
              </w:rPr>
            </w:pPr>
          </w:p>
        </w:tc>
        <w:tc>
          <w:tcPr>
            <w:tcW w:w="1325" w:type="dxa"/>
          </w:tcPr>
          <w:p w:rsidR="00000000" w:rsidRDefault="00761D12">
            <w:pPr>
              <w:jc w:val="right"/>
              <w:rPr>
                <w:color w:val="000000"/>
                <w:sz w:val="16"/>
              </w:rPr>
            </w:pPr>
            <w:r>
              <w:rPr>
                <w:color w:val="000000"/>
                <w:sz w:val="16"/>
              </w:rPr>
              <w:t>$             5.7</w:t>
            </w:r>
          </w:p>
        </w:tc>
        <w:tc>
          <w:tcPr>
            <w:tcW w:w="173" w:type="dxa"/>
          </w:tcPr>
          <w:p w:rsidR="00000000" w:rsidRDefault="00761D12">
            <w:pPr>
              <w:jc w:val="right"/>
              <w:rPr>
                <w:color w:val="000000"/>
                <w:sz w:val="16"/>
              </w:rPr>
            </w:pPr>
          </w:p>
        </w:tc>
        <w:tc>
          <w:tcPr>
            <w:tcW w:w="1435" w:type="dxa"/>
          </w:tcPr>
          <w:p w:rsidR="00000000" w:rsidRDefault="00761D12">
            <w:pPr>
              <w:jc w:val="right"/>
              <w:rPr>
                <w:color w:val="000000"/>
                <w:sz w:val="16"/>
              </w:rPr>
            </w:pPr>
          </w:p>
        </w:tc>
      </w:tr>
      <w:tr w:rsidR="00761D12" w:rsidTr="00761D12">
        <w:tblPrEx>
          <w:tblCellMar>
            <w:top w:w="0" w:type="dxa"/>
            <w:bottom w:w="0" w:type="dxa"/>
          </w:tblCellMar>
        </w:tblPrEx>
        <w:tc>
          <w:tcPr>
            <w:tcW w:w="521" w:type="dxa"/>
          </w:tcPr>
          <w:p w:rsidR="00000000" w:rsidRDefault="00761D12">
            <w:pPr>
              <w:jc w:val="right"/>
              <w:rPr>
                <w:color w:val="000000"/>
                <w:sz w:val="16"/>
              </w:rPr>
            </w:pPr>
          </w:p>
        </w:tc>
        <w:tc>
          <w:tcPr>
            <w:tcW w:w="3295" w:type="dxa"/>
            <w:gridSpan w:val="2"/>
          </w:tcPr>
          <w:p w:rsidR="00000000" w:rsidRDefault="00761D12">
            <w:pPr>
              <w:rPr>
                <w:color w:val="000000"/>
                <w:sz w:val="16"/>
              </w:rPr>
            </w:pPr>
            <w:r>
              <w:rPr>
                <w:color w:val="000000"/>
                <w:sz w:val="16"/>
              </w:rPr>
              <w:t>Clarinda Kitchen Planning             (Telephone Rebate Fund)</w:t>
            </w:r>
          </w:p>
        </w:tc>
        <w:tc>
          <w:tcPr>
            <w:tcW w:w="1325" w:type="dxa"/>
            <w:tcBorders>
              <w:bottom w:val="single" w:sz="6" w:space="0" w:color="000000"/>
            </w:tcBorders>
          </w:tcPr>
          <w:p w:rsidR="00000000" w:rsidRDefault="00761D12">
            <w:pPr>
              <w:jc w:val="right"/>
              <w:rPr>
                <w:color w:val="000000"/>
                <w:sz w:val="16"/>
              </w:rPr>
            </w:pPr>
            <w:r>
              <w:rPr>
                <w:color w:val="000000"/>
                <w:sz w:val="16"/>
              </w:rPr>
              <w:t>0.2</w:t>
            </w:r>
          </w:p>
        </w:tc>
        <w:tc>
          <w:tcPr>
            <w:tcW w:w="173" w:type="dxa"/>
          </w:tcPr>
          <w:p w:rsidR="00000000" w:rsidRDefault="00761D12">
            <w:pPr>
              <w:jc w:val="right"/>
              <w:rPr>
                <w:color w:val="000000"/>
                <w:sz w:val="16"/>
              </w:rPr>
            </w:pPr>
          </w:p>
        </w:tc>
        <w:tc>
          <w:tcPr>
            <w:tcW w:w="1435" w:type="dxa"/>
          </w:tcPr>
          <w:p w:rsidR="00000000" w:rsidRDefault="00761D12">
            <w:pPr>
              <w:jc w:val="right"/>
              <w:rPr>
                <w:color w:val="000000"/>
                <w:sz w:val="16"/>
              </w:rPr>
            </w:pPr>
          </w:p>
        </w:tc>
      </w:tr>
      <w:tr w:rsidR="00761D12" w:rsidTr="00761D12">
        <w:tblPrEx>
          <w:tblCellMar>
            <w:top w:w="0" w:type="dxa"/>
            <w:bottom w:w="0" w:type="dxa"/>
          </w:tblCellMar>
        </w:tblPrEx>
        <w:tc>
          <w:tcPr>
            <w:tcW w:w="3643" w:type="dxa"/>
            <w:gridSpan w:val="2"/>
          </w:tcPr>
          <w:p w:rsidR="00000000" w:rsidRDefault="00761D12">
            <w:pPr>
              <w:rPr>
                <w:color w:val="000000"/>
                <w:sz w:val="16"/>
              </w:rPr>
            </w:pPr>
            <w:r>
              <w:rPr>
                <w:color w:val="000000"/>
                <w:sz w:val="16"/>
              </w:rPr>
              <w:t>Total Infrastructur</w:t>
            </w:r>
            <w:r>
              <w:rPr>
                <w:color w:val="000000"/>
                <w:sz w:val="16"/>
              </w:rPr>
              <w:t>e Projects</w:t>
            </w:r>
          </w:p>
        </w:tc>
        <w:tc>
          <w:tcPr>
            <w:tcW w:w="173" w:type="dxa"/>
          </w:tcPr>
          <w:p w:rsidR="00000000" w:rsidRDefault="00761D12">
            <w:pPr>
              <w:jc w:val="right"/>
              <w:rPr>
                <w:color w:val="000000"/>
                <w:sz w:val="16"/>
              </w:rPr>
            </w:pPr>
          </w:p>
        </w:tc>
        <w:tc>
          <w:tcPr>
            <w:tcW w:w="1325" w:type="dxa"/>
            <w:tcBorders>
              <w:bottom w:val="double" w:sz="6" w:space="0" w:color="000000"/>
            </w:tcBorders>
          </w:tcPr>
          <w:p w:rsidR="00000000" w:rsidRDefault="00761D12">
            <w:pPr>
              <w:jc w:val="right"/>
              <w:rPr>
                <w:color w:val="000000"/>
                <w:sz w:val="16"/>
              </w:rPr>
            </w:pPr>
            <w:r>
              <w:rPr>
                <w:color w:val="000000"/>
                <w:sz w:val="16"/>
              </w:rPr>
              <w:t>$             5.9</w:t>
            </w:r>
          </w:p>
        </w:tc>
        <w:tc>
          <w:tcPr>
            <w:tcW w:w="173" w:type="dxa"/>
          </w:tcPr>
          <w:p w:rsidR="00000000" w:rsidRDefault="00761D12">
            <w:pPr>
              <w:jc w:val="right"/>
              <w:rPr>
                <w:color w:val="000000"/>
                <w:sz w:val="16"/>
              </w:rPr>
            </w:pPr>
          </w:p>
        </w:tc>
        <w:tc>
          <w:tcPr>
            <w:tcW w:w="1435" w:type="dxa"/>
          </w:tcPr>
          <w:p w:rsidR="00000000" w:rsidRDefault="00761D12">
            <w:pPr>
              <w:jc w:val="right"/>
              <w:rPr>
                <w:color w:val="000000"/>
                <w:sz w:val="16"/>
              </w:rPr>
            </w:pPr>
          </w:p>
        </w:tc>
      </w:tr>
      <w:tr w:rsidR="00000000">
        <w:tblPrEx>
          <w:tblCellMar>
            <w:top w:w="0" w:type="dxa"/>
            <w:bottom w:w="0" w:type="dxa"/>
          </w:tblCellMar>
        </w:tblPrEx>
        <w:tc>
          <w:tcPr>
            <w:tcW w:w="521" w:type="dxa"/>
          </w:tcPr>
          <w:p w:rsidR="00000000" w:rsidRDefault="00761D12">
            <w:pPr>
              <w:jc w:val="right"/>
              <w:rPr>
                <w:color w:val="000000"/>
                <w:sz w:val="16"/>
              </w:rPr>
            </w:pPr>
          </w:p>
        </w:tc>
        <w:tc>
          <w:tcPr>
            <w:tcW w:w="3122" w:type="dxa"/>
          </w:tcPr>
          <w:p w:rsidR="00000000" w:rsidRDefault="00761D12">
            <w:pPr>
              <w:jc w:val="right"/>
              <w:rPr>
                <w:color w:val="000000"/>
                <w:sz w:val="16"/>
              </w:rPr>
            </w:pPr>
          </w:p>
        </w:tc>
        <w:tc>
          <w:tcPr>
            <w:tcW w:w="173" w:type="dxa"/>
          </w:tcPr>
          <w:p w:rsidR="00000000" w:rsidRDefault="00761D12">
            <w:pPr>
              <w:jc w:val="right"/>
              <w:rPr>
                <w:color w:val="000000"/>
                <w:sz w:val="16"/>
              </w:rPr>
            </w:pPr>
          </w:p>
        </w:tc>
        <w:tc>
          <w:tcPr>
            <w:tcW w:w="1325" w:type="dxa"/>
          </w:tcPr>
          <w:p w:rsidR="00000000" w:rsidRDefault="00761D12">
            <w:pPr>
              <w:jc w:val="right"/>
              <w:rPr>
                <w:color w:val="000000"/>
                <w:sz w:val="16"/>
              </w:rPr>
            </w:pPr>
          </w:p>
        </w:tc>
        <w:tc>
          <w:tcPr>
            <w:tcW w:w="173" w:type="dxa"/>
          </w:tcPr>
          <w:p w:rsidR="00000000" w:rsidRDefault="00761D12">
            <w:pPr>
              <w:jc w:val="right"/>
              <w:rPr>
                <w:color w:val="000000"/>
                <w:sz w:val="16"/>
              </w:rPr>
            </w:pPr>
          </w:p>
        </w:tc>
        <w:tc>
          <w:tcPr>
            <w:tcW w:w="1435" w:type="dxa"/>
          </w:tcPr>
          <w:p w:rsidR="00000000" w:rsidRDefault="00761D12">
            <w:pPr>
              <w:jc w:val="right"/>
              <w:rPr>
                <w:color w:val="000000"/>
                <w:sz w:val="16"/>
              </w:rPr>
            </w:pPr>
          </w:p>
        </w:tc>
      </w:tr>
      <w:tr w:rsidR="00761D12" w:rsidTr="00761D12">
        <w:tblPrEx>
          <w:tblCellMar>
            <w:top w:w="0" w:type="dxa"/>
            <w:bottom w:w="0" w:type="dxa"/>
          </w:tblCellMar>
        </w:tblPrEx>
        <w:tc>
          <w:tcPr>
            <w:tcW w:w="3643" w:type="dxa"/>
            <w:gridSpan w:val="2"/>
          </w:tcPr>
          <w:p w:rsidR="00000000" w:rsidRDefault="00761D12">
            <w:pPr>
              <w:rPr>
                <w:color w:val="000000"/>
                <w:sz w:val="16"/>
              </w:rPr>
            </w:pPr>
            <w:r>
              <w:rPr>
                <w:color w:val="000000"/>
                <w:sz w:val="16"/>
              </w:rPr>
              <w:t>Major Maintenance</w:t>
            </w:r>
          </w:p>
        </w:tc>
        <w:tc>
          <w:tcPr>
            <w:tcW w:w="173" w:type="dxa"/>
          </w:tcPr>
          <w:p w:rsidR="00000000" w:rsidRDefault="00761D12">
            <w:pPr>
              <w:jc w:val="right"/>
              <w:rPr>
                <w:color w:val="000000"/>
                <w:sz w:val="16"/>
              </w:rPr>
            </w:pPr>
          </w:p>
        </w:tc>
        <w:tc>
          <w:tcPr>
            <w:tcW w:w="1325" w:type="dxa"/>
          </w:tcPr>
          <w:p w:rsidR="00000000" w:rsidRDefault="00761D12">
            <w:pPr>
              <w:jc w:val="right"/>
              <w:rPr>
                <w:color w:val="000000"/>
                <w:sz w:val="16"/>
              </w:rPr>
            </w:pPr>
          </w:p>
        </w:tc>
        <w:tc>
          <w:tcPr>
            <w:tcW w:w="173" w:type="dxa"/>
          </w:tcPr>
          <w:p w:rsidR="00000000" w:rsidRDefault="00761D12">
            <w:pPr>
              <w:jc w:val="right"/>
              <w:rPr>
                <w:color w:val="000000"/>
                <w:sz w:val="16"/>
              </w:rPr>
            </w:pPr>
          </w:p>
        </w:tc>
        <w:tc>
          <w:tcPr>
            <w:tcW w:w="1435" w:type="dxa"/>
          </w:tcPr>
          <w:p w:rsidR="00000000" w:rsidRDefault="00761D12">
            <w:pPr>
              <w:jc w:val="right"/>
              <w:rPr>
                <w:color w:val="000000"/>
                <w:sz w:val="16"/>
              </w:rPr>
            </w:pPr>
          </w:p>
        </w:tc>
      </w:tr>
      <w:tr w:rsidR="00000000">
        <w:tblPrEx>
          <w:tblCellMar>
            <w:top w:w="0" w:type="dxa"/>
            <w:bottom w:w="0" w:type="dxa"/>
          </w:tblCellMar>
        </w:tblPrEx>
        <w:tc>
          <w:tcPr>
            <w:tcW w:w="521" w:type="dxa"/>
          </w:tcPr>
          <w:p w:rsidR="00000000" w:rsidRDefault="00761D12">
            <w:pPr>
              <w:jc w:val="right"/>
              <w:rPr>
                <w:color w:val="000000"/>
                <w:sz w:val="16"/>
              </w:rPr>
            </w:pPr>
          </w:p>
        </w:tc>
        <w:tc>
          <w:tcPr>
            <w:tcW w:w="3122" w:type="dxa"/>
          </w:tcPr>
          <w:p w:rsidR="00000000" w:rsidRDefault="00761D12">
            <w:pPr>
              <w:rPr>
                <w:color w:val="000000"/>
                <w:sz w:val="16"/>
              </w:rPr>
            </w:pPr>
            <w:r>
              <w:rPr>
                <w:color w:val="000000"/>
                <w:sz w:val="16"/>
              </w:rPr>
              <w:t>Major Maint.-Health, Life &amp; Fire</w:t>
            </w:r>
          </w:p>
        </w:tc>
        <w:tc>
          <w:tcPr>
            <w:tcW w:w="173" w:type="dxa"/>
          </w:tcPr>
          <w:p w:rsidR="00000000" w:rsidRDefault="00761D12">
            <w:pPr>
              <w:jc w:val="right"/>
              <w:rPr>
                <w:color w:val="000000"/>
                <w:sz w:val="16"/>
              </w:rPr>
            </w:pPr>
          </w:p>
        </w:tc>
        <w:tc>
          <w:tcPr>
            <w:tcW w:w="1325" w:type="dxa"/>
          </w:tcPr>
          <w:p w:rsidR="00000000" w:rsidRDefault="00761D12">
            <w:pPr>
              <w:jc w:val="right"/>
              <w:rPr>
                <w:color w:val="000000"/>
                <w:sz w:val="16"/>
              </w:rPr>
            </w:pPr>
            <w:r>
              <w:rPr>
                <w:color w:val="000000"/>
                <w:sz w:val="16"/>
              </w:rPr>
              <w:t>6.8</w:t>
            </w:r>
          </w:p>
        </w:tc>
        <w:tc>
          <w:tcPr>
            <w:tcW w:w="173" w:type="dxa"/>
          </w:tcPr>
          <w:p w:rsidR="00000000" w:rsidRDefault="00761D12">
            <w:pPr>
              <w:jc w:val="right"/>
              <w:rPr>
                <w:color w:val="000000"/>
                <w:sz w:val="16"/>
              </w:rPr>
            </w:pPr>
          </w:p>
        </w:tc>
        <w:tc>
          <w:tcPr>
            <w:tcW w:w="1435" w:type="dxa"/>
          </w:tcPr>
          <w:p w:rsidR="00000000" w:rsidRDefault="00761D12">
            <w:pPr>
              <w:jc w:val="right"/>
              <w:rPr>
                <w:color w:val="000000"/>
                <w:sz w:val="16"/>
              </w:rPr>
            </w:pPr>
          </w:p>
        </w:tc>
      </w:tr>
      <w:tr w:rsidR="00000000">
        <w:tblPrEx>
          <w:tblCellMar>
            <w:top w:w="0" w:type="dxa"/>
            <w:bottom w:w="0" w:type="dxa"/>
          </w:tblCellMar>
        </w:tblPrEx>
        <w:tc>
          <w:tcPr>
            <w:tcW w:w="521" w:type="dxa"/>
          </w:tcPr>
          <w:p w:rsidR="00000000" w:rsidRDefault="00761D12">
            <w:pPr>
              <w:jc w:val="right"/>
              <w:rPr>
                <w:color w:val="000000"/>
                <w:sz w:val="16"/>
              </w:rPr>
            </w:pPr>
          </w:p>
        </w:tc>
        <w:tc>
          <w:tcPr>
            <w:tcW w:w="3122" w:type="dxa"/>
          </w:tcPr>
          <w:p w:rsidR="00000000" w:rsidRDefault="00761D12">
            <w:pPr>
              <w:rPr>
                <w:color w:val="000000"/>
                <w:sz w:val="16"/>
              </w:rPr>
            </w:pPr>
            <w:r>
              <w:rPr>
                <w:color w:val="000000"/>
                <w:sz w:val="16"/>
              </w:rPr>
              <w:t>Critical Deferred Maintenance</w:t>
            </w:r>
          </w:p>
        </w:tc>
        <w:tc>
          <w:tcPr>
            <w:tcW w:w="173" w:type="dxa"/>
          </w:tcPr>
          <w:p w:rsidR="00000000" w:rsidRDefault="00761D12">
            <w:pPr>
              <w:jc w:val="right"/>
              <w:rPr>
                <w:color w:val="000000"/>
                <w:sz w:val="16"/>
              </w:rPr>
            </w:pPr>
          </w:p>
        </w:tc>
        <w:tc>
          <w:tcPr>
            <w:tcW w:w="1325" w:type="dxa"/>
          </w:tcPr>
          <w:p w:rsidR="00000000" w:rsidRDefault="00761D12">
            <w:pPr>
              <w:jc w:val="right"/>
              <w:rPr>
                <w:color w:val="000000"/>
                <w:sz w:val="16"/>
              </w:rPr>
            </w:pPr>
            <w:r>
              <w:rPr>
                <w:color w:val="000000"/>
                <w:sz w:val="16"/>
              </w:rPr>
              <w:t>6.9</w:t>
            </w:r>
          </w:p>
        </w:tc>
        <w:tc>
          <w:tcPr>
            <w:tcW w:w="173" w:type="dxa"/>
          </w:tcPr>
          <w:p w:rsidR="00000000" w:rsidRDefault="00761D12">
            <w:pPr>
              <w:jc w:val="right"/>
              <w:rPr>
                <w:color w:val="000000"/>
                <w:sz w:val="16"/>
              </w:rPr>
            </w:pPr>
          </w:p>
        </w:tc>
        <w:tc>
          <w:tcPr>
            <w:tcW w:w="1435" w:type="dxa"/>
          </w:tcPr>
          <w:p w:rsidR="00000000" w:rsidRDefault="00761D12">
            <w:pPr>
              <w:jc w:val="right"/>
              <w:rPr>
                <w:color w:val="000000"/>
                <w:sz w:val="16"/>
              </w:rPr>
            </w:pPr>
          </w:p>
        </w:tc>
      </w:tr>
      <w:tr w:rsidR="00000000">
        <w:tblPrEx>
          <w:tblCellMar>
            <w:top w:w="0" w:type="dxa"/>
            <w:bottom w:w="0" w:type="dxa"/>
          </w:tblCellMar>
        </w:tblPrEx>
        <w:tc>
          <w:tcPr>
            <w:tcW w:w="521" w:type="dxa"/>
          </w:tcPr>
          <w:p w:rsidR="00000000" w:rsidRDefault="00761D12">
            <w:pPr>
              <w:jc w:val="right"/>
              <w:rPr>
                <w:color w:val="000000"/>
                <w:sz w:val="16"/>
              </w:rPr>
            </w:pPr>
          </w:p>
        </w:tc>
        <w:tc>
          <w:tcPr>
            <w:tcW w:w="3122" w:type="dxa"/>
          </w:tcPr>
          <w:p w:rsidR="00000000" w:rsidRDefault="00761D12">
            <w:pPr>
              <w:rPr>
                <w:color w:val="000000"/>
                <w:sz w:val="16"/>
              </w:rPr>
            </w:pPr>
            <w:r>
              <w:rPr>
                <w:color w:val="000000"/>
                <w:sz w:val="16"/>
              </w:rPr>
              <w:t>Deferred Maintenance</w:t>
            </w:r>
          </w:p>
        </w:tc>
        <w:tc>
          <w:tcPr>
            <w:tcW w:w="173" w:type="dxa"/>
          </w:tcPr>
          <w:p w:rsidR="00000000" w:rsidRDefault="00761D12">
            <w:pPr>
              <w:jc w:val="right"/>
              <w:rPr>
                <w:color w:val="000000"/>
                <w:sz w:val="16"/>
              </w:rPr>
            </w:pPr>
          </w:p>
        </w:tc>
        <w:tc>
          <w:tcPr>
            <w:tcW w:w="1325" w:type="dxa"/>
          </w:tcPr>
          <w:p w:rsidR="00000000" w:rsidRDefault="00761D12">
            <w:pPr>
              <w:jc w:val="right"/>
              <w:rPr>
                <w:color w:val="000000"/>
                <w:sz w:val="16"/>
              </w:rPr>
            </w:pPr>
            <w:r>
              <w:rPr>
                <w:color w:val="000000"/>
                <w:sz w:val="16"/>
              </w:rPr>
              <w:t>3.1</w:t>
            </w:r>
          </w:p>
        </w:tc>
        <w:tc>
          <w:tcPr>
            <w:tcW w:w="173" w:type="dxa"/>
          </w:tcPr>
          <w:p w:rsidR="00000000" w:rsidRDefault="00761D12">
            <w:pPr>
              <w:jc w:val="right"/>
              <w:rPr>
                <w:color w:val="000000"/>
                <w:sz w:val="16"/>
              </w:rPr>
            </w:pPr>
          </w:p>
        </w:tc>
        <w:tc>
          <w:tcPr>
            <w:tcW w:w="1435" w:type="dxa"/>
          </w:tcPr>
          <w:p w:rsidR="00000000" w:rsidRDefault="00761D12">
            <w:pPr>
              <w:jc w:val="right"/>
              <w:rPr>
                <w:color w:val="000000"/>
                <w:sz w:val="16"/>
              </w:rPr>
            </w:pPr>
          </w:p>
        </w:tc>
      </w:tr>
      <w:tr w:rsidR="00000000">
        <w:tblPrEx>
          <w:tblCellMar>
            <w:top w:w="0" w:type="dxa"/>
            <w:bottom w:w="0" w:type="dxa"/>
          </w:tblCellMar>
        </w:tblPrEx>
        <w:tc>
          <w:tcPr>
            <w:tcW w:w="521" w:type="dxa"/>
          </w:tcPr>
          <w:p w:rsidR="00000000" w:rsidRDefault="00761D12">
            <w:pPr>
              <w:jc w:val="right"/>
              <w:rPr>
                <w:color w:val="000000"/>
                <w:sz w:val="16"/>
              </w:rPr>
            </w:pPr>
          </w:p>
        </w:tc>
        <w:tc>
          <w:tcPr>
            <w:tcW w:w="3122" w:type="dxa"/>
          </w:tcPr>
          <w:p w:rsidR="00000000" w:rsidRDefault="00761D12">
            <w:pPr>
              <w:rPr>
                <w:color w:val="000000"/>
                <w:sz w:val="16"/>
              </w:rPr>
            </w:pPr>
            <w:r>
              <w:rPr>
                <w:color w:val="000000"/>
                <w:sz w:val="16"/>
              </w:rPr>
              <w:t>American With Disabilities Act</w:t>
            </w:r>
          </w:p>
        </w:tc>
        <w:tc>
          <w:tcPr>
            <w:tcW w:w="173" w:type="dxa"/>
          </w:tcPr>
          <w:p w:rsidR="00000000" w:rsidRDefault="00761D12">
            <w:pPr>
              <w:jc w:val="right"/>
              <w:rPr>
                <w:color w:val="000000"/>
                <w:sz w:val="16"/>
              </w:rPr>
            </w:pPr>
          </w:p>
        </w:tc>
        <w:tc>
          <w:tcPr>
            <w:tcW w:w="1325" w:type="dxa"/>
          </w:tcPr>
          <w:p w:rsidR="00000000" w:rsidRDefault="00761D12">
            <w:pPr>
              <w:jc w:val="right"/>
              <w:rPr>
                <w:color w:val="000000"/>
                <w:sz w:val="16"/>
              </w:rPr>
            </w:pPr>
            <w:r>
              <w:rPr>
                <w:color w:val="000000"/>
                <w:sz w:val="16"/>
              </w:rPr>
              <w:t>0.6</w:t>
            </w:r>
          </w:p>
        </w:tc>
        <w:tc>
          <w:tcPr>
            <w:tcW w:w="173" w:type="dxa"/>
          </w:tcPr>
          <w:p w:rsidR="00000000" w:rsidRDefault="00761D12">
            <w:pPr>
              <w:jc w:val="right"/>
              <w:rPr>
                <w:color w:val="000000"/>
                <w:sz w:val="16"/>
              </w:rPr>
            </w:pPr>
          </w:p>
        </w:tc>
        <w:tc>
          <w:tcPr>
            <w:tcW w:w="1435" w:type="dxa"/>
          </w:tcPr>
          <w:p w:rsidR="00000000" w:rsidRDefault="00761D12">
            <w:pPr>
              <w:jc w:val="right"/>
              <w:rPr>
                <w:color w:val="000000"/>
                <w:sz w:val="16"/>
              </w:rPr>
            </w:pPr>
          </w:p>
        </w:tc>
      </w:tr>
      <w:tr w:rsidR="00000000">
        <w:tblPrEx>
          <w:tblCellMar>
            <w:top w:w="0" w:type="dxa"/>
            <w:bottom w:w="0" w:type="dxa"/>
          </w:tblCellMar>
        </w:tblPrEx>
        <w:tc>
          <w:tcPr>
            <w:tcW w:w="521" w:type="dxa"/>
          </w:tcPr>
          <w:p w:rsidR="00000000" w:rsidRDefault="00761D12">
            <w:pPr>
              <w:jc w:val="right"/>
              <w:rPr>
                <w:color w:val="000000"/>
                <w:sz w:val="16"/>
              </w:rPr>
            </w:pPr>
          </w:p>
        </w:tc>
        <w:tc>
          <w:tcPr>
            <w:tcW w:w="3122" w:type="dxa"/>
          </w:tcPr>
          <w:p w:rsidR="00000000" w:rsidRDefault="00761D12">
            <w:pPr>
              <w:rPr>
                <w:color w:val="000000"/>
                <w:sz w:val="16"/>
              </w:rPr>
            </w:pPr>
            <w:r>
              <w:rPr>
                <w:color w:val="000000"/>
                <w:sz w:val="16"/>
              </w:rPr>
              <w:t>Capital Non-Expansion</w:t>
            </w:r>
          </w:p>
        </w:tc>
        <w:tc>
          <w:tcPr>
            <w:tcW w:w="173" w:type="dxa"/>
          </w:tcPr>
          <w:p w:rsidR="00000000" w:rsidRDefault="00761D12">
            <w:pPr>
              <w:jc w:val="right"/>
              <w:rPr>
                <w:color w:val="000000"/>
                <w:sz w:val="16"/>
              </w:rPr>
            </w:pPr>
          </w:p>
        </w:tc>
        <w:tc>
          <w:tcPr>
            <w:tcW w:w="1325" w:type="dxa"/>
          </w:tcPr>
          <w:p w:rsidR="00000000" w:rsidRDefault="00761D12">
            <w:pPr>
              <w:jc w:val="right"/>
              <w:rPr>
                <w:color w:val="000000"/>
                <w:sz w:val="16"/>
              </w:rPr>
            </w:pPr>
            <w:r>
              <w:rPr>
                <w:color w:val="000000"/>
                <w:sz w:val="16"/>
              </w:rPr>
              <w:t>3.0</w:t>
            </w:r>
          </w:p>
        </w:tc>
        <w:tc>
          <w:tcPr>
            <w:tcW w:w="173" w:type="dxa"/>
          </w:tcPr>
          <w:p w:rsidR="00000000" w:rsidRDefault="00761D12">
            <w:pPr>
              <w:jc w:val="right"/>
              <w:rPr>
                <w:color w:val="000000"/>
                <w:sz w:val="16"/>
              </w:rPr>
            </w:pPr>
          </w:p>
        </w:tc>
        <w:tc>
          <w:tcPr>
            <w:tcW w:w="1435" w:type="dxa"/>
          </w:tcPr>
          <w:p w:rsidR="00000000" w:rsidRDefault="00761D12">
            <w:pPr>
              <w:jc w:val="right"/>
              <w:rPr>
                <w:color w:val="000000"/>
                <w:sz w:val="16"/>
              </w:rPr>
            </w:pPr>
          </w:p>
        </w:tc>
      </w:tr>
      <w:tr w:rsidR="00000000">
        <w:tblPrEx>
          <w:tblCellMar>
            <w:top w:w="0" w:type="dxa"/>
            <w:bottom w:w="0" w:type="dxa"/>
          </w:tblCellMar>
        </w:tblPrEx>
        <w:tc>
          <w:tcPr>
            <w:tcW w:w="521" w:type="dxa"/>
          </w:tcPr>
          <w:p w:rsidR="00000000" w:rsidRDefault="00761D12">
            <w:pPr>
              <w:jc w:val="right"/>
              <w:rPr>
                <w:color w:val="000000"/>
                <w:sz w:val="16"/>
              </w:rPr>
            </w:pPr>
          </w:p>
        </w:tc>
        <w:tc>
          <w:tcPr>
            <w:tcW w:w="3122" w:type="dxa"/>
          </w:tcPr>
          <w:p w:rsidR="00000000" w:rsidRDefault="00761D12">
            <w:pPr>
              <w:rPr>
                <w:color w:val="000000"/>
                <w:sz w:val="16"/>
              </w:rPr>
            </w:pPr>
            <w:r>
              <w:rPr>
                <w:color w:val="000000"/>
                <w:sz w:val="16"/>
              </w:rPr>
              <w:t xml:space="preserve">Routine </w:t>
            </w:r>
            <w:r>
              <w:rPr>
                <w:color w:val="000000"/>
                <w:sz w:val="16"/>
              </w:rPr>
              <w:t>Maintenance</w:t>
            </w:r>
          </w:p>
        </w:tc>
        <w:tc>
          <w:tcPr>
            <w:tcW w:w="173" w:type="dxa"/>
          </w:tcPr>
          <w:p w:rsidR="00000000" w:rsidRDefault="00761D12">
            <w:pPr>
              <w:jc w:val="right"/>
              <w:rPr>
                <w:color w:val="000000"/>
                <w:sz w:val="16"/>
              </w:rPr>
            </w:pPr>
          </w:p>
        </w:tc>
        <w:tc>
          <w:tcPr>
            <w:tcW w:w="1325" w:type="dxa"/>
            <w:tcBorders>
              <w:bottom w:val="single" w:sz="6" w:space="0" w:color="000000"/>
            </w:tcBorders>
          </w:tcPr>
          <w:p w:rsidR="00000000" w:rsidRDefault="00761D12">
            <w:pPr>
              <w:jc w:val="right"/>
              <w:rPr>
                <w:color w:val="000000"/>
                <w:sz w:val="16"/>
              </w:rPr>
            </w:pPr>
            <w:r>
              <w:rPr>
                <w:color w:val="000000"/>
                <w:sz w:val="16"/>
              </w:rPr>
              <w:t>3.7</w:t>
            </w:r>
          </w:p>
        </w:tc>
        <w:tc>
          <w:tcPr>
            <w:tcW w:w="173" w:type="dxa"/>
          </w:tcPr>
          <w:p w:rsidR="00000000" w:rsidRDefault="00761D12">
            <w:pPr>
              <w:jc w:val="right"/>
              <w:rPr>
                <w:color w:val="000000"/>
                <w:sz w:val="16"/>
              </w:rPr>
            </w:pPr>
          </w:p>
        </w:tc>
        <w:tc>
          <w:tcPr>
            <w:tcW w:w="1435" w:type="dxa"/>
          </w:tcPr>
          <w:p w:rsidR="00000000" w:rsidRDefault="00761D12">
            <w:pPr>
              <w:jc w:val="right"/>
              <w:rPr>
                <w:color w:val="000000"/>
                <w:sz w:val="16"/>
              </w:rPr>
            </w:pPr>
          </w:p>
        </w:tc>
      </w:tr>
      <w:tr w:rsidR="00761D12" w:rsidTr="00761D12">
        <w:tblPrEx>
          <w:tblCellMar>
            <w:top w:w="0" w:type="dxa"/>
            <w:bottom w:w="0" w:type="dxa"/>
          </w:tblCellMar>
        </w:tblPrEx>
        <w:tc>
          <w:tcPr>
            <w:tcW w:w="3643" w:type="dxa"/>
            <w:gridSpan w:val="2"/>
          </w:tcPr>
          <w:p w:rsidR="00000000" w:rsidRDefault="00761D12">
            <w:pPr>
              <w:rPr>
                <w:color w:val="000000"/>
                <w:sz w:val="16"/>
              </w:rPr>
            </w:pPr>
            <w:r>
              <w:rPr>
                <w:color w:val="000000"/>
                <w:sz w:val="16"/>
              </w:rPr>
              <w:t>Total Major Maintenance</w:t>
            </w:r>
          </w:p>
        </w:tc>
        <w:tc>
          <w:tcPr>
            <w:tcW w:w="173" w:type="dxa"/>
          </w:tcPr>
          <w:p w:rsidR="00000000" w:rsidRDefault="00761D12">
            <w:pPr>
              <w:jc w:val="right"/>
              <w:rPr>
                <w:color w:val="000000"/>
                <w:sz w:val="16"/>
              </w:rPr>
            </w:pPr>
          </w:p>
        </w:tc>
        <w:tc>
          <w:tcPr>
            <w:tcW w:w="1325" w:type="dxa"/>
            <w:tcBorders>
              <w:bottom w:val="double" w:sz="6" w:space="0" w:color="000000"/>
            </w:tcBorders>
          </w:tcPr>
          <w:p w:rsidR="00000000" w:rsidRDefault="00761D12">
            <w:pPr>
              <w:jc w:val="right"/>
              <w:rPr>
                <w:color w:val="000000"/>
                <w:sz w:val="16"/>
              </w:rPr>
            </w:pPr>
            <w:r>
              <w:rPr>
                <w:color w:val="000000"/>
                <w:sz w:val="16"/>
              </w:rPr>
              <w:t>$           24.1</w:t>
            </w:r>
          </w:p>
        </w:tc>
        <w:tc>
          <w:tcPr>
            <w:tcW w:w="173" w:type="dxa"/>
          </w:tcPr>
          <w:p w:rsidR="00000000" w:rsidRDefault="00761D12">
            <w:pPr>
              <w:jc w:val="right"/>
              <w:rPr>
                <w:color w:val="000000"/>
                <w:sz w:val="16"/>
              </w:rPr>
            </w:pPr>
          </w:p>
        </w:tc>
        <w:tc>
          <w:tcPr>
            <w:tcW w:w="1435" w:type="dxa"/>
          </w:tcPr>
          <w:p w:rsidR="00000000" w:rsidRDefault="00761D12">
            <w:pPr>
              <w:jc w:val="right"/>
              <w:rPr>
                <w:color w:val="000000"/>
                <w:sz w:val="16"/>
              </w:rPr>
            </w:pPr>
          </w:p>
        </w:tc>
      </w:tr>
    </w:tbl>
    <w:p w:rsidR="00000000" w:rsidRDefault="00761D12">
      <w:pPr>
        <w:pStyle w:val="textup"/>
      </w:pPr>
      <w:r>
        <w:rPr>
          <w:b/>
        </w:rPr>
        <w:t>Subcommittee Action</w:t>
      </w:r>
      <w:r>
        <w:tab/>
        <w:t>Traditionally, the $27.0 million requested increase for operations would be examined by the Justice System Appropriations Subcommittee.  The Infrastructure and Major Main</w:t>
      </w:r>
      <w:r>
        <w:t>tenance requests would be examined by the Transportation, Infrastructure, and Capitals Appropriations Subcommittee.</w:t>
      </w:r>
    </w:p>
    <w:p w:rsidR="00000000" w:rsidRDefault="00761D12">
      <w:pPr>
        <w:pStyle w:val="Contactup"/>
        <w:ind w:right="-540"/>
      </w:pPr>
      <w:r>
        <w:t>STAFF CONTACT:  Dwayne Ferguson (Ext. 16561)  Christina Schaefer (Ext. 16301)</w:t>
      </w:r>
    </w:p>
    <w:p w:rsidR="00000000" w:rsidRDefault="00761D12">
      <w:pPr>
        <w:pStyle w:val="Blurbtitle"/>
      </w:pPr>
      <w:bookmarkStart w:id="1" w:name="FU9SLLE"/>
      <w:r>
        <w:t>Meeting of the Iowa Council for Continuous Improvement in Educ</w:t>
      </w:r>
      <w:r>
        <w:t>ation</w:t>
      </w:r>
      <w:bookmarkEnd w:id="1"/>
    </w:p>
    <w:p w:rsidR="00000000" w:rsidRDefault="00761D12">
      <w:pPr>
        <w:framePr w:w="534" w:h="1384" w:hRule="exact" w:hSpace="187" w:wrap="around" w:vAnchor="text" w:hAnchor="page" w:x="1346" w:y="643"/>
        <w:pBdr>
          <w:top w:val="single" w:sz="12" w:space="5" w:color="auto" w:shadow="1"/>
          <w:left w:val="single" w:sz="12" w:space="5" w:color="auto" w:shadow="1"/>
          <w:bottom w:val="single" w:sz="12" w:space="5" w:color="auto" w:shadow="1"/>
          <w:right w:val="single" w:sz="12" w:space="5" w:color="auto" w:shadow="1"/>
        </w:pBdr>
      </w:pPr>
      <w:r>
        <w:object w:dxaOrig="1142" w:dyaOrig="1862">
          <v:shape id="_x0000_i1030" type="#_x0000_t75" style="width:26.25pt;height:51pt" o:ole="">
            <v:imagedata r:id="rId13" o:title=""/>
          </v:shape>
          <o:OLEObject Type="Embed" ProgID="Word.Document.8" ShapeID="_x0000_i1030" DrawAspect="Content" ObjectID="_1314615220" r:id="rId14"/>
        </w:object>
      </w:r>
    </w:p>
    <w:p w:rsidR="00000000" w:rsidRDefault="00761D12">
      <w:pPr>
        <w:pStyle w:val="textup"/>
      </w:pPr>
      <w:r>
        <w:rPr>
          <w:b/>
        </w:rPr>
        <w:t>Council Meeting</w:t>
      </w:r>
      <w:r>
        <w:tab/>
        <w:t>The first meeting of the Iowa Council for Continuous Improvement in Education was held September 28.  The Council was created by Executive Order Number 67 by the Governor to study the PreK-12 educational wo</w:t>
      </w:r>
      <w:r>
        <w:t>rkforce.  The Council conducted the following business:</w:t>
      </w:r>
    </w:p>
    <w:p w:rsidR="00000000" w:rsidRDefault="00761D12">
      <w:pPr>
        <w:pStyle w:val="bulletup"/>
        <w:numPr>
          <w:ilvl w:val="0"/>
          <w:numId w:val="1"/>
        </w:numPr>
      </w:pPr>
      <w:r>
        <w:t>Heard comments from the Governor regarding the duties and effort of the Council.</w:t>
      </w:r>
    </w:p>
    <w:p w:rsidR="00000000" w:rsidRDefault="00761D12">
      <w:pPr>
        <w:pStyle w:val="bulletup"/>
        <w:numPr>
          <w:ilvl w:val="0"/>
          <w:numId w:val="1"/>
        </w:numPr>
      </w:pPr>
      <w:r>
        <w:t>Heard from a representative of the Consortium for Policy Research in Education regarding national models for teacher co</w:t>
      </w:r>
      <w:r>
        <w:t>mpensation.</w:t>
      </w:r>
    </w:p>
    <w:p w:rsidR="00000000" w:rsidRDefault="00761D12" w:rsidP="00761D12">
      <w:pPr>
        <w:pStyle w:val="bulletup"/>
        <w:numPr>
          <w:ilvl w:val="0"/>
          <w:numId w:val="1"/>
        </w:numPr>
      </w:pPr>
      <w:r>
        <w:lastRenderedPageBreak/>
        <w:t>Heard from two representatives of the National Board for Professional Teaching Standards regarding national certification for teachers.</w:t>
      </w:r>
    </w:p>
    <w:p w:rsidR="00000000" w:rsidRDefault="00761D12" w:rsidP="00761D12">
      <w:pPr>
        <w:pStyle w:val="bulletup"/>
        <w:numPr>
          <w:ilvl w:val="0"/>
          <w:numId w:val="1"/>
        </w:numPr>
      </w:pPr>
      <w:r>
        <w:t>Discussed teacher evaluation methods.</w:t>
      </w:r>
    </w:p>
    <w:p w:rsidR="00000000" w:rsidRDefault="00761D12" w:rsidP="00761D12">
      <w:pPr>
        <w:pStyle w:val="bulletup"/>
        <w:numPr>
          <w:ilvl w:val="0"/>
          <w:numId w:val="1"/>
        </w:numPr>
      </w:pPr>
      <w:r>
        <w:t>Set tentative meeting dates of October 23, November 4, and December 9.</w:t>
      </w:r>
      <w:r>
        <w:t xml:space="preserve"> </w:t>
      </w:r>
    </w:p>
    <w:p w:rsidR="00000000" w:rsidRDefault="00761D12">
      <w:pPr>
        <w:pStyle w:val="textup"/>
      </w:pPr>
      <w:r>
        <w:rPr>
          <w:b/>
        </w:rPr>
        <w:t>More Information</w:t>
      </w:r>
      <w:r>
        <w:tab/>
        <w:t>Additional information is available upon request.</w:t>
      </w:r>
    </w:p>
    <w:p w:rsidR="00000000" w:rsidRDefault="00761D12">
      <w:pPr>
        <w:pStyle w:val="Contactup"/>
      </w:pPr>
      <w:r>
        <w:t>STAFF CONTACT:  Sue Lerdal  (Ext. 17794)  Mary Shipman (Ext. 14617)</w:t>
      </w:r>
    </w:p>
    <w:p w:rsidR="00000000" w:rsidRDefault="00761D12">
      <w:pPr>
        <w:pStyle w:val="Blurbtitle"/>
      </w:pPr>
      <w:bookmarkStart w:id="2" w:name="FU9SLLA"/>
      <w:r>
        <w:t>September board of Regents Meeting</w:t>
      </w:r>
      <w:bookmarkEnd w:id="2"/>
    </w:p>
    <w:p w:rsidR="00000000" w:rsidRDefault="00761D12">
      <w:pPr>
        <w:framePr w:w="534" w:h="1384" w:hRule="exact" w:hSpace="187" w:wrap="around" w:vAnchor="text" w:hAnchor="page" w:x="1346" w:y="611"/>
        <w:pBdr>
          <w:top w:val="single" w:sz="12" w:space="5" w:color="auto" w:shadow="1"/>
          <w:left w:val="single" w:sz="12" w:space="5" w:color="auto" w:shadow="1"/>
          <w:bottom w:val="single" w:sz="12" w:space="5" w:color="auto" w:shadow="1"/>
          <w:right w:val="single" w:sz="12" w:space="5" w:color="auto" w:shadow="1"/>
        </w:pBdr>
      </w:pPr>
      <w:r>
        <w:object w:dxaOrig="1140" w:dyaOrig="1860">
          <v:shape id="_x0000_i1031" type="#_x0000_t75" style="width:26.25pt;height:51pt" o:ole="">
            <v:imagedata r:id="rId15" o:title=""/>
          </v:shape>
          <o:OLEObject Type="Embed" ProgID="Word.Document.8" ShapeID="_x0000_i1031" DrawAspect="Content" ObjectID="_1314615221" r:id="rId16"/>
        </w:object>
      </w:r>
    </w:p>
    <w:p w:rsidR="00000000" w:rsidRDefault="00761D12">
      <w:pPr>
        <w:pStyle w:val="textup"/>
      </w:pPr>
      <w:r>
        <w:rPr>
          <w:b/>
        </w:rPr>
        <w:t>Board Meeting</w:t>
      </w:r>
      <w:r>
        <w:tab/>
        <w:t xml:space="preserve">The Board of Regents met September 23 and </w:t>
      </w:r>
      <w:r>
        <w:t>24 and conducted the following business:</w:t>
      </w:r>
    </w:p>
    <w:p w:rsidR="00000000" w:rsidRDefault="00761D12" w:rsidP="00761D12">
      <w:pPr>
        <w:pStyle w:val="bulletup"/>
        <w:numPr>
          <w:ilvl w:val="0"/>
          <w:numId w:val="1"/>
        </w:numPr>
      </w:pPr>
      <w:r>
        <w:t>Approved changes to the Regents policy on English language proficiency based upon action by the 1997 General Assembly.</w:t>
      </w:r>
    </w:p>
    <w:p w:rsidR="00000000" w:rsidRDefault="00761D12" w:rsidP="00761D12">
      <w:pPr>
        <w:pStyle w:val="bulletup"/>
        <w:numPr>
          <w:ilvl w:val="0"/>
          <w:numId w:val="1"/>
        </w:numPr>
      </w:pPr>
      <w:r>
        <w:t>Received a preliminary report on enrollment trends for the 1998 fall semester.</w:t>
      </w:r>
    </w:p>
    <w:p w:rsidR="00000000" w:rsidRDefault="00761D12" w:rsidP="00761D12">
      <w:pPr>
        <w:pStyle w:val="bulletup"/>
        <w:numPr>
          <w:ilvl w:val="0"/>
          <w:numId w:val="1"/>
        </w:numPr>
      </w:pPr>
      <w:r>
        <w:t>Received the annu</w:t>
      </w:r>
      <w:r>
        <w:t>al governance report on student financial aid.</w:t>
      </w:r>
    </w:p>
    <w:p w:rsidR="00000000" w:rsidRDefault="00761D12">
      <w:pPr>
        <w:framePr w:w="501" w:h="1159" w:hSpace="180" w:wrap="around" w:vAnchor="text" w:hAnchor="page" w:x="1333" w:y="489"/>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4325" cy="495300"/>
            <wp:effectExtent l="1905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srcRect/>
                    <a:stretch>
                      <a:fillRect/>
                    </a:stretch>
                  </pic:blipFill>
                  <pic:spPr bwMode="auto">
                    <a:xfrm>
                      <a:off x="0" y="0"/>
                      <a:ext cx="314325" cy="495300"/>
                    </a:xfrm>
                    <a:prstGeom prst="rect">
                      <a:avLst/>
                    </a:prstGeom>
                    <a:noFill/>
                    <a:ln w="9525">
                      <a:noFill/>
                      <a:miter lim="800000"/>
                      <a:headEnd/>
                      <a:tailEnd/>
                    </a:ln>
                  </pic:spPr>
                </pic:pic>
              </a:graphicData>
            </a:graphic>
          </wp:inline>
        </w:drawing>
      </w:r>
    </w:p>
    <w:p w:rsidR="00000000" w:rsidRDefault="00761D12">
      <w:pPr>
        <w:framePr w:w="501" w:h="1159" w:hSpace="180" w:wrap="around" w:vAnchor="text" w:hAnchor="page" w:x="1333" w:y="489"/>
        <w:pBdr>
          <w:top w:val="single" w:sz="12" w:space="5" w:color="auto" w:shadow="1"/>
          <w:left w:val="single" w:sz="12" w:space="5" w:color="auto" w:shadow="1"/>
          <w:bottom w:val="single" w:sz="12" w:space="5" w:color="auto" w:shadow="1"/>
          <w:right w:val="single" w:sz="12" w:space="5" w:color="auto" w:shadow="1"/>
        </w:pBdr>
        <w:rPr>
          <w:sz w:val="16"/>
        </w:rPr>
      </w:pPr>
      <w:r>
        <w:rPr>
          <w:sz w:val="16"/>
        </w:rPr>
        <w:t>Tuition</w:t>
      </w:r>
    </w:p>
    <w:p w:rsidR="00000000" w:rsidRDefault="00761D12" w:rsidP="00761D12">
      <w:pPr>
        <w:pStyle w:val="bulletup"/>
        <w:numPr>
          <w:ilvl w:val="0"/>
          <w:numId w:val="1"/>
        </w:numPr>
      </w:pPr>
      <w:r>
        <w:t>Received a status report regarding teacher education reform efforts.  Additional information will be provided to the Board at the November meeting.</w:t>
      </w:r>
    </w:p>
    <w:p w:rsidR="00000000" w:rsidRDefault="00761D12" w:rsidP="00761D12">
      <w:pPr>
        <w:pStyle w:val="bulletup"/>
        <w:numPr>
          <w:ilvl w:val="0"/>
          <w:numId w:val="1"/>
        </w:numPr>
      </w:pPr>
      <w:r>
        <w:t xml:space="preserve">Received the preliminary recommendations regarding </w:t>
      </w:r>
      <w:r>
        <w:t>increases in student tuition for FY 2000.  This includes a 5.2% increase in the base tuition and other increases in surcharges and fees.  The request also includes permission to charge a different tuition rate for the study of engineering at the University</w:t>
      </w:r>
      <w:r>
        <w:t xml:space="preserve"> of Iowa (referred to as a differential tuition rate).  The Board heard presentations from student representatives from the three institutions of higher education.  The Board is scheduled to take action at the October Board meeting, but statutorily is not </w:t>
      </w:r>
      <w:r>
        <w:t>required to set tuition for FY 2000 until the November 1998 Board meeting.</w:t>
      </w:r>
    </w:p>
    <w:p w:rsidR="00000000" w:rsidRDefault="00761D12" w:rsidP="00761D12">
      <w:pPr>
        <w:pStyle w:val="bulletup"/>
        <w:numPr>
          <w:ilvl w:val="0"/>
          <w:numId w:val="1"/>
        </w:numPr>
      </w:pPr>
      <w:r>
        <w:t xml:space="preserve">Approved the FY 2000 appropriations budget requests.  Detail will appear in the next edition of the </w:t>
      </w:r>
      <w:r>
        <w:rPr>
          <w:b/>
          <w:i/>
        </w:rPr>
        <w:t>Fiscal Update</w:t>
      </w:r>
      <w:r>
        <w:t>.</w:t>
      </w:r>
    </w:p>
    <w:p w:rsidR="00000000" w:rsidRDefault="00761D12" w:rsidP="00761D12">
      <w:pPr>
        <w:pStyle w:val="bulletup"/>
        <w:numPr>
          <w:ilvl w:val="0"/>
          <w:numId w:val="1"/>
        </w:numPr>
      </w:pPr>
      <w:r>
        <w:t>Approved the capitals appropriations budget requests for FY 2001 a</w:t>
      </w:r>
      <w:r>
        <w:t xml:space="preserve">nd FY 2002.  Details will appear in the next edition of the </w:t>
      </w:r>
      <w:r>
        <w:rPr>
          <w:b/>
          <w:i/>
        </w:rPr>
        <w:t>Fiscal Update</w:t>
      </w:r>
      <w:r>
        <w:t>.</w:t>
      </w:r>
    </w:p>
    <w:p w:rsidR="00000000" w:rsidRDefault="00761D12" w:rsidP="00761D12">
      <w:pPr>
        <w:pStyle w:val="bulletup"/>
        <w:numPr>
          <w:ilvl w:val="0"/>
          <w:numId w:val="1"/>
        </w:numPr>
      </w:pPr>
      <w:r>
        <w:t>Received a report regarding compliance with the Year 2000 and created a Peer Review Team for the verification processes needed to comply with the requirements of the Department of M</w:t>
      </w:r>
      <w:r>
        <w:t>anagement and the Legislative Oversight Committee.</w:t>
      </w:r>
    </w:p>
    <w:p w:rsidR="00000000" w:rsidRDefault="00761D12" w:rsidP="00761D12">
      <w:pPr>
        <w:pStyle w:val="bulletup"/>
        <w:numPr>
          <w:ilvl w:val="0"/>
          <w:numId w:val="1"/>
        </w:numPr>
      </w:pPr>
      <w:r>
        <w:t>Approved the sale of $14.0 million of Dormitory Revenue Bonds for Iowa State University as part of the planned residential housing changes underway.  The bonds were sold for a true interest rate of 4.8421%</w:t>
      </w:r>
      <w:r>
        <w:t xml:space="preserve"> for a period of 25 years. </w:t>
      </w:r>
    </w:p>
    <w:p w:rsidR="00000000" w:rsidRDefault="00761D12" w:rsidP="00761D12">
      <w:pPr>
        <w:pStyle w:val="bulletup"/>
        <w:numPr>
          <w:ilvl w:val="0"/>
          <w:numId w:val="1"/>
        </w:numPr>
      </w:pPr>
      <w:r>
        <w:t>Approved the process to permit the University of Iowa to be reimbursed for expenses related to the Newton Road Parking Facility being constructed as part of the Health Sciences project, when bonds are sold later during FY 1999.</w:t>
      </w:r>
    </w:p>
    <w:p w:rsidR="00000000" w:rsidRDefault="00761D12">
      <w:pPr>
        <w:framePr w:w="943" w:h="916" w:hSpace="180" w:wrap="around" w:vAnchor="text" w:hAnchor="page" w:x="1441" w:y="1647"/>
      </w:pPr>
      <w:r>
        <w:object w:dxaOrig="1080" w:dyaOrig="941">
          <v:shape id="_x0000_i1033" type="#_x0000_t75" style="width:54pt;height:39.75pt" o:ole="">
            <v:imagedata r:id="rId18" o:title=""/>
          </v:shape>
          <o:OLEObject Type="Embed" ProgID="Word.Document.8" ShapeID="_x0000_i1033" DrawAspect="Content" ObjectID="_1314615222" r:id="rId19"/>
        </w:object>
      </w:r>
    </w:p>
    <w:p w:rsidR="00000000" w:rsidRDefault="00761D12" w:rsidP="00761D12">
      <w:pPr>
        <w:pStyle w:val="bulletup"/>
        <w:numPr>
          <w:ilvl w:val="0"/>
          <w:numId w:val="1"/>
        </w:numPr>
      </w:pPr>
      <w:r>
        <w:t>Approved the divestiture of funds with Walter Scott, the Board’s international endowment fund manager, due to return performance and requested recommendations for other international fund managers from Wilshire Associates (the B</w:t>
      </w:r>
      <w:r>
        <w:t>oard’s investment advisor).  The funds being divested were valued at $9.4 million as of June 30, from a portfolio of $164.8 million from the institutions.  This does not include affiliated foundation investments.</w:t>
      </w:r>
    </w:p>
    <w:p w:rsidR="00000000" w:rsidRDefault="00761D12" w:rsidP="00761D12">
      <w:pPr>
        <w:pStyle w:val="bulletup"/>
        <w:numPr>
          <w:ilvl w:val="0"/>
          <w:numId w:val="1"/>
        </w:numPr>
      </w:pPr>
      <w:r>
        <w:t>Received the annual reports of phased and e</w:t>
      </w:r>
      <w:r>
        <w:t>arly retirement programs.</w:t>
      </w:r>
    </w:p>
    <w:p w:rsidR="00000000" w:rsidRDefault="00761D12" w:rsidP="00761D12">
      <w:pPr>
        <w:pStyle w:val="bulletup"/>
        <w:numPr>
          <w:ilvl w:val="0"/>
          <w:numId w:val="1"/>
        </w:numPr>
      </w:pPr>
      <w:r>
        <w:t>Received the annual report on energy conservation.</w:t>
      </w:r>
    </w:p>
    <w:p w:rsidR="00000000" w:rsidRDefault="00761D12">
      <w:pPr>
        <w:framePr w:w="796" w:h="725" w:hSpace="180" w:wrap="around" w:vAnchor="text" w:hAnchor="page" w:x="1621" w:y="797"/>
        <w:pBdr>
          <w:top w:val="single" w:sz="12" w:space="5" w:color="auto" w:shadow="1"/>
          <w:left w:val="single" w:sz="12" w:space="5" w:color="auto" w:shadow="1"/>
          <w:bottom w:val="single" w:sz="12" w:space="5" w:color="auto" w:shadow="1"/>
          <w:right w:val="single" w:sz="12" w:space="5" w:color="auto" w:shadow="1"/>
        </w:pBdr>
      </w:pPr>
      <w:r>
        <w:object w:dxaOrig="1710" w:dyaOrig="630">
          <v:shape id="_x0000_i1034" type="#_x0000_t75" style="width:39.75pt;height:15pt" o:ole="">
            <v:imagedata r:id="rId20" o:title=""/>
          </v:shape>
          <o:OLEObject Type="Embed" ProgID="Word.Document.8" ShapeID="_x0000_i1034" DrawAspect="Content" ObjectID="_1314615223" r:id="rId21"/>
        </w:object>
      </w:r>
    </w:p>
    <w:p w:rsidR="00000000" w:rsidRDefault="00761D12" w:rsidP="00761D12">
      <w:pPr>
        <w:pStyle w:val="bulletup"/>
        <w:numPr>
          <w:ilvl w:val="0"/>
          <w:numId w:val="1"/>
        </w:numPr>
      </w:pPr>
      <w:r>
        <w:t>Approved the employment of R. Wayne Richey for a 60.0% time contract with the University of Iowa for a two-year period at an initial annual salary of $</w:t>
      </w:r>
      <w:r>
        <w:t>67,200.</w:t>
      </w:r>
    </w:p>
    <w:p w:rsidR="00000000" w:rsidRDefault="00761D12" w:rsidP="00761D12">
      <w:pPr>
        <w:pStyle w:val="bulletup"/>
        <w:numPr>
          <w:ilvl w:val="0"/>
          <w:numId w:val="1"/>
        </w:numPr>
      </w:pPr>
      <w:r>
        <w:t>Approved the following capital projects at Iowa State University:</w:t>
      </w:r>
    </w:p>
    <w:p w:rsidR="00000000" w:rsidRDefault="00761D12" w:rsidP="00761D12">
      <w:pPr>
        <w:pStyle w:val="bulletup1"/>
        <w:numPr>
          <w:ilvl w:val="0"/>
          <w:numId w:val="2"/>
        </w:numPr>
      </w:pPr>
      <w:r>
        <w:t>Project planning for remodeling of Pearson Hall, at a cost of $2.7 million, funded by Treasurer’s Temporary Investments ($2.2 million) and general university building repair ($500,00</w:t>
      </w:r>
      <w:r>
        <w:t>0).</w:t>
      </w:r>
    </w:p>
    <w:p w:rsidR="00000000" w:rsidRDefault="00761D12" w:rsidP="00761D12">
      <w:pPr>
        <w:pStyle w:val="bulletup1"/>
        <w:numPr>
          <w:ilvl w:val="0"/>
          <w:numId w:val="2"/>
        </w:numPr>
      </w:pPr>
      <w:r>
        <w:t>Approved the design for the $4.4 million remodeling of the Student Services Building.</w:t>
      </w:r>
    </w:p>
    <w:p w:rsidR="00000000" w:rsidRDefault="00761D12" w:rsidP="00761D12">
      <w:pPr>
        <w:pStyle w:val="bulletup1"/>
        <w:numPr>
          <w:ilvl w:val="0"/>
          <w:numId w:val="2"/>
        </w:numPr>
      </w:pPr>
      <w:r>
        <w:t>Approved the project description for the $25.9 million project for the Hawthorn Court Apartments of the residence system.</w:t>
      </w:r>
    </w:p>
    <w:p w:rsidR="00000000" w:rsidRDefault="00761D12" w:rsidP="00761D12">
      <w:pPr>
        <w:pStyle w:val="bulletup"/>
        <w:numPr>
          <w:ilvl w:val="0"/>
          <w:numId w:val="1"/>
        </w:numPr>
      </w:pPr>
      <w:r>
        <w:t>Gave the Iowa School for the Deaf permission</w:t>
      </w:r>
      <w:r>
        <w:t xml:space="preserve"> to proceed with project planning for the recreation center.  The plan includes an FY 2000 appropriation from the General Assembly of $3.2 million for the center.</w:t>
      </w:r>
    </w:p>
    <w:p w:rsidR="00000000" w:rsidRDefault="00761D12">
      <w:pPr>
        <w:framePr w:w="796" w:h="865" w:hSpace="180" w:wrap="around" w:vAnchor="text" w:hAnchor="page" w:x="1765" w:y="137"/>
        <w:pBdr>
          <w:top w:val="single" w:sz="12" w:space="5" w:color="auto" w:shadow="1"/>
          <w:left w:val="single" w:sz="12" w:space="5" w:color="auto" w:shadow="1"/>
          <w:bottom w:val="single" w:sz="12" w:space="5" w:color="auto" w:shadow="1"/>
          <w:right w:val="single" w:sz="12" w:space="5" w:color="auto" w:shadow="1"/>
        </w:pBdr>
      </w:pPr>
      <w:r>
        <w:object w:dxaOrig="1207" w:dyaOrig="1600">
          <v:shape id="_x0000_i1035" type="#_x0000_t75" style="width:39.75pt;height:52.5pt" o:ole="">
            <v:imagedata r:id="rId22" o:title=""/>
          </v:shape>
          <o:OLEObject Type="Embed" ProgID="Word.Document.8" ShapeID="_x0000_i1035" DrawAspect="Content" ObjectID="_1314615224" r:id="rId23"/>
        </w:object>
      </w:r>
    </w:p>
    <w:p w:rsidR="00000000" w:rsidRDefault="00761D12" w:rsidP="00761D12">
      <w:pPr>
        <w:pStyle w:val="bulletup"/>
        <w:numPr>
          <w:ilvl w:val="0"/>
          <w:numId w:val="1"/>
        </w:numPr>
      </w:pPr>
      <w:r>
        <w:t>Approved the following capital projects at the University of Iowa</w:t>
      </w:r>
      <w:r>
        <w:t>:</w:t>
      </w:r>
    </w:p>
    <w:p w:rsidR="00000000" w:rsidRDefault="00761D12" w:rsidP="00761D12">
      <w:pPr>
        <w:pStyle w:val="bulletup1"/>
        <w:numPr>
          <w:ilvl w:val="0"/>
          <w:numId w:val="2"/>
        </w:numPr>
      </w:pPr>
      <w:r>
        <w:t>Project planning for the $3.8 million Hospital Dentistry Institute in the Pomerantz Pavilion, funded by University Hospital Building Usage funds.</w:t>
      </w:r>
    </w:p>
    <w:p w:rsidR="00000000" w:rsidRDefault="00761D12" w:rsidP="00761D12">
      <w:pPr>
        <w:pStyle w:val="bulletup1"/>
        <w:numPr>
          <w:ilvl w:val="0"/>
          <w:numId w:val="2"/>
        </w:numPr>
      </w:pPr>
      <w:r>
        <w:t>Project planning for the $2.3 million third floor laboratory completion in the Iowa Advanced Technology Labo</w:t>
      </w:r>
      <w:r>
        <w:t>ratory building (Laser Building), funded by building renewal funds and Treasurer’s Temporary Investments.</w:t>
      </w:r>
    </w:p>
    <w:p w:rsidR="00000000" w:rsidRDefault="00761D12" w:rsidP="00761D12">
      <w:pPr>
        <w:pStyle w:val="bulletup"/>
        <w:numPr>
          <w:ilvl w:val="0"/>
          <w:numId w:val="1"/>
        </w:numPr>
      </w:pPr>
      <w:r>
        <w:t>Approved the Sesquicentennial Campus Planning Framework for the University of Iowa.</w:t>
      </w:r>
    </w:p>
    <w:p w:rsidR="00000000" w:rsidRDefault="00761D12" w:rsidP="00761D12">
      <w:pPr>
        <w:pStyle w:val="bulletup"/>
        <w:numPr>
          <w:ilvl w:val="0"/>
          <w:numId w:val="1"/>
        </w:numPr>
      </w:pPr>
      <w:r>
        <w:t>Approved the purchase of $280,000 of two properties on Capitol Str</w:t>
      </w:r>
      <w:r>
        <w:t>eet in Iowa City, with funds from Treasurer’s Temporary Investments.  The area is part of the location for the new University Services Building.</w:t>
      </w:r>
    </w:p>
    <w:p w:rsidR="00000000" w:rsidRDefault="00761D12">
      <w:pPr>
        <w:pStyle w:val="textup"/>
      </w:pPr>
      <w:r>
        <w:rPr>
          <w:b/>
        </w:rPr>
        <w:t>More Information</w:t>
      </w:r>
      <w:r>
        <w:tab/>
        <w:t>Additional information is available upon request.</w:t>
      </w:r>
    </w:p>
    <w:p w:rsidR="00000000" w:rsidRDefault="00761D12">
      <w:pPr>
        <w:pStyle w:val="Contactup"/>
      </w:pPr>
      <w:r>
        <w:t>STAFF CONTACT:  Sue Lerdal  (Ext. 17794)</w:t>
      </w:r>
    </w:p>
    <w:p w:rsidR="00000000" w:rsidRDefault="00761D12">
      <w:pPr>
        <w:pStyle w:val="Blurbtitle"/>
      </w:pPr>
      <w:bookmarkStart w:id="3" w:name="FU9SLLB"/>
    </w:p>
    <w:p w:rsidR="00000000" w:rsidRDefault="00761D12">
      <w:pPr>
        <w:pStyle w:val="Blurbtitle"/>
      </w:pPr>
      <w:r>
        <w:t>Se</w:t>
      </w:r>
      <w:r>
        <w:t>ptember College Student Aid Commission Meeting</w:t>
      </w:r>
      <w:bookmarkEnd w:id="3"/>
    </w:p>
    <w:p w:rsidR="00000000" w:rsidRDefault="00761D12">
      <w:pPr>
        <w:pStyle w:val="textup"/>
      </w:pPr>
      <w:r>
        <w:rPr>
          <w:b/>
        </w:rPr>
        <w:t>Commission Meeting</w:t>
      </w:r>
      <w:r>
        <w:tab/>
        <w:t>The College Student Aid Commission met September 15 and conducted the following business:</w:t>
      </w:r>
    </w:p>
    <w:p w:rsidR="00000000" w:rsidRDefault="00761D12">
      <w:pPr>
        <w:framePr w:w="534" w:h="1384" w:hRule="exact" w:hSpace="187" w:wrap="around" w:vAnchor="text" w:hAnchor="page" w:x="1346" w:y="125"/>
        <w:pBdr>
          <w:top w:val="single" w:sz="12" w:space="5" w:color="auto" w:shadow="1"/>
          <w:left w:val="single" w:sz="12" w:space="5" w:color="auto" w:shadow="1"/>
          <w:bottom w:val="single" w:sz="12" w:space="5" w:color="auto" w:shadow="1"/>
          <w:right w:val="single" w:sz="12" w:space="5" w:color="auto" w:shadow="1"/>
        </w:pBdr>
      </w:pPr>
      <w:r>
        <w:object w:dxaOrig="1140" w:dyaOrig="1860">
          <v:shape id="_x0000_i1036" type="#_x0000_t75" style="width:26.25pt;height:51pt" o:ole="">
            <v:imagedata r:id="rId24" o:title=""/>
          </v:shape>
          <o:OLEObject Type="Embed" ProgID="Word.Document.8" ShapeID="_x0000_i1036" DrawAspect="Content" ObjectID="_1314615225" r:id="rId25"/>
        </w:object>
      </w:r>
    </w:p>
    <w:p w:rsidR="00000000" w:rsidRDefault="00761D12" w:rsidP="00761D12">
      <w:pPr>
        <w:pStyle w:val="bulletup"/>
        <w:numPr>
          <w:ilvl w:val="0"/>
          <w:numId w:val="1"/>
        </w:numPr>
      </w:pPr>
      <w:r>
        <w:t>Added representatives to include all three higher education entities (pu</w:t>
      </w:r>
      <w:r>
        <w:t>blic four-year, private, and community colleges) to the membership of the Default Reduction Task Force and discussed default avoidance counselors and debt management grants.</w:t>
      </w:r>
    </w:p>
    <w:p w:rsidR="00000000" w:rsidRDefault="00761D12" w:rsidP="00761D12">
      <w:pPr>
        <w:pStyle w:val="bulletup"/>
        <w:numPr>
          <w:ilvl w:val="0"/>
          <w:numId w:val="1"/>
        </w:numPr>
      </w:pPr>
      <w:r>
        <w:t>Approved the FY 2000 budget requests, which have not changed since the information</w:t>
      </w:r>
      <w:r>
        <w:t xml:space="preserve"> provided in the September 16 edition of the </w:t>
      </w:r>
      <w:r>
        <w:rPr>
          <w:b/>
          <w:i/>
        </w:rPr>
        <w:t>Fiscal Update</w:t>
      </w:r>
      <w:r>
        <w:t>.</w:t>
      </w:r>
    </w:p>
    <w:p w:rsidR="00000000" w:rsidRDefault="00761D12" w:rsidP="00761D12">
      <w:pPr>
        <w:pStyle w:val="bulletup"/>
        <w:numPr>
          <w:ilvl w:val="0"/>
          <w:numId w:val="1"/>
        </w:numPr>
      </w:pPr>
      <w:r>
        <w:t>Authorized the issuance of requests for proposals relating to changes resulting from the pending reauthorization of the federal Higher Education Act of 1965.</w:t>
      </w:r>
    </w:p>
    <w:p w:rsidR="00000000" w:rsidRDefault="00761D12" w:rsidP="00761D12">
      <w:pPr>
        <w:pStyle w:val="bulletup"/>
        <w:numPr>
          <w:ilvl w:val="0"/>
          <w:numId w:val="1"/>
        </w:numPr>
      </w:pPr>
      <w:r>
        <w:t>Discussed concerns relating to the app</w:t>
      </w:r>
      <w:r>
        <w:t>roval of recipients of the federal Byrd Scholarship and the process involved in the approvals.</w:t>
      </w:r>
    </w:p>
    <w:p w:rsidR="00000000" w:rsidRDefault="00761D12">
      <w:pPr>
        <w:pStyle w:val="textup"/>
      </w:pPr>
      <w:r>
        <w:rPr>
          <w:b/>
        </w:rPr>
        <w:t>More Information</w:t>
      </w:r>
      <w:r>
        <w:tab/>
        <w:t>Additional detail is available upon request.</w:t>
      </w:r>
    </w:p>
    <w:p w:rsidR="00000000" w:rsidRDefault="00761D12">
      <w:pPr>
        <w:pStyle w:val="Contactup"/>
      </w:pPr>
      <w:r>
        <w:t>STAFF CONTACT:  Sue Lerdal  (Ext. 17794)</w:t>
      </w:r>
    </w:p>
    <w:p w:rsidR="00000000" w:rsidRDefault="00761D12">
      <w:pPr>
        <w:pStyle w:val="Blurbtitle"/>
      </w:pPr>
      <w:bookmarkStart w:id="4" w:name="FU10HMLA"/>
      <w:r>
        <w:t>Legislative Fiscal Committee Meeting</w:t>
      </w:r>
      <w:bookmarkEnd w:id="4"/>
    </w:p>
    <w:p w:rsidR="00000000" w:rsidRDefault="00761D12">
      <w:pPr>
        <w:pStyle w:val="textup"/>
      </w:pPr>
      <w:r>
        <w:rPr>
          <w:b/>
        </w:rPr>
        <w:t>Fiscal Committee Meet</w:t>
      </w:r>
      <w:r>
        <w:rPr>
          <w:b/>
        </w:rPr>
        <w:t>ing</w:t>
      </w:r>
      <w:r>
        <w:tab/>
        <w:t>The Legislative Fiscal Committee met on September 30 at the University of Northern Iowa in Cedar Falls.  The Committee:</w:t>
      </w:r>
    </w:p>
    <w:p w:rsidR="00000000" w:rsidRDefault="00761D12">
      <w:pPr>
        <w:framePr w:w="534" w:h="1384" w:hRule="exact" w:hSpace="187" w:wrap="around" w:vAnchor="text" w:hAnchor="page" w:x="1346" w:y="23"/>
        <w:pBdr>
          <w:top w:val="single" w:sz="12" w:space="5" w:color="auto" w:shadow="1"/>
          <w:left w:val="single" w:sz="12" w:space="5" w:color="auto" w:shadow="1"/>
          <w:bottom w:val="single" w:sz="12" w:space="5" w:color="auto" w:shadow="1"/>
          <w:right w:val="single" w:sz="12" w:space="5" w:color="auto" w:shadow="1"/>
        </w:pBdr>
      </w:pPr>
      <w:r>
        <w:object w:dxaOrig="1142" w:dyaOrig="1862">
          <v:shape id="_x0000_i1037" type="#_x0000_t75" style="width:26.25pt;height:51pt" o:ole="">
            <v:imagedata r:id="rId26" o:title=""/>
          </v:shape>
          <o:OLEObject Type="Embed" ProgID="Word.Document.8" ShapeID="_x0000_i1037" DrawAspect="Content" ObjectID="_1314615226" r:id="rId27"/>
        </w:object>
      </w:r>
    </w:p>
    <w:p w:rsidR="00000000" w:rsidRDefault="00761D12" w:rsidP="00761D12">
      <w:pPr>
        <w:pStyle w:val="bulletup"/>
        <w:numPr>
          <w:ilvl w:val="0"/>
          <w:numId w:val="1"/>
        </w:numPr>
        <w:rPr>
          <w:b/>
        </w:rPr>
      </w:pPr>
      <w:r>
        <w:t>Heard presentations on Regents Capital Priority Planning by Frank Stork, Executive Director of the Board</w:t>
      </w:r>
      <w:r>
        <w:t xml:space="preserve"> of Regents, and Owen Newlin, President of the Board of Regents, and representatives from four of the institutions. </w:t>
      </w:r>
    </w:p>
    <w:p w:rsidR="00000000" w:rsidRDefault="00761D12" w:rsidP="00761D12">
      <w:pPr>
        <w:pStyle w:val="bulletup"/>
        <w:numPr>
          <w:ilvl w:val="0"/>
          <w:numId w:val="1"/>
        </w:numPr>
      </w:pPr>
      <w:r>
        <w:t>Heard a presentation by Dermot Hayes, Leader for Trade and Agricultural Policy Development, Iowa State University Center for Agriculture an</w:t>
      </w:r>
      <w:r>
        <w:t>d Rural Development, on the agricultural economy.</w:t>
      </w:r>
    </w:p>
    <w:p w:rsidR="00000000" w:rsidRDefault="00761D12" w:rsidP="00761D12">
      <w:pPr>
        <w:pStyle w:val="bulletup"/>
        <w:numPr>
          <w:ilvl w:val="0"/>
          <w:numId w:val="1"/>
        </w:numPr>
      </w:pPr>
      <w:r>
        <w:t>Toured the UNI campus, including the Wellness Recreation Center, the Physics Building, and the steam tunnels:</w:t>
      </w:r>
    </w:p>
    <w:p w:rsidR="00000000" w:rsidRDefault="00761D12" w:rsidP="00761D12">
      <w:pPr>
        <w:pStyle w:val="bulletup"/>
        <w:numPr>
          <w:ilvl w:val="0"/>
          <w:numId w:val="1"/>
        </w:numPr>
        <w:rPr>
          <w:b/>
        </w:rPr>
      </w:pPr>
      <w:r>
        <w:t>Heard presentation by Sue Lerdal, LFB, on the following:</w:t>
      </w:r>
    </w:p>
    <w:p w:rsidR="00000000" w:rsidRDefault="00761D12" w:rsidP="00761D12">
      <w:pPr>
        <w:pStyle w:val="bulletup1"/>
        <w:numPr>
          <w:ilvl w:val="0"/>
          <w:numId w:val="2"/>
        </w:numPr>
        <w:rPr>
          <w:b/>
        </w:rPr>
      </w:pPr>
      <w:r>
        <w:t xml:space="preserve">Treasurer’s Temporary Investment (TTI) </w:t>
      </w:r>
      <w:r>
        <w:t>Funds - review of FY 1998 Expenditures for Deferred Maintenance and Renovation.</w:t>
      </w:r>
    </w:p>
    <w:p w:rsidR="00000000" w:rsidRDefault="00761D12" w:rsidP="00761D12">
      <w:pPr>
        <w:pStyle w:val="bulletup1"/>
        <w:numPr>
          <w:ilvl w:val="0"/>
          <w:numId w:val="2"/>
        </w:numPr>
        <w:rPr>
          <w:b/>
        </w:rPr>
      </w:pPr>
      <w:r>
        <w:t>Regents FY 1998 General University Building Repair Expenditures.</w:t>
      </w:r>
    </w:p>
    <w:p w:rsidR="00000000" w:rsidRDefault="00761D12" w:rsidP="00761D12">
      <w:pPr>
        <w:pStyle w:val="bulletup1"/>
        <w:numPr>
          <w:ilvl w:val="0"/>
          <w:numId w:val="2"/>
        </w:numPr>
      </w:pPr>
      <w:r>
        <w:t>Extension Services at Iowa State University -</w:t>
      </w:r>
      <w:r>
        <w:rPr>
          <w:b/>
          <w:i/>
        </w:rPr>
        <w:t xml:space="preserve"> Issue Review</w:t>
      </w:r>
    </w:p>
    <w:p w:rsidR="00000000" w:rsidRDefault="00761D12" w:rsidP="00761D12">
      <w:pPr>
        <w:pStyle w:val="bulletup1"/>
        <w:numPr>
          <w:ilvl w:val="0"/>
          <w:numId w:val="2"/>
        </w:numPr>
      </w:pPr>
      <w:r>
        <w:t>Regents Graduate Study Centers</w:t>
      </w:r>
      <w:r>
        <w:rPr>
          <w:b/>
          <w:i/>
        </w:rPr>
        <w:t xml:space="preserve"> - Issue Review</w:t>
      </w:r>
    </w:p>
    <w:p w:rsidR="00000000" w:rsidRDefault="00761D12" w:rsidP="00761D12">
      <w:pPr>
        <w:pStyle w:val="bulletup"/>
        <w:numPr>
          <w:ilvl w:val="0"/>
          <w:numId w:val="1"/>
        </w:numPr>
        <w:rPr>
          <w:b/>
        </w:rPr>
      </w:pPr>
      <w:r>
        <w:t>Discus</w:t>
      </w:r>
      <w:r>
        <w:t>sed Department of Education federal entitlement and competitive grant programs, particularly the “administrative costs” also referred to as “set aside”.  Lee Tack, Department of Education, responded to questions.</w:t>
      </w:r>
    </w:p>
    <w:p w:rsidR="00000000" w:rsidRDefault="00761D12" w:rsidP="00761D12">
      <w:pPr>
        <w:pStyle w:val="bulletup"/>
        <w:numPr>
          <w:ilvl w:val="0"/>
          <w:numId w:val="1"/>
        </w:numPr>
      </w:pPr>
      <w:r>
        <w:lastRenderedPageBreak/>
        <w:t>Discussed the situation where a Cedar Falls</w:t>
      </w:r>
      <w:r>
        <w:t xml:space="preserve"> foster family had a foster child start a fire in their home last December.  Karla McHenry, Department of Human Services, responded to questions.</w:t>
      </w:r>
    </w:p>
    <w:p w:rsidR="00000000" w:rsidRDefault="00761D12">
      <w:pPr>
        <w:pStyle w:val="textup"/>
      </w:pPr>
      <w:r>
        <w:rPr>
          <w:b/>
        </w:rPr>
        <w:t>Next meeting</w:t>
      </w:r>
      <w:r>
        <w:tab/>
        <w:t>The next meeting is tentatively scheduled for Thursday, November 12, at 10:00 a.m. in Des Moines.</w:t>
      </w:r>
      <w:r>
        <w:t xml:space="preserve"> The tentative agenda will include:</w:t>
      </w:r>
    </w:p>
    <w:p w:rsidR="00000000" w:rsidRDefault="00761D12">
      <w:pPr>
        <w:framePr w:w="508" w:h="1009" w:hSpace="180" w:wrap="around" w:vAnchor="text" w:hAnchor="page" w:x="1333" w:y="141"/>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noProof/>
        </w:rPr>
        <w:drawing>
          <wp:inline distT="0" distB="0" distL="0" distR="0">
            <wp:extent cx="361950" cy="485775"/>
            <wp:effectExtent l="1905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8"/>
                    <a:srcRect/>
                    <a:stretch>
                      <a:fillRect/>
                    </a:stretch>
                  </pic:blipFill>
                  <pic:spPr bwMode="auto">
                    <a:xfrm>
                      <a:off x="0" y="0"/>
                      <a:ext cx="361950" cy="485775"/>
                    </a:xfrm>
                    <a:prstGeom prst="rect">
                      <a:avLst/>
                    </a:prstGeom>
                    <a:noFill/>
                    <a:ln w="9525">
                      <a:noFill/>
                      <a:miter lim="800000"/>
                      <a:headEnd/>
                      <a:tailEnd/>
                    </a:ln>
                  </pic:spPr>
                </pic:pic>
              </a:graphicData>
            </a:graphic>
          </wp:inline>
        </w:drawing>
      </w:r>
    </w:p>
    <w:p w:rsidR="00000000" w:rsidRDefault="00761D12" w:rsidP="00761D12">
      <w:pPr>
        <w:pStyle w:val="bulletup"/>
        <w:numPr>
          <w:ilvl w:val="0"/>
          <w:numId w:val="1"/>
        </w:numPr>
      </w:pPr>
      <w:r>
        <w:t>Update by Phil Smith on Federal Budget action.</w:t>
      </w:r>
    </w:p>
    <w:p w:rsidR="00000000" w:rsidRDefault="00761D12" w:rsidP="00761D12">
      <w:pPr>
        <w:pStyle w:val="bulletup"/>
        <w:numPr>
          <w:ilvl w:val="0"/>
          <w:numId w:val="1"/>
        </w:numPr>
      </w:pPr>
      <w:r>
        <w:t>Tom Grau, Executive Director of Farm Services Agency, on the farm economy in Iowa.</w:t>
      </w:r>
    </w:p>
    <w:p w:rsidR="00000000" w:rsidRDefault="00761D12" w:rsidP="00761D12">
      <w:pPr>
        <w:pStyle w:val="bulletup"/>
        <w:numPr>
          <w:ilvl w:val="0"/>
          <w:numId w:val="1"/>
        </w:numPr>
      </w:pPr>
      <w:r>
        <w:t>Dermot Hayes, Leader for Trade and Agricultural Policy Development, Iowa State Universit</w:t>
      </w:r>
      <w:r>
        <w:t>y Center for Agriculture and Rural Development, for another update on the agricultural economy.</w:t>
      </w:r>
    </w:p>
    <w:p w:rsidR="00000000" w:rsidRDefault="00761D12" w:rsidP="00761D12">
      <w:pPr>
        <w:pStyle w:val="bulletup"/>
        <w:numPr>
          <w:ilvl w:val="0"/>
          <w:numId w:val="1"/>
        </w:numPr>
      </w:pPr>
      <w:r>
        <w:t>Follow-up on Prison Farms Inventory requested at the August meeting.</w:t>
      </w:r>
    </w:p>
    <w:p w:rsidR="00000000" w:rsidRDefault="00761D12" w:rsidP="00761D12">
      <w:pPr>
        <w:pStyle w:val="bulletup"/>
        <w:numPr>
          <w:ilvl w:val="0"/>
          <w:numId w:val="1"/>
        </w:numPr>
      </w:pPr>
      <w:r>
        <w:t>Gateway - Discussion of Internet Sales Taxes.</w:t>
      </w:r>
    </w:p>
    <w:p w:rsidR="00000000" w:rsidRDefault="00761D12" w:rsidP="00761D12">
      <w:pPr>
        <w:pStyle w:val="bulletup"/>
        <w:numPr>
          <w:ilvl w:val="0"/>
          <w:numId w:val="1"/>
        </w:numPr>
      </w:pPr>
      <w:r>
        <w:t xml:space="preserve">A review of grant programs in the Department </w:t>
      </w:r>
      <w:r>
        <w:t>of Human Services (DHS).</w:t>
      </w:r>
    </w:p>
    <w:p w:rsidR="00000000" w:rsidRDefault="00761D12" w:rsidP="00761D12">
      <w:pPr>
        <w:pStyle w:val="bulletup"/>
        <w:numPr>
          <w:ilvl w:val="0"/>
          <w:numId w:val="1"/>
        </w:numPr>
      </w:pPr>
      <w:r>
        <w:t>Medical Examiner’s Office - should it be an independent office?  Discuss funding and FY 2000  budget request.</w:t>
      </w:r>
    </w:p>
    <w:p w:rsidR="00000000" w:rsidRDefault="00761D12" w:rsidP="00761D12">
      <w:pPr>
        <w:pStyle w:val="bulletup"/>
        <w:numPr>
          <w:ilvl w:val="0"/>
          <w:numId w:val="1"/>
        </w:numPr>
      </w:pPr>
      <w:r>
        <w:t>Update on Child Support Recovery Program in DHS.</w:t>
      </w:r>
    </w:p>
    <w:p w:rsidR="00000000" w:rsidRDefault="00761D12" w:rsidP="00761D12">
      <w:pPr>
        <w:pStyle w:val="bulletup"/>
        <w:numPr>
          <w:ilvl w:val="0"/>
          <w:numId w:val="1"/>
        </w:numPr>
      </w:pPr>
      <w:r>
        <w:t>FY 1998 Technology Reversions.</w:t>
      </w:r>
    </w:p>
    <w:p w:rsidR="00000000" w:rsidRDefault="00761D12">
      <w:pPr>
        <w:pStyle w:val="textup"/>
      </w:pPr>
      <w:r>
        <w:rPr>
          <w:b/>
        </w:rPr>
        <w:t>More information</w:t>
      </w:r>
      <w:r>
        <w:tab/>
        <w:t>The tentative agenda wil</w:t>
      </w:r>
      <w:r>
        <w:t>l be distributed when it becomes available.</w:t>
      </w:r>
    </w:p>
    <w:p w:rsidR="00000000" w:rsidRDefault="00761D12">
      <w:pPr>
        <w:pStyle w:val="Contactup"/>
      </w:pPr>
      <w:r>
        <w:t>STAFF CONTACT:  Holly Lyons (Ext. 17845)  Tim Faller (Ext. 14615)</w:t>
      </w:r>
    </w:p>
    <w:p w:rsidR="00000000" w:rsidRDefault="00761D12">
      <w:pPr>
        <w:pStyle w:val="Blurbtitle"/>
      </w:pPr>
      <w:bookmarkStart w:id="5" w:name="FU9JWRB"/>
      <w:r>
        <w:t>Iowa Seed Capital Liquidation Corporation Meeting</w:t>
      </w:r>
      <w:bookmarkEnd w:id="5"/>
    </w:p>
    <w:p w:rsidR="00000000" w:rsidRDefault="00761D12">
      <w:pPr>
        <w:framePr w:w="534" w:h="1384" w:hRule="exact" w:hSpace="187" w:wrap="around" w:vAnchor="text" w:hAnchor="page" w:x="1474" w:y="380"/>
        <w:pBdr>
          <w:top w:val="single" w:sz="12" w:space="5" w:color="auto" w:shadow="1"/>
          <w:left w:val="single" w:sz="12" w:space="5" w:color="auto" w:shadow="1"/>
          <w:bottom w:val="single" w:sz="12" w:space="5" w:color="auto" w:shadow="1"/>
          <w:right w:val="single" w:sz="12" w:space="5" w:color="auto" w:shadow="1"/>
        </w:pBdr>
      </w:pPr>
      <w:r>
        <w:object w:dxaOrig="1140" w:dyaOrig="1860">
          <v:shape id="_x0000_i1039" type="#_x0000_t75" style="width:26.25pt;height:51pt" o:ole="">
            <v:imagedata r:id="rId7" o:title=""/>
          </v:shape>
          <o:OLEObject Type="Embed" ProgID="Word.Document.8" ShapeID="_x0000_i1039" DrawAspect="Content" ObjectID="_1314615227" r:id="rId29"/>
        </w:object>
      </w:r>
    </w:p>
    <w:p w:rsidR="00000000" w:rsidRDefault="00761D12">
      <w:pPr>
        <w:pStyle w:val="textup"/>
      </w:pPr>
      <w:r>
        <w:rPr>
          <w:b/>
        </w:rPr>
        <w:t>Board Meeting</w:t>
      </w:r>
      <w:r>
        <w:tab/>
        <w:t>The Iowa Seed Capital Corporation Liquidation Board he</w:t>
      </w:r>
      <w:r>
        <w:t>ld its third meeting on September 23.  The Board was created by SF 2296 (1998 Economic Development Appropriations Act).  The Board’s purpose is to liquidate the assets held by the Iowa Seed Capital Corporation in a manner which maximizes return to the Stat</w:t>
      </w:r>
      <w:r>
        <w:t>e and minimizes negative impacts on the companies in which the Corporation is invested.</w:t>
      </w:r>
    </w:p>
    <w:p w:rsidR="00000000" w:rsidRDefault="00761D12">
      <w:pPr>
        <w:pStyle w:val="textup"/>
      </w:pPr>
      <w:r>
        <w:rPr>
          <w:b/>
        </w:rPr>
        <w:t>Liquidation Efforts</w:t>
      </w:r>
      <w:r>
        <w:tab/>
        <w:t>The Board discussed responses from companies contacted concerning an appraisal of the Corporation’s assets.  The proposed cost ranged from $60,000 t</w:t>
      </w:r>
      <w:r>
        <w:t>o $350,000, while the proposed timeline ranged from three weeks to nine months.  The Board did not take action on the matter.  The Board voted to turn over to the Department of Economic Development (DED) all investments which were strictly royalty agreemen</w:t>
      </w:r>
      <w:r>
        <w:t>ts.  Approximately eight of the 21 investments of the Board are considered strictly royalty agreements.  Under the provisions of SF 2296, any income from the royalty agreements would be placed in the DED’s Strategic Investment Fund.  The Board also voted t</w:t>
      </w:r>
      <w:r>
        <w:t xml:space="preserve">o develop a Request  For Proposals (RFP) to solicit a person or organization to manage the remaining portfolio. </w:t>
      </w:r>
    </w:p>
    <w:p w:rsidR="00000000" w:rsidRDefault="00761D12">
      <w:pPr>
        <w:pStyle w:val="textup"/>
      </w:pPr>
      <w:r>
        <w:rPr>
          <w:b/>
        </w:rPr>
        <w:lastRenderedPageBreak/>
        <w:t>Next Meeting</w:t>
      </w:r>
      <w:r>
        <w:tab/>
        <w:t>A date for the next Board meeting was not set.</w:t>
      </w:r>
    </w:p>
    <w:p w:rsidR="00000000" w:rsidRDefault="00761D12">
      <w:pPr>
        <w:pStyle w:val="Contactup"/>
      </w:pPr>
      <w:r>
        <w:t>STAFF CONTACT:  Jeff Robinson (Ext. 14614)</w:t>
      </w:r>
    </w:p>
    <w:p w:rsidR="00000000" w:rsidRDefault="00761D12">
      <w:pPr>
        <w:pStyle w:val="Blurbtitle"/>
      </w:pPr>
      <w:bookmarkStart w:id="6" w:name="FU9MASA"/>
      <w:r>
        <w:t>Star Schools Funds Extended</w:t>
      </w:r>
      <w:bookmarkEnd w:id="6"/>
    </w:p>
    <w:p w:rsidR="00000000" w:rsidRDefault="00761D12">
      <w:pPr>
        <w:pStyle w:val="textup"/>
      </w:pPr>
      <w:r>
        <w:rPr>
          <w:b/>
        </w:rPr>
        <w:t>Federal Gran</w:t>
      </w:r>
      <w:r>
        <w:rPr>
          <w:b/>
        </w:rPr>
        <w:t xml:space="preserve">t </w:t>
      </w:r>
      <w:r>
        <w:tab/>
        <w:t>Iowa Public Television and the Department of Education recently announced receipt of a federal grant of $8.0 million to continue activities of Iowa’s Star Schools Project through September 1999.</w:t>
      </w:r>
    </w:p>
    <w:p w:rsidR="00000000" w:rsidRDefault="00761D12">
      <w:pPr>
        <w:framePr w:hSpace="180" w:wrap="around" w:vAnchor="text" w:hAnchor="page" w:x="1153" w:y="720"/>
      </w:pPr>
      <w:r>
        <w:rPr>
          <w:noProof/>
        </w:rPr>
        <w:drawing>
          <wp:inline distT="0" distB="0" distL="0" distR="0">
            <wp:extent cx="1114425" cy="742950"/>
            <wp:effectExtent l="1905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0"/>
                    <a:srcRect/>
                    <a:stretch>
                      <a:fillRect/>
                    </a:stretch>
                  </pic:blipFill>
                  <pic:spPr bwMode="auto">
                    <a:xfrm>
                      <a:off x="0" y="0"/>
                      <a:ext cx="1114425" cy="742950"/>
                    </a:xfrm>
                    <a:prstGeom prst="rect">
                      <a:avLst/>
                    </a:prstGeom>
                    <a:noFill/>
                    <a:ln w="9525">
                      <a:noFill/>
                      <a:miter lim="800000"/>
                      <a:headEnd/>
                      <a:tailEnd/>
                    </a:ln>
                  </pic:spPr>
                </pic:pic>
              </a:graphicData>
            </a:graphic>
          </wp:inline>
        </w:drawing>
      </w:r>
    </w:p>
    <w:p w:rsidR="00000000" w:rsidRDefault="00761D12">
      <w:pPr>
        <w:pStyle w:val="textup"/>
      </w:pPr>
      <w:r>
        <w:rPr>
          <w:b/>
        </w:rPr>
        <w:t>Purpose of Grants</w:t>
      </w:r>
      <w:r>
        <w:tab/>
        <w:t>Of the total, $4.1 million will go dir</w:t>
      </w:r>
      <w:r>
        <w:t>ectly to schools that have or will have an Iowa Communications Network (ICN) classroom by the end of Part III buildout.  Grants of $10,000 per classroom will be available to:</w:t>
      </w:r>
    </w:p>
    <w:p w:rsidR="00000000" w:rsidRDefault="00761D12" w:rsidP="00761D12">
      <w:pPr>
        <w:pStyle w:val="bulletup"/>
        <w:numPr>
          <w:ilvl w:val="0"/>
          <w:numId w:val="1"/>
        </w:numPr>
      </w:pPr>
      <w:r>
        <w:t>Train teachers in using technology and telecommunications in the classroom.</w:t>
      </w:r>
    </w:p>
    <w:p w:rsidR="00000000" w:rsidRDefault="00761D12" w:rsidP="00761D12">
      <w:pPr>
        <w:pStyle w:val="bulletup"/>
        <w:numPr>
          <w:ilvl w:val="0"/>
          <w:numId w:val="1"/>
        </w:numPr>
      </w:pPr>
      <w:r>
        <w:t>Purch</w:t>
      </w:r>
      <w:r>
        <w:t>ase specialized equipment for the ICN classroom or to support the school’s Internet access.</w:t>
      </w:r>
    </w:p>
    <w:p w:rsidR="00000000" w:rsidRDefault="00761D12" w:rsidP="00761D12">
      <w:pPr>
        <w:pStyle w:val="bulletup"/>
        <w:numPr>
          <w:ilvl w:val="0"/>
          <w:numId w:val="1"/>
        </w:numPr>
      </w:pPr>
      <w:r>
        <w:t>Purchase educational software.</w:t>
      </w:r>
    </w:p>
    <w:p w:rsidR="00000000" w:rsidRDefault="00761D12" w:rsidP="00761D12">
      <w:pPr>
        <w:pStyle w:val="bulletup"/>
        <w:numPr>
          <w:ilvl w:val="0"/>
          <w:numId w:val="1"/>
        </w:numPr>
      </w:pPr>
      <w:r>
        <w:t>Development of curriculum to effectively utilize technology.</w:t>
      </w:r>
    </w:p>
    <w:p w:rsidR="00000000" w:rsidRDefault="00761D12">
      <w:pPr>
        <w:pStyle w:val="textup"/>
      </w:pPr>
      <w:r>
        <w:rPr>
          <w:b/>
        </w:rPr>
        <w:t>Applications</w:t>
      </w:r>
      <w:r>
        <w:tab/>
        <w:t xml:space="preserve">Grant applications and guidelines will be mailed to school </w:t>
      </w:r>
      <w:r>
        <w:t>superintendents in late October.</w:t>
      </w:r>
    </w:p>
    <w:p w:rsidR="00000000" w:rsidRDefault="00761D12">
      <w:pPr>
        <w:pStyle w:val="Contactup"/>
      </w:pPr>
      <w:r>
        <w:t>STAFF CONTACT:  Mary Shipman (Ext. 14617)</w:t>
      </w:r>
    </w:p>
    <w:p w:rsidR="00000000" w:rsidRDefault="00761D12">
      <w:pPr>
        <w:pStyle w:val="Blurbtitle"/>
      </w:pPr>
      <w:bookmarkStart w:id="7" w:name="FU9JWRA"/>
      <w:r>
        <w:t>Lottery Revenues and Expenditures Through August</w:t>
      </w:r>
      <w:bookmarkEnd w:id="7"/>
    </w:p>
    <w:p w:rsidR="00000000" w:rsidRDefault="00761D12">
      <w:pPr>
        <w:framePr w:w="501" w:h="1159" w:hSpace="180" w:wrap="around" w:vAnchor="text" w:hAnchor="page" w:x="1333" w:y="851"/>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4325" cy="495300"/>
            <wp:effectExtent l="1905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a:srcRect/>
                    <a:stretch>
                      <a:fillRect/>
                    </a:stretch>
                  </pic:blipFill>
                  <pic:spPr bwMode="auto">
                    <a:xfrm>
                      <a:off x="0" y="0"/>
                      <a:ext cx="314325" cy="495300"/>
                    </a:xfrm>
                    <a:prstGeom prst="rect">
                      <a:avLst/>
                    </a:prstGeom>
                    <a:noFill/>
                    <a:ln w="9525">
                      <a:noFill/>
                      <a:miter lim="800000"/>
                      <a:headEnd/>
                      <a:tailEnd/>
                    </a:ln>
                  </pic:spPr>
                </pic:pic>
              </a:graphicData>
            </a:graphic>
          </wp:inline>
        </w:drawing>
      </w:r>
    </w:p>
    <w:p w:rsidR="00000000" w:rsidRDefault="00761D12">
      <w:pPr>
        <w:pStyle w:val="textup"/>
      </w:pPr>
      <w:r>
        <w:rPr>
          <w:b/>
        </w:rPr>
        <w:t>FY 1999 Lottery Revenues</w:t>
      </w:r>
      <w:r>
        <w:tab/>
        <w:t xml:space="preserve">Through August, FY 1999 Lottery sales revenues were $8.9 million above the FY 1998 level.  Lottery prize </w:t>
      </w:r>
      <w:r>
        <w:t>expenses increased $4.7 million, operating expenses increased $1.6 million, and transfers to other State funds increased $3.2 million.  The following table details the revenues, expenditures, and balances of the State Lottery.  Rows and columns may not add</w:t>
      </w:r>
      <w:r>
        <w:t>, due to rounding.</w:t>
      </w:r>
    </w:p>
    <w:tbl>
      <w:tblPr>
        <w:tblW w:w="0" w:type="auto"/>
        <w:jc w:val="right"/>
        <w:tblLayout w:type="fixed"/>
        <w:tblCellMar>
          <w:left w:w="72" w:type="dxa"/>
          <w:right w:w="72" w:type="dxa"/>
        </w:tblCellMar>
        <w:tblLook w:val="0017"/>
      </w:tblPr>
      <w:tblGrid>
        <w:gridCol w:w="2491"/>
        <w:gridCol w:w="175"/>
        <w:gridCol w:w="1015"/>
        <w:gridCol w:w="209"/>
        <w:gridCol w:w="818"/>
        <w:gridCol w:w="198"/>
        <w:gridCol w:w="701"/>
        <w:gridCol w:w="167"/>
        <w:gridCol w:w="626"/>
      </w:tblGrid>
      <w:tr w:rsidR="00000000">
        <w:tblPrEx>
          <w:tblCellMar>
            <w:top w:w="0" w:type="dxa"/>
            <w:bottom w:w="0" w:type="dxa"/>
          </w:tblCellMar>
        </w:tblPrEx>
        <w:trPr>
          <w:trHeight w:hRule="exact" w:val="760"/>
          <w:tblHeader/>
          <w:jc w:val="right"/>
        </w:trPr>
        <w:tc>
          <w:tcPr>
            <w:tcW w:w="6400" w:type="dxa"/>
            <w:gridSpan w:val="9"/>
          </w:tcPr>
          <w:p w:rsidR="00000000" w:rsidRDefault="00761D12">
            <w:pPr>
              <w:pStyle w:val="BodySingle"/>
              <w:jc w:val="center"/>
              <w:rPr>
                <w:rFonts w:ascii="Univers" w:hAnsi="Univers"/>
                <w:b/>
                <w:color w:val="auto"/>
                <w:sz w:val="18"/>
              </w:rPr>
            </w:pPr>
            <w:r>
              <w:rPr>
                <w:rFonts w:ascii="Univers" w:hAnsi="Univers"/>
                <w:b/>
                <w:color w:val="auto"/>
                <w:sz w:val="18"/>
              </w:rPr>
              <w:t>STATE LOTTERY</w:t>
            </w:r>
          </w:p>
          <w:p w:rsidR="00000000" w:rsidRDefault="00761D12">
            <w:pPr>
              <w:pStyle w:val="BodySingle"/>
              <w:jc w:val="center"/>
              <w:rPr>
                <w:rFonts w:ascii="Univers" w:hAnsi="Univers"/>
                <w:b/>
                <w:color w:val="auto"/>
                <w:sz w:val="18"/>
              </w:rPr>
            </w:pPr>
            <w:r>
              <w:rPr>
                <w:rFonts w:ascii="Univers" w:hAnsi="Univers"/>
                <w:b/>
                <w:color w:val="auto"/>
                <w:sz w:val="18"/>
              </w:rPr>
              <w:t>July Through August</w:t>
            </w:r>
          </w:p>
          <w:p w:rsidR="00000000" w:rsidRDefault="00761D12">
            <w:pPr>
              <w:pStyle w:val="BodySingle"/>
              <w:jc w:val="center"/>
              <w:rPr>
                <w:rFonts w:ascii="Univers" w:hAnsi="Univers"/>
                <w:b/>
                <w:color w:val="auto"/>
                <w:sz w:val="18"/>
              </w:rPr>
            </w:pPr>
            <w:r>
              <w:rPr>
                <w:rFonts w:ascii="Univers" w:hAnsi="Univers"/>
                <w:b/>
                <w:color w:val="auto"/>
                <w:sz w:val="18"/>
              </w:rPr>
              <w:t>(Dollars in millions)</w:t>
            </w:r>
          </w:p>
          <w:p w:rsidR="00000000" w:rsidRDefault="00761D12">
            <w:pPr>
              <w:pStyle w:val="BodyText"/>
              <w:rPr>
                <w:rFonts w:ascii="Univers (WN)" w:hAnsi="Univers (WN)"/>
                <w:b/>
                <w:color w:val="auto"/>
              </w:rPr>
            </w:pPr>
          </w:p>
        </w:tc>
      </w:tr>
      <w:tr w:rsidR="00000000">
        <w:tblPrEx>
          <w:tblCellMar>
            <w:top w:w="0" w:type="dxa"/>
            <w:bottom w:w="0" w:type="dxa"/>
          </w:tblCellMar>
        </w:tblPrEx>
        <w:trPr>
          <w:tblHeader/>
          <w:jc w:val="right"/>
        </w:trPr>
        <w:tc>
          <w:tcPr>
            <w:tcW w:w="2491" w:type="dxa"/>
          </w:tcPr>
          <w:p w:rsidR="00000000" w:rsidRDefault="00761D12">
            <w:pPr>
              <w:rPr>
                <w:rFonts w:ascii="Univers" w:hAnsi="Univers"/>
                <w:sz w:val="16"/>
              </w:rPr>
            </w:pPr>
          </w:p>
        </w:tc>
        <w:tc>
          <w:tcPr>
            <w:tcW w:w="175" w:type="dxa"/>
          </w:tcPr>
          <w:p w:rsidR="00000000" w:rsidRDefault="00761D12">
            <w:pPr>
              <w:rPr>
                <w:rFonts w:ascii="Univers" w:hAnsi="Univers"/>
                <w:sz w:val="16"/>
              </w:rPr>
            </w:pPr>
          </w:p>
        </w:tc>
        <w:tc>
          <w:tcPr>
            <w:tcW w:w="1015" w:type="dxa"/>
          </w:tcPr>
          <w:p w:rsidR="00000000" w:rsidRDefault="00761D12">
            <w:pPr>
              <w:jc w:val="center"/>
              <w:rPr>
                <w:rFonts w:ascii="Univers" w:hAnsi="Univers"/>
                <w:sz w:val="16"/>
              </w:rPr>
            </w:pPr>
            <w:r>
              <w:rPr>
                <w:rFonts w:ascii="Univers" w:hAnsi="Univers"/>
                <w:sz w:val="16"/>
              </w:rPr>
              <w:t xml:space="preserve"> </w:t>
            </w:r>
          </w:p>
          <w:p w:rsidR="00000000" w:rsidRDefault="00761D12">
            <w:pPr>
              <w:jc w:val="center"/>
              <w:rPr>
                <w:rFonts w:ascii="Univers" w:hAnsi="Univers"/>
                <w:sz w:val="16"/>
              </w:rPr>
            </w:pPr>
          </w:p>
          <w:p w:rsidR="00000000" w:rsidRDefault="00761D12">
            <w:pPr>
              <w:jc w:val="center"/>
              <w:rPr>
                <w:rFonts w:ascii="Univers" w:hAnsi="Univers"/>
                <w:sz w:val="16"/>
              </w:rPr>
            </w:pPr>
            <w:r>
              <w:rPr>
                <w:rFonts w:ascii="Univers" w:hAnsi="Univers"/>
                <w:sz w:val="16"/>
              </w:rPr>
              <w:t>FY  1998</w:t>
            </w:r>
          </w:p>
        </w:tc>
        <w:tc>
          <w:tcPr>
            <w:tcW w:w="209" w:type="dxa"/>
          </w:tcPr>
          <w:p w:rsidR="00000000" w:rsidRDefault="00761D12">
            <w:pPr>
              <w:jc w:val="center"/>
              <w:rPr>
                <w:rFonts w:ascii="Univers" w:hAnsi="Univers"/>
                <w:sz w:val="16"/>
              </w:rPr>
            </w:pPr>
          </w:p>
        </w:tc>
        <w:tc>
          <w:tcPr>
            <w:tcW w:w="818" w:type="dxa"/>
          </w:tcPr>
          <w:p w:rsidR="00000000" w:rsidRDefault="00761D12">
            <w:pPr>
              <w:jc w:val="center"/>
              <w:rPr>
                <w:rFonts w:ascii="Univers" w:hAnsi="Univers"/>
                <w:sz w:val="16"/>
              </w:rPr>
            </w:pPr>
          </w:p>
          <w:p w:rsidR="00000000" w:rsidRDefault="00761D12">
            <w:pPr>
              <w:jc w:val="center"/>
              <w:rPr>
                <w:rFonts w:ascii="Univers" w:hAnsi="Univers"/>
                <w:sz w:val="16"/>
              </w:rPr>
            </w:pPr>
          </w:p>
          <w:p w:rsidR="00000000" w:rsidRDefault="00761D12">
            <w:pPr>
              <w:jc w:val="center"/>
              <w:rPr>
                <w:rFonts w:ascii="Univers" w:hAnsi="Univers"/>
                <w:sz w:val="16"/>
              </w:rPr>
            </w:pPr>
            <w:r>
              <w:rPr>
                <w:rFonts w:ascii="Univers" w:hAnsi="Univers"/>
                <w:sz w:val="16"/>
              </w:rPr>
              <w:t>FY 1999</w:t>
            </w:r>
          </w:p>
        </w:tc>
        <w:tc>
          <w:tcPr>
            <w:tcW w:w="198" w:type="dxa"/>
          </w:tcPr>
          <w:p w:rsidR="00000000" w:rsidRDefault="00761D12">
            <w:pPr>
              <w:jc w:val="center"/>
              <w:rPr>
                <w:rFonts w:ascii="Univers" w:hAnsi="Univers"/>
                <w:sz w:val="16"/>
              </w:rPr>
            </w:pPr>
          </w:p>
        </w:tc>
        <w:tc>
          <w:tcPr>
            <w:tcW w:w="701" w:type="dxa"/>
          </w:tcPr>
          <w:p w:rsidR="00000000" w:rsidRDefault="00761D12">
            <w:pPr>
              <w:jc w:val="center"/>
              <w:rPr>
                <w:rFonts w:ascii="Univers" w:hAnsi="Univers"/>
                <w:sz w:val="16"/>
              </w:rPr>
            </w:pPr>
          </w:p>
          <w:p w:rsidR="00000000" w:rsidRDefault="00761D12">
            <w:pPr>
              <w:jc w:val="center"/>
              <w:rPr>
                <w:rFonts w:ascii="Univers" w:hAnsi="Univers"/>
                <w:sz w:val="16"/>
              </w:rPr>
            </w:pPr>
            <w:r>
              <w:rPr>
                <w:rFonts w:ascii="Univers" w:hAnsi="Univers"/>
                <w:sz w:val="16"/>
              </w:rPr>
              <w:t>Inc./</w:t>
            </w:r>
          </w:p>
          <w:p w:rsidR="00000000" w:rsidRDefault="00761D12">
            <w:pPr>
              <w:jc w:val="center"/>
              <w:rPr>
                <w:rFonts w:ascii="Univers" w:hAnsi="Univers"/>
                <w:sz w:val="16"/>
              </w:rPr>
            </w:pPr>
            <w:r>
              <w:rPr>
                <w:rFonts w:ascii="Univers" w:hAnsi="Univers"/>
                <w:sz w:val="16"/>
              </w:rPr>
              <w:t>Decr.</w:t>
            </w:r>
          </w:p>
        </w:tc>
        <w:tc>
          <w:tcPr>
            <w:tcW w:w="167" w:type="dxa"/>
          </w:tcPr>
          <w:p w:rsidR="00000000" w:rsidRDefault="00761D12">
            <w:pPr>
              <w:jc w:val="center"/>
              <w:rPr>
                <w:rFonts w:ascii="Univers" w:hAnsi="Univers"/>
                <w:sz w:val="16"/>
              </w:rPr>
            </w:pPr>
          </w:p>
        </w:tc>
        <w:tc>
          <w:tcPr>
            <w:tcW w:w="625" w:type="dxa"/>
          </w:tcPr>
          <w:p w:rsidR="00000000" w:rsidRDefault="00761D12">
            <w:pPr>
              <w:jc w:val="center"/>
              <w:rPr>
                <w:rFonts w:ascii="Univers" w:hAnsi="Univers"/>
                <w:sz w:val="16"/>
              </w:rPr>
            </w:pPr>
          </w:p>
          <w:p w:rsidR="00000000" w:rsidRDefault="00761D12">
            <w:pPr>
              <w:jc w:val="center"/>
              <w:rPr>
                <w:rFonts w:ascii="Univers" w:hAnsi="Univers"/>
                <w:sz w:val="16"/>
              </w:rPr>
            </w:pPr>
            <w:r>
              <w:rPr>
                <w:rFonts w:ascii="Univers" w:hAnsi="Univers"/>
                <w:sz w:val="16"/>
              </w:rPr>
              <w:t>% Inc.</w:t>
            </w:r>
          </w:p>
        </w:tc>
      </w:tr>
      <w:tr w:rsidR="00000000">
        <w:tblPrEx>
          <w:tblCellMar>
            <w:top w:w="0" w:type="dxa"/>
            <w:bottom w:w="0" w:type="dxa"/>
          </w:tblCellMar>
        </w:tblPrEx>
        <w:trPr>
          <w:trHeight w:hRule="exact" w:val="200"/>
          <w:jc w:val="right"/>
        </w:trPr>
        <w:tc>
          <w:tcPr>
            <w:tcW w:w="2491" w:type="dxa"/>
          </w:tcPr>
          <w:p w:rsidR="00000000" w:rsidRDefault="00761D12">
            <w:pPr>
              <w:rPr>
                <w:rFonts w:ascii="Univers" w:hAnsi="Univers"/>
                <w:sz w:val="16"/>
              </w:rPr>
            </w:pPr>
            <w:r>
              <w:rPr>
                <w:rFonts w:ascii="Univers" w:hAnsi="Univers"/>
                <w:sz w:val="16"/>
              </w:rPr>
              <w:t>FY Beg. Balance</w:t>
            </w:r>
          </w:p>
        </w:tc>
        <w:tc>
          <w:tcPr>
            <w:tcW w:w="175" w:type="dxa"/>
          </w:tcPr>
          <w:p w:rsidR="00000000" w:rsidRDefault="00761D12">
            <w:pPr>
              <w:rPr>
                <w:rFonts w:ascii="Univers" w:hAnsi="Univers"/>
                <w:sz w:val="16"/>
              </w:rPr>
            </w:pPr>
          </w:p>
        </w:tc>
        <w:tc>
          <w:tcPr>
            <w:tcW w:w="1015" w:type="dxa"/>
            <w:tcBorders>
              <w:top w:val="single" w:sz="6" w:space="0" w:color="auto"/>
            </w:tcBorders>
          </w:tcPr>
          <w:p w:rsidR="00000000" w:rsidRDefault="00761D12">
            <w:pPr>
              <w:jc w:val="right"/>
              <w:rPr>
                <w:rFonts w:ascii="Univers" w:hAnsi="Univers"/>
                <w:sz w:val="16"/>
              </w:rPr>
            </w:pPr>
            <w:r>
              <w:rPr>
                <w:rFonts w:ascii="Univers" w:hAnsi="Univers"/>
                <w:sz w:val="16"/>
              </w:rPr>
              <w:t>$     3.4</w:t>
            </w:r>
          </w:p>
        </w:tc>
        <w:tc>
          <w:tcPr>
            <w:tcW w:w="209" w:type="dxa"/>
          </w:tcPr>
          <w:p w:rsidR="00000000" w:rsidRDefault="00761D12">
            <w:pPr>
              <w:jc w:val="right"/>
              <w:rPr>
                <w:rFonts w:ascii="Univers" w:hAnsi="Univers"/>
                <w:sz w:val="16"/>
              </w:rPr>
            </w:pPr>
          </w:p>
        </w:tc>
        <w:tc>
          <w:tcPr>
            <w:tcW w:w="818" w:type="dxa"/>
            <w:tcBorders>
              <w:top w:val="single" w:sz="6" w:space="0" w:color="auto"/>
            </w:tcBorders>
          </w:tcPr>
          <w:p w:rsidR="00000000" w:rsidRDefault="00761D12">
            <w:pPr>
              <w:jc w:val="right"/>
              <w:rPr>
                <w:rFonts w:ascii="Univers" w:hAnsi="Univers"/>
                <w:sz w:val="16"/>
              </w:rPr>
            </w:pPr>
            <w:r>
              <w:rPr>
                <w:rFonts w:ascii="Univers" w:hAnsi="Univers"/>
                <w:sz w:val="16"/>
              </w:rPr>
              <w:t>$     3.1</w:t>
            </w:r>
          </w:p>
        </w:tc>
        <w:tc>
          <w:tcPr>
            <w:tcW w:w="198" w:type="dxa"/>
          </w:tcPr>
          <w:p w:rsidR="00000000" w:rsidRDefault="00761D12">
            <w:pPr>
              <w:jc w:val="right"/>
              <w:rPr>
                <w:rFonts w:ascii="Univers" w:hAnsi="Univers"/>
                <w:sz w:val="16"/>
              </w:rPr>
            </w:pPr>
          </w:p>
        </w:tc>
        <w:tc>
          <w:tcPr>
            <w:tcW w:w="701" w:type="dxa"/>
            <w:tcBorders>
              <w:top w:val="single" w:sz="6" w:space="0" w:color="auto"/>
            </w:tcBorders>
          </w:tcPr>
          <w:p w:rsidR="00000000" w:rsidRDefault="00761D12">
            <w:pPr>
              <w:jc w:val="right"/>
              <w:rPr>
                <w:rFonts w:ascii="Univers" w:hAnsi="Univers"/>
                <w:sz w:val="16"/>
              </w:rPr>
            </w:pPr>
            <w:r>
              <w:rPr>
                <w:rFonts w:ascii="Univers" w:hAnsi="Univers"/>
                <w:sz w:val="16"/>
              </w:rPr>
              <w:t>$  -0.3</w:t>
            </w:r>
          </w:p>
        </w:tc>
        <w:tc>
          <w:tcPr>
            <w:tcW w:w="167" w:type="dxa"/>
          </w:tcPr>
          <w:p w:rsidR="00000000" w:rsidRDefault="00761D12">
            <w:pPr>
              <w:jc w:val="right"/>
              <w:rPr>
                <w:rFonts w:ascii="Univers" w:hAnsi="Univers"/>
                <w:sz w:val="16"/>
              </w:rPr>
            </w:pPr>
          </w:p>
        </w:tc>
        <w:tc>
          <w:tcPr>
            <w:tcW w:w="625" w:type="dxa"/>
            <w:tcBorders>
              <w:top w:val="single" w:sz="6" w:space="0" w:color="auto"/>
            </w:tcBorders>
          </w:tcPr>
          <w:p w:rsidR="00000000" w:rsidRDefault="00761D12">
            <w:pPr>
              <w:jc w:val="right"/>
              <w:rPr>
                <w:rFonts w:ascii="Univers" w:hAnsi="Univers"/>
                <w:sz w:val="16"/>
              </w:rPr>
            </w:pPr>
          </w:p>
        </w:tc>
      </w:tr>
      <w:tr w:rsidR="00000000">
        <w:tblPrEx>
          <w:tblCellMar>
            <w:top w:w="0" w:type="dxa"/>
            <w:bottom w:w="0" w:type="dxa"/>
          </w:tblCellMar>
        </w:tblPrEx>
        <w:trPr>
          <w:trHeight w:hRule="exact" w:val="200"/>
          <w:jc w:val="right"/>
        </w:trPr>
        <w:tc>
          <w:tcPr>
            <w:tcW w:w="2491" w:type="dxa"/>
          </w:tcPr>
          <w:p w:rsidR="00000000" w:rsidRDefault="00761D12">
            <w:pPr>
              <w:rPr>
                <w:rFonts w:ascii="Univers" w:hAnsi="Univers"/>
                <w:sz w:val="16"/>
              </w:rPr>
            </w:pPr>
          </w:p>
        </w:tc>
        <w:tc>
          <w:tcPr>
            <w:tcW w:w="175" w:type="dxa"/>
          </w:tcPr>
          <w:p w:rsidR="00000000" w:rsidRDefault="00761D12">
            <w:pPr>
              <w:rPr>
                <w:rFonts w:ascii="Univers" w:hAnsi="Univers"/>
                <w:sz w:val="16"/>
              </w:rPr>
            </w:pPr>
          </w:p>
        </w:tc>
        <w:tc>
          <w:tcPr>
            <w:tcW w:w="1015" w:type="dxa"/>
          </w:tcPr>
          <w:p w:rsidR="00000000" w:rsidRDefault="00761D12">
            <w:pPr>
              <w:jc w:val="right"/>
              <w:rPr>
                <w:rFonts w:ascii="Univers" w:hAnsi="Univers"/>
                <w:sz w:val="16"/>
              </w:rPr>
            </w:pPr>
          </w:p>
        </w:tc>
        <w:tc>
          <w:tcPr>
            <w:tcW w:w="209" w:type="dxa"/>
          </w:tcPr>
          <w:p w:rsidR="00000000" w:rsidRDefault="00761D12">
            <w:pPr>
              <w:rPr>
                <w:rFonts w:ascii="Univers" w:hAnsi="Univers"/>
                <w:sz w:val="16"/>
              </w:rPr>
            </w:pPr>
          </w:p>
        </w:tc>
        <w:tc>
          <w:tcPr>
            <w:tcW w:w="818" w:type="dxa"/>
          </w:tcPr>
          <w:p w:rsidR="00000000" w:rsidRDefault="00761D12">
            <w:pPr>
              <w:jc w:val="right"/>
              <w:rPr>
                <w:rFonts w:ascii="Univers" w:hAnsi="Univers"/>
                <w:sz w:val="16"/>
              </w:rPr>
            </w:pPr>
          </w:p>
        </w:tc>
        <w:tc>
          <w:tcPr>
            <w:tcW w:w="198" w:type="dxa"/>
          </w:tcPr>
          <w:p w:rsidR="00000000" w:rsidRDefault="00761D12">
            <w:pPr>
              <w:rPr>
                <w:rFonts w:ascii="Univers" w:hAnsi="Univers"/>
                <w:sz w:val="16"/>
              </w:rPr>
            </w:pPr>
          </w:p>
        </w:tc>
        <w:tc>
          <w:tcPr>
            <w:tcW w:w="701" w:type="dxa"/>
          </w:tcPr>
          <w:p w:rsidR="00000000" w:rsidRDefault="00761D12">
            <w:pPr>
              <w:jc w:val="right"/>
              <w:rPr>
                <w:rFonts w:ascii="Univers" w:hAnsi="Univers"/>
                <w:sz w:val="16"/>
              </w:rPr>
            </w:pPr>
          </w:p>
        </w:tc>
        <w:tc>
          <w:tcPr>
            <w:tcW w:w="167" w:type="dxa"/>
          </w:tcPr>
          <w:p w:rsidR="00000000" w:rsidRDefault="00761D12">
            <w:pPr>
              <w:rPr>
                <w:rFonts w:ascii="Univers" w:hAnsi="Univers"/>
                <w:sz w:val="16"/>
              </w:rPr>
            </w:pPr>
          </w:p>
        </w:tc>
        <w:tc>
          <w:tcPr>
            <w:tcW w:w="625" w:type="dxa"/>
          </w:tcPr>
          <w:p w:rsidR="00000000" w:rsidRDefault="00761D12">
            <w:pPr>
              <w:jc w:val="right"/>
              <w:rPr>
                <w:rFonts w:ascii="Univers" w:hAnsi="Univers"/>
                <w:sz w:val="16"/>
              </w:rPr>
            </w:pPr>
          </w:p>
        </w:tc>
      </w:tr>
      <w:tr w:rsidR="00000000">
        <w:tblPrEx>
          <w:tblCellMar>
            <w:top w:w="0" w:type="dxa"/>
            <w:bottom w:w="0" w:type="dxa"/>
          </w:tblCellMar>
        </w:tblPrEx>
        <w:trPr>
          <w:trHeight w:hRule="exact" w:val="200"/>
          <w:jc w:val="right"/>
        </w:trPr>
        <w:tc>
          <w:tcPr>
            <w:tcW w:w="2491" w:type="dxa"/>
          </w:tcPr>
          <w:p w:rsidR="00000000" w:rsidRDefault="00761D12">
            <w:pPr>
              <w:rPr>
                <w:rFonts w:ascii="Univers" w:hAnsi="Univers"/>
                <w:sz w:val="16"/>
              </w:rPr>
            </w:pPr>
            <w:r>
              <w:rPr>
                <w:rFonts w:ascii="Univers" w:hAnsi="Univers"/>
                <w:sz w:val="16"/>
              </w:rPr>
              <w:t>Game Revenues</w:t>
            </w:r>
          </w:p>
        </w:tc>
        <w:tc>
          <w:tcPr>
            <w:tcW w:w="175" w:type="dxa"/>
          </w:tcPr>
          <w:p w:rsidR="00000000" w:rsidRDefault="00761D12">
            <w:pPr>
              <w:jc w:val="right"/>
              <w:rPr>
                <w:rFonts w:ascii="Univers" w:hAnsi="Univers"/>
                <w:sz w:val="16"/>
              </w:rPr>
            </w:pPr>
          </w:p>
        </w:tc>
        <w:tc>
          <w:tcPr>
            <w:tcW w:w="1015" w:type="dxa"/>
          </w:tcPr>
          <w:p w:rsidR="00000000" w:rsidRDefault="00761D12">
            <w:pPr>
              <w:jc w:val="right"/>
              <w:rPr>
                <w:rFonts w:ascii="Univers" w:hAnsi="Univers"/>
                <w:sz w:val="16"/>
              </w:rPr>
            </w:pPr>
            <w:r>
              <w:rPr>
                <w:rFonts w:ascii="Univers" w:hAnsi="Univers"/>
                <w:sz w:val="16"/>
              </w:rPr>
              <w:t>26.8</w:t>
            </w:r>
          </w:p>
        </w:tc>
        <w:tc>
          <w:tcPr>
            <w:tcW w:w="209" w:type="dxa"/>
          </w:tcPr>
          <w:p w:rsidR="00000000" w:rsidRDefault="00761D12">
            <w:pPr>
              <w:jc w:val="right"/>
              <w:rPr>
                <w:rFonts w:ascii="Univers" w:hAnsi="Univers"/>
                <w:sz w:val="16"/>
              </w:rPr>
            </w:pPr>
          </w:p>
        </w:tc>
        <w:tc>
          <w:tcPr>
            <w:tcW w:w="818" w:type="dxa"/>
          </w:tcPr>
          <w:p w:rsidR="00000000" w:rsidRDefault="00761D12">
            <w:pPr>
              <w:jc w:val="right"/>
              <w:rPr>
                <w:rFonts w:ascii="Univers" w:hAnsi="Univers"/>
                <w:sz w:val="16"/>
              </w:rPr>
            </w:pPr>
            <w:r>
              <w:rPr>
                <w:rFonts w:ascii="Univers" w:hAnsi="Univers"/>
                <w:sz w:val="16"/>
              </w:rPr>
              <w:t>35.7</w:t>
            </w:r>
          </w:p>
        </w:tc>
        <w:tc>
          <w:tcPr>
            <w:tcW w:w="198" w:type="dxa"/>
          </w:tcPr>
          <w:p w:rsidR="00000000" w:rsidRDefault="00761D12">
            <w:pPr>
              <w:jc w:val="right"/>
              <w:rPr>
                <w:rFonts w:ascii="Univers" w:hAnsi="Univers"/>
                <w:sz w:val="16"/>
              </w:rPr>
            </w:pPr>
          </w:p>
        </w:tc>
        <w:tc>
          <w:tcPr>
            <w:tcW w:w="701" w:type="dxa"/>
          </w:tcPr>
          <w:p w:rsidR="00000000" w:rsidRDefault="00761D12">
            <w:pPr>
              <w:jc w:val="right"/>
              <w:rPr>
                <w:rFonts w:ascii="Univers" w:hAnsi="Univers"/>
                <w:sz w:val="16"/>
              </w:rPr>
            </w:pPr>
            <w:r>
              <w:rPr>
                <w:rFonts w:ascii="Univers" w:hAnsi="Univers"/>
                <w:sz w:val="16"/>
              </w:rPr>
              <w:t>8.9</w:t>
            </w:r>
          </w:p>
        </w:tc>
        <w:tc>
          <w:tcPr>
            <w:tcW w:w="167" w:type="dxa"/>
          </w:tcPr>
          <w:p w:rsidR="00000000" w:rsidRDefault="00761D12">
            <w:pPr>
              <w:jc w:val="right"/>
              <w:rPr>
                <w:rFonts w:ascii="Univers" w:hAnsi="Univers"/>
                <w:sz w:val="16"/>
              </w:rPr>
            </w:pPr>
          </w:p>
        </w:tc>
        <w:tc>
          <w:tcPr>
            <w:tcW w:w="625" w:type="dxa"/>
          </w:tcPr>
          <w:p w:rsidR="00000000" w:rsidRDefault="00761D12">
            <w:pPr>
              <w:jc w:val="right"/>
              <w:rPr>
                <w:rFonts w:ascii="Univers" w:hAnsi="Univers"/>
                <w:sz w:val="16"/>
              </w:rPr>
            </w:pPr>
            <w:r>
              <w:rPr>
                <w:rFonts w:ascii="Univers" w:hAnsi="Univers"/>
                <w:sz w:val="16"/>
              </w:rPr>
              <w:t>33.2</w:t>
            </w:r>
          </w:p>
        </w:tc>
      </w:tr>
      <w:tr w:rsidR="00000000">
        <w:tblPrEx>
          <w:tblCellMar>
            <w:top w:w="0" w:type="dxa"/>
            <w:bottom w:w="0" w:type="dxa"/>
          </w:tblCellMar>
        </w:tblPrEx>
        <w:trPr>
          <w:trHeight w:hRule="exact" w:val="200"/>
          <w:jc w:val="right"/>
        </w:trPr>
        <w:tc>
          <w:tcPr>
            <w:tcW w:w="2491" w:type="dxa"/>
          </w:tcPr>
          <w:p w:rsidR="00000000" w:rsidRDefault="00761D12">
            <w:pPr>
              <w:rPr>
                <w:rFonts w:ascii="Univers" w:hAnsi="Univers"/>
                <w:sz w:val="16"/>
              </w:rPr>
            </w:pPr>
            <w:r>
              <w:rPr>
                <w:rFonts w:ascii="Univers" w:hAnsi="Univers"/>
                <w:sz w:val="16"/>
              </w:rPr>
              <w:t>Interest</w:t>
            </w:r>
          </w:p>
        </w:tc>
        <w:tc>
          <w:tcPr>
            <w:tcW w:w="175" w:type="dxa"/>
          </w:tcPr>
          <w:p w:rsidR="00000000" w:rsidRDefault="00761D12">
            <w:pPr>
              <w:jc w:val="right"/>
              <w:rPr>
                <w:rFonts w:ascii="Univers" w:hAnsi="Univers"/>
                <w:sz w:val="16"/>
              </w:rPr>
            </w:pPr>
          </w:p>
        </w:tc>
        <w:tc>
          <w:tcPr>
            <w:tcW w:w="1015" w:type="dxa"/>
          </w:tcPr>
          <w:p w:rsidR="00000000" w:rsidRDefault="00761D12">
            <w:pPr>
              <w:jc w:val="right"/>
              <w:rPr>
                <w:rFonts w:ascii="Univers" w:hAnsi="Univers"/>
                <w:sz w:val="16"/>
              </w:rPr>
            </w:pPr>
            <w:r>
              <w:rPr>
                <w:rFonts w:ascii="Univers" w:hAnsi="Univers"/>
                <w:sz w:val="16"/>
              </w:rPr>
              <w:t>0.1</w:t>
            </w:r>
          </w:p>
        </w:tc>
        <w:tc>
          <w:tcPr>
            <w:tcW w:w="209" w:type="dxa"/>
          </w:tcPr>
          <w:p w:rsidR="00000000" w:rsidRDefault="00761D12">
            <w:pPr>
              <w:jc w:val="right"/>
              <w:rPr>
                <w:rFonts w:ascii="Univers" w:hAnsi="Univers"/>
                <w:sz w:val="16"/>
              </w:rPr>
            </w:pPr>
          </w:p>
        </w:tc>
        <w:tc>
          <w:tcPr>
            <w:tcW w:w="818" w:type="dxa"/>
          </w:tcPr>
          <w:p w:rsidR="00000000" w:rsidRDefault="00761D12">
            <w:pPr>
              <w:jc w:val="right"/>
              <w:rPr>
                <w:rFonts w:ascii="Univers" w:hAnsi="Univers"/>
                <w:sz w:val="16"/>
              </w:rPr>
            </w:pPr>
            <w:r>
              <w:rPr>
                <w:rFonts w:ascii="Univers" w:hAnsi="Univers"/>
                <w:sz w:val="16"/>
              </w:rPr>
              <w:t>0.1</w:t>
            </w:r>
          </w:p>
        </w:tc>
        <w:tc>
          <w:tcPr>
            <w:tcW w:w="198" w:type="dxa"/>
          </w:tcPr>
          <w:p w:rsidR="00000000" w:rsidRDefault="00761D12">
            <w:pPr>
              <w:jc w:val="right"/>
              <w:rPr>
                <w:rFonts w:ascii="Univers" w:hAnsi="Univers"/>
                <w:sz w:val="16"/>
              </w:rPr>
            </w:pPr>
          </w:p>
        </w:tc>
        <w:tc>
          <w:tcPr>
            <w:tcW w:w="701" w:type="dxa"/>
          </w:tcPr>
          <w:p w:rsidR="00000000" w:rsidRDefault="00761D12">
            <w:pPr>
              <w:jc w:val="right"/>
              <w:rPr>
                <w:rFonts w:ascii="Univers" w:hAnsi="Univers"/>
                <w:sz w:val="16"/>
              </w:rPr>
            </w:pPr>
            <w:r>
              <w:rPr>
                <w:rFonts w:ascii="Univers" w:hAnsi="Univers"/>
                <w:sz w:val="16"/>
              </w:rPr>
              <w:t>0.0</w:t>
            </w:r>
          </w:p>
        </w:tc>
        <w:tc>
          <w:tcPr>
            <w:tcW w:w="167" w:type="dxa"/>
          </w:tcPr>
          <w:p w:rsidR="00000000" w:rsidRDefault="00761D12">
            <w:pPr>
              <w:jc w:val="right"/>
              <w:rPr>
                <w:rFonts w:ascii="Univers" w:hAnsi="Univers"/>
                <w:sz w:val="16"/>
              </w:rPr>
            </w:pPr>
          </w:p>
        </w:tc>
        <w:tc>
          <w:tcPr>
            <w:tcW w:w="625" w:type="dxa"/>
          </w:tcPr>
          <w:p w:rsidR="00000000" w:rsidRDefault="00761D12">
            <w:pPr>
              <w:jc w:val="right"/>
              <w:rPr>
                <w:rFonts w:ascii="Univers" w:hAnsi="Univers"/>
                <w:sz w:val="16"/>
              </w:rPr>
            </w:pPr>
            <w:r>
              <w:rPr>
                <w:rFonts w:ascii="Univers" w:hAnsi="Univers"/>
                <w:sz w:val="16"/>
              </w:rPr>
              <w:t>65.9</w:t>
            </w:r>
          </w:p>
        </w:tc>
      </w:tr>
      <w:tr w:rsidR="00000000">
        <w:tblPrEx>
          <w:tblCellMar>
            <w:top w:w="0" w:type="dxa"/>
            <w:bottom w:w="0" w:type="dxa"/>
          </w:tblCellMar>
        </w:tblPrEx>
        <w:trPr>
          <w:trHeight w:hRule="exact" w:val="200"/>
          <w:jc w:val="right"/>
        </w:trPr>
        <w:tc>
          <w:tcPr>
            <w:tcW w:w="2491" w:type="dxa"/>
          </w:tcPr>
          <w:p w:rsidR="00000000" w:rsidRDefault="00761D12">
            <w:pPr>
              <w:rPr>
                <w:rFonts w:ascii="Univers" w:hAnsi="Univers"/>
                <w:sz w:val="16"/>
              </w:rPr>
            </w:pPr>
            <w:r>
              <w:rPr>
                <w:rFonts w:ascii="Univers" w:hAnsi="Univers"/>
                <w:sz w:val="16"/>
              </w:rPr>
              <w:t xml:space="preserve"> </w:t>
            </w:r>
            <w:r>
              <w:rPr>
                <w:rFonts w:ascii="Univers" w:hAnsi="Univers"/>
                <w:sz w:val="16"/>
              </w:rPr>
              <w:t xml:space="preserve"> Total Revenue</w:t>
            </w:r>
          </w:p>
        </w:tc>
        <w:tc>
          <w:tcPr>
            <w:tcW w:w="175" w:type="dxa"/>
          </w:tcPr>
          <w:p w:rsidR="00000000" w:rsidRDefault="00761D12">
            <w:pPr>
              <w:jc w:val="right"/>
              <w:rPr>
                <w:rFonts w:ascii="Univers" w:hAnsi="Univers"/>
                <w:sz w:val="16"/>
              </w:rPr>
            </w:pPr>
          </w:p>
        </w:tc>
        <w:tc>
          <w:tcPr>
            <w:tcW w:w="1015" w:type="dxa"/>
            <w:tcBorders>
              <w:top w:val="single" w:sz="6" w:space="0" w:color="auto"/>
              <w:bottom w:val="single" w:sz="6" w:space="0" w:color="auto"/>
            </w:tcBorders>
          </w:tcPr>
          <w:p w:rsidR="00000000" w:rsidRDefault="00761D12">
            <w:pPr>
              <w:jc w:val="right"/>
              <w:rPr>
                <w:rFonts w:ascii="Univers" w:hAnsi="Univers"/>
                <w:sz w:val="16"/>
              </w:rPr>
            </w:pPr>
            <w:r>
              <w:rPr>
                <w:rFonts w:ascii="Univers" w:hAnsi="Univers"/>
                <w:sz w:val="16"/>
              </w:rPr>
              <w:t>$ 26.9</w:t>
            </w:r>
          </w:p>
        </w:tc>
        <w:tc>
          <w:tcPr>
            <w:tcW w:w="209" w:type="dxa"/>
          </w:tcPr>
          <w:p w:rsidR="00000000" w:rsidRDefault="00761D12">
            <w:pPr>
              <w:jc w:val="right"/>
              <w:rPr>
                <w:rFonts w:ascii="Univers" w:hAnsi="Univers"/>
                <w:sz w:val="16"/>
              </w:rPr>
            </w:pPr>
          </w:p>
          <w:p w:rsidR="00000000" w:rsidRDefault="00761D12">
            <w:pPr>
              <w:jc w:val="right"/>
              <w:rPr>
                <w:rFonts w:ascii="Univers" w:hAnsi="Univers"/>
                <w:sz w:val="16"/>
              </w:rPr>
            </w:pPr>
          </w:p>
          <w:p w:rsidR="00000000" w:rsidRDefault="00761D12">
            <w:pPr>
              <w:jc w:val="right"/>
              <w:rPr>
                <w:rFonts w:ascii="Univers" w:hAnsi="Univers"/>
                <w:sz w:val="16"/>
              </w:rPr>
            </w:pPr>
          </w:p>
          <w:p w:rsidR="00000000" w:rsidRDefault="00761D12">
            <w:pPr>
              <w:jc w:val="right"/>
              <w:rPr>
                <w:rFonts w:ascii="Univers" w:hAnsi="Univers"/>
                <w:sz w:val="16"/>
              </w:rPr>
            </w:pPr>
          </w:p>
          <w:p w:rsidR="00000000" w:rsidRDefault="00761D12">
            <w:pPr>
              <w:jc w:val="right"/>
              <w:rPr>
                <w:rFonts w:ascii="Univers" w:hAnsi="Univers"/>
                <w:sz w:val="16"/>
              </w:rPr>
            </w:pPr>
          </w:p>
        </w:tc>
        <w:tc>
          <w:tcPr>
            <w:tcW w:w="818" w:type="dxa"/>
            <w:tcBorders>
              <w:top w:val="single" w:sz="6" w:space="0" w:color="auto"/>
              <w:bottom w:val="single" w:sz="6" w:space="0" w:color="auto"/>
            </w:tcBorders>
          </w:tcPr>
          <w:p w:rsidR="00000000" w:rsidRDefault="00761D12">
            <w:pPr>
              <w:jc w:val="right"/>
              <w:rPr>
                <w:rFonts w:ascii="Univers" w:hAnsi="Univers"/>
                <w:sz w:val="16"/>
              </w:rPr>
            </w:pPr>
            <w:r>
              <w:rPr>
                <w:rFonts w:ascii="Univers" w:hAnsi="Univers"/>
                <w:sz w:val="16"/>
              </w:rPr>
              <w:t>$ 35.8</w:t>
            </w:r>
          </w:p>
        </w:tc>
        <w:tc>
          <w:tcPr>
            <w:tcW w:w="198" w:type="dxa"/>
          </w:tcPr>
          <w:p w:rsidR="00000000" w:rsidRDefault="00761D12">
            <w:pPr>
              <w:jc w:val="right"/>
              <w:rPr>
                <w:rFonts w:ascii="Univers" w:hAnsi="Univers"/>
                <w:sz w:val="16"/>
              </w:rPr>
            </w:pPr>
          </w:p>
        </w:tc>
        <w:tc>
          <w:tcPr>
            <w:tcW w:w="701" w:type="dxa"/>
            <w:tcBorders>
              <w:top w:val="single" w:sz="6" w:space="0" w:color="auto"/>
              <w:bottom w:val="single" w:sz="6" w:space="0" w:color="auto"/>
            </w:tcBorders>
          </w:tcPr>
          <w:p w:rsidR="00000000" w:rsidRDefault="00761D12">
            <w:pPr>
              <w:jc w:val="right"/>
              <w:rPr>
                <w:rFonts w:ascii="Univers" w:hAnsi="Univers"/>
                <w:sz w:val="16"/>
              </w:rPr>
            </w:pPr>
            <w:r>
              <w:rPr>
                <w:rFonts w:ascii="Univers" w:hAnsi="Univers"/>
                <w:sz w:val="16"/>
              </w:rPr>
              <w:t>$  8.9</w:t>
            </w:r>
          </w:p>
        </w:tc>
        <w:tc>
          <w:tcPr>
            <w:tcW w:w="167" w:type="dxa"/>
          </w:tcPr>
          <w:p w:rsidR="00000000" w:rsidRDefault="00761D12">
            <w:pPr>
              <w:jc w:val="right"/>
              <w:rPr>
                <w:rFonts w:ascii="Univers" w:hAnsi="Univers"/>
                <w:sz w:val="16"/>
              </w:rPr>
            </w:pPr>
          </w:p>
        </w:tc>
        <w:tc>
          <w:tcPr>
            <w:tcW w:w="625" w:type="dxa"/>
            <w:tcBorders>
              <w:top w:val="single" w:sz="6" w:space="0" w:color="auto"/>
              <w:bottom w:val="single" w:sz="6" w:space="0" w:color="auto"/>
            </w:tcBorders>
          </w:tcPr>
          <w:p w:rsidR="00000000" w:rsidRDefault="00761D12">
            <w:pPr>
              <w:jc w:val="right"/>
              <w:rPr>
                <w:rFonts w:ascii="Univers" w:hAnsi="Univers"/>
                <w:sz w:val="16"/>
              </w:rPr>
            </w:pPr>
            <w:r>
              <w:rPr>
                <w:rFonts w:ascii="Univers" w:hAnsi="Univers"/>
                <w:sz w:val="16"/>
              </w:rPr>
              <w:t>33.2</w:t>
            </w:r>
          </w:p>
        </w:tc>
      </w:tr>
      <w:tr w:rsidR="00000000">
        <w:tblPrEx>
          <w:tblCellMar>
            <w:top w:w="0" w:type="dxa"/>
            <w:bottom w:w="0" w:type="dxa"/>
          </w:tblCellMar>
        </w:tblPrEx>
        <w:trPr>
          <w:trHeight w:hRule="exact" w:val="200"/>
          <w:jc w:val="right"/>
        </w:trPr>
        <w:tc>
          <w:tcPr>
            <w:tcW w:w="2491" w:type="dxa"/>
          </w:tcPr>
          <w:p w:rsidR="00000000" w:rsidRDefault="00761D12">
            <w:pPr>
              <w:rPr>
                <w:rFonts w:ascii="Univers" w:hAnsi="Univers"/>
                <w:sz w:val="16"/>
              </w:rPr>
            </w:pPr>
          </w:p>
        </w:tc>
        <w:tc>
          <w:tcPr>
            <w:tcW w:w="175" w:type="dxa"/>
          </w:tcPr>
          <w:p w:rsidR="00000000" w:rsidRDefault="00761D12">
            <w:pPr>
              <w:jc w:val="right"/>
              <w:rPr>
                <w:rFonts w:ascii="Univers" w:hAnsi="Univers"/>
                <w:sz w:val="16"/>
              </w:rPr>
            </w:pPr>
          </w:p>
        </w:tc>
        <w:tc>
          <w:tcPr>
            <w:tcW w:w="1015" w:type="dxa"/>
          </w:tcPr>
          <w:p w:rsidR="00000000" w:rsidRDefault="00761D12">
            <w:pPr>
              <w:jc w:val="right"/>
              <w:rPr>
                <w:rFonts w:ascii="Univers" w:hAnsi="Univers"/>
                <w:sz w:val="16"/>
              </w:rPr>
            </w:pPr>
          </w:p>
        </w:tc>
        <w:tc>
          <w:tcPr>
            <w:tcW w:w="209" w:type="dxa"/>
          </w:tcPr>
          <w:p w:rsidR="00000000" w:rsidRDefault="00761D12">
            <w:pPr>
              <w:jc w:val="right"/>
              <w:rPr>
                <w:rFonts w:ascii="Univers" w:hAnsi="Univers"/>
                <w:sz w:val="16"/>
              </w:rPr>
            </w:pPr>
          </w:p>
        </w:tc>
        <w:tc>
          <w:tcPr>
            <w:tcW w:w="818" w:type="dxa"/>
          </w:tcPr>
          <w:p w:rsidR="00000000" w:rsidRDefault="00761D12">
            <w:pPr>
              <w:jc w:val="right"/>
              <w:rPr>
                <w:rFonts w:ascii="Univers" w:hAnsi="Univers"/>
                <w:sz w:val="16"/>
              </w:rPr>
            </w:pPr>
          </w:p>
        </w:tc>
        <w:tc>
          <w:tcPr>
            <w:tcW w:w="198" w:type="dxa"/>
          </w:tcPr>
          <w:p w:rsidR="00000000" w:rsidRDefault="00761D12">
            <w:pPr>
              <w:jc w:val="right"/>
              <w:rPr>
                <w:rFonts w:ascii="Univers" w:hAnsi="Univers"/>
                <w:sz w:val="16"/>
              </w:rPr>
            </w:pPr>
          </w:p>
        </w:tc>
        <w:tc>
          <w:tcPr>
            <w:tcW w:w="701" w:type="dxa"/>
          </w:tcPr>
          <w:p w:rsidR="00000000" w:rsidRDefault="00761D12">
            <w:pPr>
              <w:jc w:val="right"/>
              <w:rPr>
                <w:rFonts w:ascii="Univers" w:hAnsi="Univers"/>
                <w:sz w:val="16"/>
              </w:rPr>
            </w:pPr>
          </w:p>
        </w:tc>
        <w:tc>
          <w:tcPr>
            <w:tcW w:w="167" w:type="dxa"/>
          </w:tcPr>
          <w:p w:rsidR="00000000" w:rsidRDefault="00761D12">
            <w:pPr>
              <w:jc w:val="right"/>
              <w:rPr>
                <w:rFonts w:ascii="Univers" w:hAnsi="Univers"/>
                <w:sz w:val="16"/>
              </w:rPr>
            </w:pPr>
          </w:p>
        </w:tc>
        <w:tc>
          <w:tcPr>
            <w:tcW w:w="625" w:type="dxa"/>
          </w:tcPr>
          <w:p w:rsidR="00000000" w:rsidRDefault="00761D12">
            <w:pPr>
              <w:jc w:val="right"/>
              <w:rPr>
                <w:rFonts w:ascii="Univers" w:hAnsi="Univers"/>
                <w:sz w:val="16"/>
              </w:rPr>
            </w:pPr>
          </w:p>
        </w:tc>
      </w:tr>
      <w:tr w:rsidR="00000000">
        <w:tblPrEx>
          <w:tblCellMar>
            <w:top w:w="0" w:type="dxa"/>
            <w:bottom w:w="0" w:type="dxa"/>
          </w:tblCellMar>
        </w:tblPrEx>
        <w:trPr>
          <w:trHeight w:hRule="exact" w:val="200"/>
          <w:jc w:val="right"/>
        </w:trPr>
        <w:tc>
          <w:tcPr>
            <w:tcW w:w="2491" w:type="dxa"/>
          </w:tcPr>
          <w:p w:rsidR="00000000" w:rsidRDefault="00761D12">
            <w:pPr>
              <w:rPr>
                <w:rFonts w:ascii="Univers" w:hAnsi="Univers"/>
                <w:sz w:val="16"/>
              </w:rPr>
            </w:pPr>
            <w:r>
              <w:rPr>
                <w:rFonts w:ascii="Univers" w:hAnsi="Univers"/>
                <w:sz w:val="16"/>
              </w:rPr>
              <w:t>Prize Expense</w:t>
            </w:r>
          </w:p>
        </w:tc>
        <w:tc>
          <w:tcPr>
            <w:tcW w:w="175" w:type="dxa"/>
          </w:tcPr>
          <w:p w:rsidR="00000000" w:rsidRDefault="00761D12">
            <w:pPr>
              <w:jc w:val="right"/>
              <w:rPr>
                <w:rFonts w:ascii="Univers" w:hAnsi="Univers"/>
                <w:sz w:val="16"/>
              </w:rPr>
            </w:pPr>
          </w:p>
        </w:tc>
        <w:tc>
          <w:tcPr>
            <w:tcW w:w="1015" w:type="dxa"/>
          </w:tcPr>
          <w:p w:rsidR="00000000" w:rsidRDefault="00761D12">
            <w:pPr>
              <w:jc w:val="right"/>
              <w:rPr>
                <w:rFonts w:ascii="Univers" w:hAnsi="Univers"/>
                <w:sz w:val="16"/>
              </w:rPr>
            </w:pPr>
            <w:r>
              <w:rPr>
                <w:rFonts w:ascii="Univers" w:hAnsi="Univers"/>
                <w:sz w:val="16"/>
              </w:rPr>
              <w:t>15.6</w:t>
            </w:r>
          </w:p>
        </w:tc>
        <w:tc>
          <w:tcPr>
            <w:tcW w:w="209" w:type="dxa"/>
          </w:tcPr>
          <w:p w:rsidR="00000000" w:rsidRDefault="00761D12">
            <w:pPr>
              <w:jc w:val="right"/>
              <w:rPr>
                <w:rFonts w:ascii="Univers" w:hAnsi="Univers"/>
                <w:sz w:val="16"/>
              </w:rPr>
            </w:pPr>
          </w:p>
        </w:tc>
        <w:tc>
          <w:tcPr>
            <w:tcW w:w="818" w:type="dxa"/>
          </w:tcPr>
          <w:p w:rsidR="00000000" w:rsidRDefault="00761D12">
            <w:pPr>
              <w:jc w:val="right"/>
              <w:rPr>
                <w:rFonts w:ascii="Univers" w:hAnsi="Univers"/>
                <w:sz w:val="16"/>
              </w:rPr>
            </w:pPr>
            <w:r>
              <w:rPr>
                <w:rFonts w:ascii="Univers" w:hAnsi="Univers"/>
                <w:sz w:val="16"/>
              </w:rPr>
              <w:t>20.3</w:t>
            </w:r>
          </w:p>
        </w:tc>
        <w:tc>
          <w:tcPr>
            <w:tcW w:w="198" w:type="dxa"/>
          </w:tcPr>
          <w:p w:rsidR="00000000" w:rsidRDefault="00761D12">
            <w:pPr>
              <w:jc w:val="right"/>
              <w:rPr>
                <w:rFonts w:ascii="Univers" w:hAnsi="Univers"/>
                <w:sz w:val="16"/>
              </w:rPr>
            </w:pPr>
          </w:p>
        </w:tc>
        <w:tc>
          <w:tcPr>
            <w:tcW w:w="701" w:type="dxa"/>
          </w:tcPr>
          <w:p w:rsidR="00000000" w:rsidRDefault="00761D12">
            <w:pPr>
              <w:jc w:val="right"/>
              <w:rPr>
                <w:rFonts w:ascii="Univers" w:hAnsi="Univers"/>
                <w:sz w:val="16"/>
              </w:rPr>
            </w:pPr>
            <w:r>
              <w:rPr>
                <w:rFonts w:ascii="Univers" w:hAnsi="Univers"/>
                <w:sz w:val="16"/>
              </w:rPr>
              <w:t>4.7</w:t>
            </w:r>
          </w:p>
        </w:tc>
        <w:tc>
          <w:tcPr>
            <w:tcW w:w="167" w:type="dxa"/>
          </w:tcPr>
          <w:p w:rsidR="00000000" w:rsidRDefault="00761D12">
            <w:pPr>
              <w:jc w:val="right"/>
              <w:rPr>
                <w:rFonts w:ascii="Univers" w:hAnsi="Univers"/>
                <w:sz w:val="16"/>
              </w:rPr>
            </w:pPr>
          </w:p>
        </w:tc>
        <w:tc>
          <w:tcPr>
            <w:tcW w:w="625" w:type="dxa"/>
          </w:tcPr>
          <w:p w:rsidR="00000000" w:rsidRDefault="00761D12">
            <w:pPr>
              <w:jc w:val="right"/>
              <w:rPr>
                <w:rFonts w:ascii="Univers" w:hAnsi="Univers"/>
                <w:sz w:val="16"/>
              </w:rPr>
            </w:pPr>
            <w:r>
              <w:rPr>
                <w:rFonts w:ascii="Univers" w:hAnsi="Univers"/>
                <w:sz w:val="16"/>
              </w:rPr>
              <w:t>30.1</w:t>
            </w:r>
          </w:p>
        </w:tc>
      </w:tr>
      <w:tr w:rsidR="00000000">
        <w:tblPrEx>
          <w:tblCellMar>
            <w:top w:w="0" w:type="dxa"/>
            <w:bottom w:w="0" w:type="dxa"/>
          </w:tblCellMar>
        </w:tblPrEx>
        <w:trPr>
          <w:trHeight w:hRule="exact" w:val="200"/>
          <w:jc w:val="right"/>
        </w:trPr>
        <w:tc>
          <w:tcPr>
            <w:tcW w:w="2491" w:type="dxa"/>
          </w:tcPr>
          <w:p w:rsidR="00000000" w:rsidRDefault="00761D12">
            <w:pPr>
              <w:rPr>
                <w:rFonts w:ascii="Univers" w:hAnsi="Univers"/>
                <w:sz w:val="16"/>
              </w:rPr>
            </w:pPr>
            <w:r>
              <w:rPr>
                <w:rFonts w:ascii="Univers" w:hAnsi="Univers"/>
                <w:sz w:val="16"/>
              </w:rPr>
              <w:t>Operating Expense</w:t>
            </w:r>
          </w:p>
        </w:tc>
        <w:tc>
          <w:tcPr>
            <w:tcW w:w="175" w:type="dxa"/>
          </w:tcPr>
          <w:p w:rsidR="00000000" w:rsidRDefault="00761D12">
            <w:pPr>
              <w:jc w:val="right"/>
              <w:rPr>
                <w:rFonts w:ascii="Univers" w:hAnsi="Univers"/>
                <w:sz w:val="16"/>
              </w:rPr>
            </w:pPr>
          </w:p>
        </w:tc>
        <w:tc>
          <w:tcPr>
            <w:tcW w:w="1015" w:type="dxa"/>
          </w:tcPr>
          <w:p w:rsidR="00000000" w:rsidRDefault="00761D12">
            <w:pPr>
              <w:jc w:val="right"/>
              <w:rPr>
                <w:rFonts w:ascii="Univers" w:hAnsi="Univers"/>
                <w:sz w:val="16"/>
              </w:rPr>
            </w:pPr>
            <w:r>
              <w:rPr>
                <w:rFonts w:ascii="Univers" w:hAnsi="Univers"/>
                <w:sz w:val="16"/>
              </w:rPr>
              <w:t>5.5</w:t>
            </w:r>
          </w:p>
        </w:tc>
        <w:tc>
          <w:tcPr>
            <w:tcW w:w="209" w:type="dxa"/>
          </w:tcPr>
          <w:p w:rsidR="00000000" w:rsidRDefault="00761D12">
            <w:pPr>
              <w:jc w:val="right"/>
              <w:rPr>
                <w:rFonts w:ascii="Univers" w:hAnsi="Univers"/>
                <w:sz w:val="16"/>
              </w:rPr>
            </w:pPr>
          </w:p>
        </w:tc>
        <w:tc>
          <w:tcPr>
            <w:tcW w:w="818" w:type="dxa"/>
          </w:tcPr>
          <w:p w:rsidR="00000000" w:rsidRDefault="00761D12">
            <w:pPr>
              <w:jc w:val="right"/>
              <w:rPr>
                <w:rFonts w:ascii="Univers" w:hAnsi="Univers"/>
                <w:sz w:val="16"/>
              </w:rPr>
            </w:pPr>
            <w:r>
              <w:rPr>
                <w:rFonts w:ascii="Univers" w:hAnsi="Univers"/>
                <w:sz w:val="16"/>
              </w:rPr>
              <w:t>7.1</w:t>
            </w:r>
          </w:p>
        </w:tc>
        <w:tc>
          <w:tcPr>
            <w:tcW w:w="198" w:type="dxa"/>
          </w:tcPr>
          <w:p w:rsidR="00000000" w:rsidRDefault="00761D12">
            <w:pPr>
              <w:jc w:val="right"/>
              <w:rPr>
                <w:rFonts w:ascii="Univers" w:hAnsi="Univers"/>
                <w:sz w:val="16"/>
              </w:rPr>
            </w:pPr>
          </w:p>
        </w:tc>
        <w:tc>
          <w:tcPr>
            <w:tcW w:w="701" w:type="dxa"/>
          </w:tcPr>
          <w:p w:rsidR="00000000" w:rsidRDefault="00761D12">
            <w:pPr>
              <w:jc w:val="right"/>
              <w:rPr>
                <w:rFonts w:ascii="Univers" w:hAnsi="Univers"/>
                <w:sz w:val="16"/>
              </w:rPr>
            </w:pPr>
            <w:r>
              <w:rPr>
                <w:rFonts w:ascii="Univers" w:hAnsi="Univers"/>
                <w:sz w:val="16"/>
              </w:rPr>
              <w:t>1.6</w:t>
            </w:r>
          </w:p>
        </w:tc>
        <w:tc>
          <w:tcPr>
            <w:tcW w:w="167" w:type="dxa"/>
          </w:tcPr>
          <w:p w:rsidR="00000000" w:rsidRDefault="00761D12">
            <w:pPr>
              <w:jc w:val="right"/>
              <w:rPr>
                <w:rFonts w:ascii="Univers" w:hAnsi="Univers"/>
                <w:sz w:val="16"/>
              </w:rPr>
            </w:pPr>
          </w:p>
        </w:tc>
        <w:tc>
          <w:tcPr>
            <w:tcW w:w="625" w:type="dxa"/>
          </w:tcPr>
          <w:p w:rsidR="00000000" w:rsidRDefault="00761D12">
            <w:pPr>
              <w:jc w:val="right"/>
              <w:rPr>
                <w:rFonts w:ascii="Univers" w:hAnsi="Univers"/>
                <w:sz w:val="16"/>
              </w:rPr>
            </w:pPr>
            <w:r>
              <w:rPr>
                <w:rFonts w:ascii="Univers" w:hAnsi="Univers"/>
                <w:sz w:val="16"/>
              </w:rPr>
              <w:t>28.2</w:t>
            </w:r>
          </w:p>
        </w:tc>
      </w:tr>
      <w:tr w:rsidR="00000000">
        <w:tblPrEx>
          <w:tblCellMar>
            <w:top w:w="0" w:type="dxa"/>
            <w:bottom w:w="0" w:type="dxa"/>
          </w:tblCellMar>
        </w:tblPrEx>
        <w:trPr>
          <w:trHeight w:hRule="exact" w:val="200"/>
          <w:jc w:val="right"/>
        </w:trPr>
        <w:tc>
          <w:tcPr>
            <w:tcW w:w="2491" w:type="dxa"/>
          </w:tcPr>
          <w:p w:rsidR="00000000" w:rsidRDefault="00761D12">
            <w:pPr>
              <w:rPr>
                <w:rFonts w:ascii="Univers" w:hAnsi="Univers"/>
                <w:sz w:val="16"/>
              </w:rPr>
            </w:pPr>
            <w:r>
              <w:rPr>
                <w:rFonts w:ascii="Univers" w:hAnsi="Univers"/>
                <w:sz w:val="16"/>
              </w:rPr>
              <w:t>Transfer of Profits</w:t>
            </w:r>
          </w:p>
        </w:tc>
        <w:tc>
          <w:tcPr>
            <w:tcW w:w="175" w:type="dxa"/>
          </w:tcPr>
          <w:p w:rsidR="00000000" w:rsidRDefault="00761D12">
            <w:pPr>
              <w:jc w:val="right"/>
              <w:rPr>
                <w:rFonts w:ascii="Univers" w:hAnsi="Univers"/>
                <w:sz w:val="16"/>
              </w:rPr>
            </w:pPr>
          </w:p>
        </w:tc>
        <w:tc>
          <w:tcPr>
            <w:tcW w:w="1015" w:type="dxa"/>
          </w:tcPr>
          <w:p w:rsidR="00000000" w:rsidRDefault="00761D12">
            <w:pPr>
              <w:jc w:val="right"/>
              <w:rPr>
                <w:rFonts w:ascii="Univers" w:hAnsi="Univers"/>
                <w:sz w:val="16"/>
              </w:rPr>
            </w:pPr>
            <w:r>
              <w:rPr>
                <w:rFonts w:ascii="Univers" w:hAnsi="Univers"/>
                <w:sz w:val="16"/>
              </w:rPr>
              <w:t>5.5</w:t>
            </w:r>
          </w:p>
        </w:tc>
        <w:tc>
          <w:tcPr>
            <w:tcW w:w="209" w:type="dxa"/>
          </w:tcPr>
          <w:p w:rsidR="00000000" w:rsidRDefault="00761D12">
            <w:pPr>
              <w:jc w:val="right"/>
              <w:rPr>
                <w:rFonts w:ascii="Univers" w:hAnsi="Univers"/>
                <w:sz w:val="16"/>
              </w:rPr>
            </w:pPr>
          </w:p>
        </w:tc>
        <w:tc>
          <w:tcPr>
            <w:tcW w:w="818" w:type="dxa"/>
          </w:tcPr>
          <w:p w:rsidR="00000000" w:rsidRDefault="00761D12">
            <w:pPr>
              <w:jc w:val="right"/>
              <w:rPr>
                <w:rFonts w:ascii="Univers" w:hAnsi="Univers"/>
                <w:sz w:val="16"/>
              </w:rPr>
            </w:pPr>
            <w:r>
              <w:rPr>
                <w:rFonts w:ascii="Univers" w:hAnsi="Univers"/>
                <w:sz w:val="16"/>
              </w:rPr>
              <w:t>8.6</w:t>
            </w:r>
          </w:p>
        </w:tc>
        <w:tc>
          <w:tcPr>
            <w:tcW w:w="198" w:type="dxa"/>
          </w:tcPr>
          <w:p w:rsidR="00000000" w:rsidRDefault="00761D12">
            <w:pPr>
              <w:jc w:val="right"/>
              <w:rPr>
                <w:rFonts w:ascii="Univers" w:hAnsi="Univers"/>
                <w:sz w:val="16"/>
              </w:rPr>
            </w:pPr>
          </w:p>
        </w:tc>
        <w:tc>
          <w:tcPr>
            <w:tcW w:w="701" w:type="dxa"/>
          </w:tcPr>
          <w:p w:rsidR="00000000" w:rsidRDefault="00761D12">
            <w:pPr>
              <w:jc w:val="right"/>
              <w:rPr>
                <w:rFonts w:ascii="Univers" w:hAnsi="Univers"/>
                <w:sz w:val="16"/>
              </w:rPr>
            </w:pPr>
            <w:r>
              <w:rPr>
                <w:rFonts w:ascii="Univers" w:hAnsi="Univers"/>
                <w:sz w:val="16"/>
              </w:rPr>
              <w:t>3.2</w:t>
            </w:r>
          </w:p>
        </w:tc>
        <w:tc>
          <w:tcPr>
            <w:tcW w:w="167" w:type="dxa"/>
          </w:tcPr>
          <w:p w:rsidR="00000000" w:rsidRDefault="00761D12">
            <w:pPr>
              <w:jc w:val="right"/>
              <w:rPr>
                <w:rFonts w:ascii="Univers" w:hAnsi="Univers"/>
                <w:sz w:val="16"/>
              </w:rPr>
            </w:pPr>
          </w:p>
        </w:tc>
        <w:tc>
          <w:tcPr>
            <w:tcW w:w="625" w:type="dxa"/>
          </w:tcPr>
          <w:p w:rsidR="00000000" w:rsidRDefault="00761D12">
            <w:pPr>
              <w:jc w:val="right"/>
              <w:rPr>
                <w:rFonts w:ascii="Univers" w:hAnsi="Univers"/>
                <w:sz w:val="16"/>
              </w:rPr>
            </w:pPr>
            <w:r>
              <w:rPr>
                <w:rFonts w:ascii="Univers" w:hAnsi="Univers"/>
                <w:sz w:val="16"/>
              </w:rPr>
              <w:t>58.1</w:t>
            </w:r>
          </w:p>
        </w:tc>
      </w:tr>
      <w:tr w:rsidR="00000000">
        <w:tblPrEx>
          <w:tblCellMar>
            <w:top w:w="0" w:type="dxa"/>
            <w:bottom w:w="0" w:type="dxa"/>
          </w:tblCellMar>
        </w:tblPrEx>
        <w:trPr>
          <w:trHeight w:hRule="exact" w:val="260"/>
          <w:jc w:val="right"/>
        </w:trPr>
        <w:tc>
          <w:tcPr>
            <w:tcW w:w="2491" w:type="dxa"/>
          </w:tcPr>
          <w:p w:rsidR="00000000" w:rsidRDefault="00761D12">
            <w:pPr>
              <w:rPr>
                <w:rFonts w:ascii="Univers" w:hAnsi="Univers"/>
                <w:sz w:val="16"/>
              </w:rPr>
            </w:pPr>
            <w:r>
              <w:rPr>
                <w:rFonts w:ascii="Univers" w:hAnsi="Univers"/>
                <w:sz w:val="16"/>
              </w:rPr>
              <w:t xml:space="preserve">  Total Expense</w:t>
            </w:r>
          </w:p>
        </w:tc>
        <w:tc>
          <w:tcPr>
            <w:tcW w:w="175" w:type="dxa"/>
          </w:tcPr>
          <w:p w:rsidR="00000000" w:rsidRDefault="00761D12">
            <w:pPr>
              <w:jc w:val="right"/>
              <w:rPr>
                <w:rFonts w:ascii="Univers" w:hAnsi="Univers"/>
                <w:sz w:val="16"/>
              </w:rPr>
            </w:pPr>
          </w:p>
        </w:tc>
        <w:tc>
          <w:tcPr>
            <w:tcW w:w="1015" w:type="dxa"/>
            <w:tcBorders>
              <w:top w:val="single" w:sz="6" w:space="0" w:color="auto"/>
              <w:bottom w:val="single" w:sz="6" w:space="0" w:color="auto"/>
            </w:tcBorders>
          </w:tcPr>
          <w:p w:rsidR="00000000" w:rsidRDefault="00761D12">
            <w:pPr>
              <w:jc w:val="right"/>
              <w:rPr>
                <w:rFonts w:ascii="Univers" w:hAnsi="Univers"/>
                <w:sz w:val="16"/>
              </w:rPr>
            </w:pPr>
            <w:r>
              <w:rPr>
                <w:rFonts w:ascii="Univers" w:hAnsi="Univers"/>
                <w:sz w:val="16"/>
              </w:rPr>
              <w:t>$ 26.5</w:t>
            </w:r>
          </w:p>
        </w:tc>
        <w:tc>
          <w:tcPr>
            <w:tcW w:w="209" w:type="dxa"/>
          </w:tcPr>
          <w:p w:rsidR="00000000" w:rsidRDefault="00761D12">
            <w:pPr>
              <w:jc w:val="right"/>
              <w:rPr>
                <w:rFonts w:ascii="Univers" w:hAnsi="Univers"/>
                <w:sz w:val="16"/>
              </w:rPr>
            </w:pPr>
          </w:p>
        </w:tc>
        <w:tc>
          <w:tcPr>
            <w:tcW w:w="818" w:type="dxa"/>
            <w:tcBorders>
              <w:top w:val="single" w:sz="6" w:space="0" w:color="auto"/>
              <w:bottom w:val="single" w:sz="6" w:space="0" w:color="auto"/>
            </w:tcBorders>
          </w:tcPr>
          <w:p w:rsidR="00000000" w:rsidRDefault="00761D12">
            <w:pPr>
              <w:jc w:val="right"/>
              <w:rPr>
                <w:rFonts w:ascii="Univers" w:hAnsi="Univers"/>
                <w:sz w:val="16"/>
              </w:rPr>
            </w:pPr>
            <w:r>
              <w:rPr>
                <w:rFonts w:ascii="Univers" w:hAnsi="Univers"/>
                <w:sz w:val="16"/>
              </w:rPr>
              <w:t>$ 35.9</w:t>
            </w:r>
          </w:p>
        </w:tc>
        <w:tc>
          <w:tcPr>
            <w:tcW w:w="198" w:type="dxa"/>
          </w:tcPr>
          <w:p w:rsidR="00000000" w:rsidRDefault="00761D12">
            <w:pPr>
              <w:jc w:val="right"/>
              <w:rPr>
                <w:rFonts w:ascii="Univers" w:hAnsi="Univers"/>
                <w:sz w:val="16"/>
              </w:rPr>
            </w:pPr>
          </w:p>
        </w:tc>
        <w:tc>
          <w:tcPr>
            <w:tcW w:w="701" w:type="dxa"/>
            <w:tcBorders>
              <w:top w:val="single" w:sz="6" w:space="0" w:color="auto"/>
              <w:bottom w:val="single" w:sz="6" w:space="0" w:color="auto"/>
            </w:tcBorders>
          </w:tcPr>
          <w:p w:rsidR="00000000" w:rsidRDefault="00761D12">
            <w:pPr>
              <w:jc w:val="right"/>
              <w:rPr>
                <w:rFonts w:ascii="Univers" w:hAnsi="Univers"/>
                <w:sz w:val="16"/>
              </w:rPr>
            </w:pPr>
            <w:r>
              <w:rPr>
                <w:rFonts w:ascii="Univers" w:hAnsi="Univers"/>
                <w:sz w:val="16"/>
              </w:rPr>
              <w:t>$  9.4</w:t>
            </w:r>
          </w:p>
        </w:tc>
        <w:tc>
          <w:tcPr>
            <w:tcW w:w="167" w:type="dxa"/>
          </w:tcPr>
          <w:p w:rsidR="00000000" w:rsidRDefault="00761D12">
            <w:pPr>
              <w:jc w:val="right"/>
              <w:rPr>
                <w:rFonts w:ascii="Univers" w:hAnsi="Univers"/>
                <w:sz w:val="16"/>
              </w:rPr>
            </w:pPr>
          </w:p>
        </w:tc>
        <w:tc>
          <w:tcPr>
            <w:tcW w:w="625" w:type="dxa"/>
            <w:tcBorders>
              <w:top w:val="single" w:sz="6" w:space="0" w:color="auto"/>
              <w:bottom w:val="single" w:sz="6" w:space="0" w:color="auto"/>
            </w:tcBorders>
          </w:tcPr>
          <w:p w:rsidR="00000000" w:rsidRDefault="00761D12">
            <w:pPr>
              <w:jc w:val="right"/>
              <w:rPr>
                <w:rFonts w:ascii="Univers" w:hAnsi="Univers"/>
                <w:sz w:val="16"/>
              </w:rPr>
            </w:pPr>
            <w:r>
              <w:rPr>
                <w:rFonts w:ascii="Univers" w:hAnsi="Univers"/>
                <w:sz w:val="16"/>
              </w:rPr>
              <w:t>35.4</w:t>
            </w:r>
          </w:p>
        </w:tc>
      </w:tr>
      <w:tr w:rsidR="00000000">
        <w:tblPrEx>
          <w:tblCellMar>
            <w:top w:w="0" w:type="dxa"/>
            <w:bottom w:w="0" w:type="dxa"/>
          </w:tblCellMar>
        </w:tblPrEx>
        <w:trPr>
          <w:trHeight w:hRule="exact" w:val="160"/>
          <w:jc w:val="right"/>
        </w:trPr>
        <w:tc>
          <w:tcPr>
            <w:tcW w:w="2491" w:type="dxa"/>
          </w:tcPr>
          <w:p w:rsidR="00000000" w:rsidRDefault="00761D12">
            <w:pPr>
              <w:rPr>
                <w:rFonts w:ascii="Univers" w:hAnsi="Univers"/>
                <w:sz w:val="16"/>
              </w:rPr>
            </w:pPr>
          </w:p>
        </w:tc>
        <w:tc>
          <w:tcPr>
            <w:tcW w:w="175" w:type="dxa"/>
          </w:tcPr>
          <w:p w:rsidR="00000000" w:rsidRDefault="00761D12">
            <w:pPr>
              <w:jc w:val="right"/>
              <w:rPr>
                <w:rFonts w:ascii="Univers" w:hAnsi="Univers"/>
                <w:sz w:val="16"/>
              </w:rPr>
            </w:pPr>
          </w:p>
        </w:tc>
        <w:tc>
          <w:tcPr>
            <w:tcW w:w="1015" w:type="dxa"/>
          </w:tcPr>
          <w:p w:rsidR="00000000" w:rsidRDefault="00761D12">
            <w:pPr>
              <w:jc w:val="right"/>
              <w:rPr>
                <w:rFonts w:ascii="Univers" w:hAnsi="Univers"/>
                <w:sz w:val="16"/>
              </w:rPr>
            </w:pPr>
          </w:p>
        </w:tc>
        <w:tc>
          <w:tcPr>
            <w:tcW w:w="209" w:type="dxa"/>
          </w:tcPr>
          <w:p w:rsidR="00000000" w:rsidRDefault="00761D12">
            <w:pPr>
              <w:jc w:val="right"/>
              <w:rPr>
                <w:rFonts w:ascii="Univers" w:hAnsi="Univers"/>
                <w:sz w:val="16"/>
              </w:rPr>
            </w:pPr>
          </w:p>
        </w:tc>
        <w:tc>
          <w:tcPr>
            <w:tcW w:w="818" w:type="dxa"/>
          </w:tcPr>
          <w:p w:rsidR="00000000" w:rsidRDefault="00761D12">
            <w:pPr>
              <w:jc w:val="right"/>
              <w:rPr>
                <w:rFonts w:ascii="Univers" w:hAnsi="Univers"/>
                <w:sz w:val="16"/>
              </w:rPr>
            </w:pPr>
          </w:p>
        </w:tc>
        <w:tc>
          <w:tcPr>
            <w:tcW w:w="198" w:type="dxa"/>
          </w:tcPr>
          <w:p w:rsidR="00000000" w:rsidRDefault="00761D12">
            <w:pPr>
              <w:jc w:val="right"/>
              <w:rPr>
                <w:rFonts w:ascii="Univers" w:hAnsi="Univers"/>
                <w:sz w:val="16"/>
              </w:rPr>
            </w:pPr>
          </w:p>
        </w:tc>
        <w:tc>
          <w:tcPr>
            <w:tcW w:w="701" w:type="dxa"/>
          </w:tcPr>
          <w:p w:rsidR="00000000" w:rsidRDefault="00761D12">
            <w:pPr>
              <w:jc w:val="right"/>
              <w:rPr>
                <w:rFonts w:ascii="Univers" w:hAnsi="Univers"/>
                <w:sz w:val="16"/>
              </w:rPr>
            </w:pPr>
          </w:p>
        </w:tc>
        <w:tc>
          <w:tcPr>
            <w:tcW w:w="167" w:type="dxa"/>
          </w:tcPr>
          <w:p w:rsidR="00000000" w:rsidRDefault="00761D12">
            <w:pPr>
              <w:jc w:val="right"/>
              <w:rPr>
                <w:rFonts w:ascii="Univers" w:hAnsi="Univers"/>
                <w:sz w:val="16"/>
              </w:rPr>
            </w:pPr>
          </w:p>
        </w:tc>
        <w:tc>
          <w:tcPr>
            <w:tcW w:w="625" w:type="dxa"/>
          </w:tcPr>
          <w:p w:rsidR="00000000" w:rsidRDefault="00761D12">
            <w:pPr>
              <w:jc w:val="right"/>
              <w:rPr>
                <w:rFonts w:ascii="Univers" w:hAnsi="Univers"/>
                <w:sz w:val="16"/>
              </w:rPr>
            </w:pPr>
          </w:p>
        </w:tc>
      </w:tr>
      <w:tr w:rsidR="00000000">
        <w:tblPrEx>
          <w:tblCellMar>
            <w:top w:w="0" w:type="dxa"/>
            <w:bottom w:w="0" w:type="dxa"/>
          </w:tblCellMar>
        </w:tblPrEx>
        <w:trPr>
          <w:trHeight w:hRule="exact" w:val="220"/>
          <w:jc w:val="right"/>
        </w:trPr>
        <w:tc>
          <w:tcPr>
            <w:tcW w:w="2491" w:type="dxa"/>
          </w:tcPr>
          <w:p w:rsidR="00000000" w:rsidRDefault="00761D12">
            <w:pPr>
              <w:rPr>
                <w:rFonts w:ascii="Univers" w:hAnsi="Univers"/>
                <w:sz w:val="16"/>
              </w:rPr>
            </w:pPr>
            <w:r>
              <w:rPr>
                <w:rFonts w:ascii="Univers" w:hAnsi="Univers"/>
                <w:sz w:val="16"/>
              </w:rPr>
              <w:t>Year-to-Date Ending</w:t>
            </w:r>
            <w:r>
              <w:rPr>
                <w:rFonts w:ascii="Univers" w:hAnsi="Univers"/>
                <w:sz w:val="16"/>
              </w:rPr>
              <w:t xml:space="preserve"> Balance</w:t>
            </w:r>
          </w:p>
        </w:tc>
        <w:tc>
          <w:tcPr>
            <w:tcW w:w="175" w:type="dxa"/>
          </w:tcPr>
          <w:p w:rsidR="00000000" w:rsidRDefault="00761D12">
            <w:pPr>
              <w:jc w:val="right"/>
              <w:rPr>
                <w:rFonts w:ascii="Univers" w:hAnsi="Univers"/>
                <w:sz w:val="16"/>
              </w:rPr>
            </w:pPr>
          </w:p>
        </w:tc>
        <w:tc>
          <w:tcPr>
            <w:tcW w:w="1015" w:type="dxa"/>
            <w:tcBorders>
              <w:bottom w:val="double" w:sz="6" w:space="0" w:color="auto"/>
            </w:tcBorders>
          </w:tcPr>
          <w:p w:rsidR="00000000" w:rsidRDefault="00761D12">
            <w:pPr>
              <w:jc w:val="right"/>
              <w:rPr>
                <w:rFonts w:ascii="Univers" w:hAnsi="Univers"/>
                <w:sz w:val="16"/>
              </w:rPr>
            </w:pPr>
            <w:r>
              <w:rPr>
                <w:rFonts w:ascii="Univers" w:hAnsi="Univers"/>
                <w:sz w:val="16"/>
              </w:rPr>
              <w:t>$     3.7</w:t>
            </w:r>
          </w:p>
        </w:tc>
        <w:tc>
          <w:tcPr>
            <w:tcW w:w="209" w:type="dxa"/>
          </w:tcPr>
          <w:p w:rsidR="00000000" w:rsidRDefault="00761D12">
            <w:pPr>
              <w:jc w:val="right"/>
              <w:rPr>
                <w:rFonts w:ascii="Univers" w:hAnsi="Univers"/>
                <w:sz w:val="16"/>
              </w:rPr>
            </w:pPr>
          </w:p>
        </w:tc>
        <w:tc>
          <w:tcPr>
            <w:tcW w:w="818" w:type="dxa"/>
            <w:tcBorders>
              <w:bottom w:val="double" w:sz="6" w:space="0" w:color="auto"/>
            </w:tcBorders>
          </w:tcPr>
          <w:p w:rsidR="00000000" w:rsidRDefault="00761D12">
            <w:pPr>
              <w:jc w:val="right"/>
              <w:rPr>
                <w:rFonts w:ascii="Univers" w:hAnsi="Univers"/>
                <w:sz w:val="16"/>
              </w:rPr>
            </w:pPr>
            <w:r>
              <w:rPr>
                <w:rFonts w:ascii="Univers" w:hAnsi="Univers"/>
                <w:sz w:val="16"/>
              </w:rPr>
              <w:t>$  2.9</w:t>
            </w:r>
          </w:p>
        </w:tc>
        <w:tc>
          <w:tcPr>
            <w:tcW w:w="198" w:type="dxa"/>
          </w:tcPr>
          <w:p w:rsidR="00000000" w:rsidRDefault="00761D12">
            <w:pPr>
              <w:jc w:val="right"/>
              <w:rPr>
                <w:rFonts w:ascii="Univers" w:hAnsi="Univers"/>
                <w:sz w:val="16"/>
              </w:rPr>
            </w:pPr>
          </w:p>
        </w:tc>
        <w:tc>
          <w:tcPr>
            <w:tcW w:w="701" w:type="dxa"/>
            <w:tcBorders>
              <w:bottom w:val="double" w:sz="6" w:space="0" w:color="auto"/>
            </w:tcBorders>
          </w:tcPr>
          <w:p w:rsidR="00000000" w:rsidRDefault="00761D12">
            <w:pPr>
              <w:jc w:val="right"/>
              <w:rPr>
                <w:rFonts w:ascii="Univers" w:hAnsi="Univers"/>
                <w:sz w:val="16"/>
              </w:rPr>
            </w:pPr>
            <w:r>
              <w:rPr>
                <w:rFonts w:ascii="Univers" w:hAnsi="Univers"/>
                <w:sz w:val="16"/>
              </w:rPr>
              <w:t>$  -0.7</w:t>
            </w:r>
          </w:p>
        </w:tc>
        <w:tc>
          <w:tcPr>
            <w:tcW w:w="167" w:type="dxa"/>
          </w:tcPr>
          <w:p w:rsidR="00000000" w:rsidRDefault="00761D12">
            <w:pPr>
              <w:jc w:val="right"/>
              <w:rPr>
                <w:rFonts w:ascii="Univers" w:hAnsi="Univers"/>
                <w:sz w:val="16"/>
              </w:rPr>
            </w:pPr>
          </w:p>
        </w:tc>
        <w:tc>
          <w:tcPr>
            <w:tcW w:w="625" w:type="dxa"/>
          </w:tcPr>
          <w:p w:rsidR="00000000" w:rsidRDefault="00761D12">
            <w:pPr>
              <w:jc w:val="right"/>
              <w:rPr>
                <w:rFonts w:ascii="Univers" w:hAnsi="Univers"/>
                <w:sz w:val="16"/>
              </w:rPr>
            </w:pPr>
          </w:p>
        </w:tc>
      </w:tr>
    </w:tbl>
    <w:p w:rsidR="00000000" w:rsidRDefault="00761D12">
      <w:pPr>
        <w:pStyle w:val="space"/>
      </w:pPr>
    </w:p>
    <w:p w:rsidR="00000000" w:rsidRDefault="00761D12">
      <w:pPr>
        <w:pStyle w:val="textup"/>
      </w:pPr>
      <w:r>
        <w:rPr>
          <w:b/>
        </w:rPr>
        <w:lastRenderedPageBreak/>
        <w:t>FY Sales</w:t>
      </w:r>
      <w:r>
        <w:tab/>
        <w:t>Fiscal year sales through August, compared to the same time period of FY 1998, were as follows:</w:t>
      </w:r>
    </w:p>
    <w:p w:rsidR="00000000" w:rsidRDefault="00761D12" w:rsidP="00761D12">
      <w:pPr>
        <w:pStyle w:val="bulletup"/>
        <w:numPr>
          <w:ilvl w:val="0"/>
          <w:numId w:val="1"/>
        </w:numPr>
        <w:spacing w:after="60"/>
      </w:pPr>
      <w:r>
        <w:t>Instant ticket sales decreased $862,000 (5.9%).</w:t>
      </w:r>
    </w:p>
    <w:p w:rsidR="00000000" w:rsidRDefault="00761D12">
      <w:pPr>
        <w:framePr w:hSpace="180" w:wrap="around" w:vAnchor="text" w:hAnchor="page" w:x="1448" w:y="138"/>
      </w:pPr>
      <w:r>
        <w:rPr>
          <w:noProof/>
        </w:rPr>
        <w:drawing>
          <wp:inline distT="0" distB="0" distL="0" distR="0">
            <wp:extent cx="685800" cy="590550"/>
            <wp:effectExtent l="1905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1"/>
                    <a:srcRect/>
                    <a:stretch>
                      <a:fillRect/>
                    </a:stretch>
                  </pic:blipFill>
                  <pic:spPr bwMode="auto">
                    <a:xfrm>
                      <a:off x="0" y="0"/>
                      <a:ext cx="685800" cy="590550"/>
                    </a:xfrm>
                    <a:prstGeom prst="rect">
                      <a:avLst/>
                    </a:prstGeom>
                    <a:noFill/>
                    <a:ln w="9525">
                      <a:noFill/>
                      <a:miter lim="800000"/>
                      <a:headEnd/>
                      <a:tailEnd/>
                    </a:ln>
                  </pic:spPr>
                </pic:pic>
              </a:graphicData>
            </a:graphic>
          </wp:inline>
        </w:drawing>
      </w:r>
    </w:p>
    <w:p w:rsidR="00000000" w:rsidRDefault="00761D12" w:rsidP="00761D12">
      <w:pPr>
        <w:pStyle w:val="bulletup"/>
        <w:numPr>
          <w:ilvl w:val="0"/>
          <w:numId w:val="1"/>
        </w:numPr>
        <w:spacing w:after="60"/>
      </w:pPr>
      <w:r>
        <w:t>Iowa Lotto/Supercash/Pick 3 sales decreased $748,000 (55.6%)</w:t>
      </w:r>
      <w:r>
        <w:t>.</w:t>
      </w:r>
    </w:p>
    <w:p w:rsidR="00000000" w:rsidRDefault="00761D12" w:rsidP="00761D12">
      <w:pPr>
        <w:pStyle w:val="bulletup"/>
        <w:numPr>
          <w:ilvl w:val="0"/>
          <w:numId w:val="1"/>
        </w:numPr>
        <w:spacing w:after="60"/>
      </w:pPr>
      <w:r>
        <w:t>Multi-State Powerball sales increased $9.9 million (189.5%).</w:t>
      </w:r>
    </w:p>
    <w:p w:rsidR="00000000" w:rsidRDefault="00761D12" w:rsidP="00761D12">
      <w:pPr>
        <w:pStyle w:val="bulletup"/>
        <w:numPr>
          <w:ilvl w:val="0"/>
          <w:numId w:val="1"/>
        </w:numPr>
        <w:spacing w:after="60"/>
      </w:pPr>
      <w:r>
        <w:t>Multi-State Daily Millions/Cash 4 Life sales decreased $90,000 (9.5%).</w:t>
      </w:r>
    </w:p>
    <w:p w:rsidR="00000000" w:rsidRDefault="00761D12" w:rsidP="00761D12">
      <w:pPr>
        <w:pStyle w:val="bulletup"/>
        <w:numPr>
          <w:ilvl w:val="0"/>
          <w:numId w:val="1"/>
        </w:numPr>
        <w:spacing w:after="60"/>
      </w:pPr>
      <w:r>
        <w:t>Daily Game sales decreased $92,000 (10.6%).</w:t>
      </w:r>
    </w:p>
    <w:p w:rsidR="00000000" w:rsidRDefault="00761D12" w:rsidP="00761D12">
      <w:pPr>
        <w:pStyle w:val="bulletup"/>
        <w:numPr>
          <w:ilvl w:val="0"/>
          <w:numId w:val="1"/>
        </w:numPr>
        <w:spacing w:after="60"/>
      </w:pPr>
      <w:r>
        <w:t>Pull-tab sales increased $746,000 (19.3%).</w:t>
      </w:r>
    </w:p>
    <w:p w:rsidR="00000000" w:rsidRDefault="00761D12">
      <w:pPr>
        <w:pStyle w:val="textup"/>
      </w:pPr>
      <w:r>
        <w:rPr>
          <w:b/>
        </w:rPr>
        <w:t>August Sales</w:t>
      </w:r>
      <w:r>
        <w:tab/>
        <w:t>Total Lottery sales fo</w:t>
      </w:r>
      <w:r>
        <w:t>r August were above August 1997 by $27,000 (0.2%).  August 1998 sales for all games except Powerball and Pull-Tabs were below August 1997.</w:t>
      </w:r>
    </w:p>
    <w:p w:rsidR="00000000" w:rsidRDefault="00761D12">
      <w:pPr>
        <w:framePr w:w="501" w:h="1159" w:hSpace="180" w:wrap="around" w:vAnchor="text" w:hAnchor="page" w:x="1491" w:y="551"/>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4325" cy="447675"/>
            <wp:effectExtent l="1905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a:srcRect/>
                    <a:stretch>
                      <a:fillRect/>
                    </a:stretch>
                  </pic:blipFill>
                  <pic:spPr bwMode="auto">
                    <a:xfrm>
                      <a:off x="0" y="0"/>
                      <a:ext cx="314325" cy="447675"/>
                    </a:xfrm>
                    <a:prstGeom prst="rect">
                      <a:avLst/>
                    </a:prstGeom>
                    <a:noFill/>
                    <a:ln w="9525">
                      <a:noFill/>
                      <a:miter lim="800000"/>
                      <a:headEnd/>
                      <a:tailEnd/>
                    </a:ln>
                  </pic:spPr>
                </pic:pic>
              </a:graphicData>
            </a:graphic>
          </wp:inline>
        </w:drawing>
      </w:r>
    </w:p>
    <w:p w:rsidR="00000000" w:rsidRDefault="00761D12">
      <w:pPr>
        <w:pStyle w:val="textup"/>
      </w:pPr>
      <w:r>
        <w:rPr>
          <w:b/>
        </w:rPr>
        <w:t>REC Projections</w:t>
      </w:r>
      <w:r>
        <w:t xml:space="preserve"> </w:t>
      </w:r>
      <w:r>
        <w:tab/>
        <w:t>The September Revenue Estimating Conference (REC) projected FY 1999 Lottery profits will total $34</w:t>
      </w:r>
      <w:r>
        <w:t xml:space="preserve">.4 million.  Of this amount, $33.9 million is to be transferred to the General Fund and three-tenths of one percent of gross Lottery sales transferred to the Gambler’s Assistance Fund (approximately $530,000).  Actual profit transfer for FY 1998 was $34.7 </w:t>
      </w:r>
      <w:r>
        <w:t xml:space="preserve">million.  </w:t>
      </w:r>
    </w:p>
    <w:p w:rsidR="00000000" w:rsidRDefault="00761D12">
      <w:pPr>
        <w:pStyle w:val="textup"/>
        <w:rPr>
          <w:b/>
        </w:rPr>
      </w:pPr>
      <w:r>
        <w:rPr>
          <w:b/>
        </w:rPr>
        <w:t>Lottery Expenditures</w:t>
      </w:r>
      <w:r>
        <w:tab/>
        <w:t xml:space="preserve">The following chart shows the annual percent of Lottery revenue expended on prizes, administration, profit transfers to other State funds, and sales tax.  The FY 1999 figure is through August and the previous year’s figures </w:t>
      </w:r>
      <w:r>
        <w:t>are year-end.</w:t>
      </w:r>
    </w:p>
    <w:p w:rsidR="00000000" w:rsidRDefault="00761D12">
      <w:pPr>
        <w:pStyle w:val="textup"/>
        <w:jc w:val="right"/>
        <w:rPr>
          <w:b/>
        </w:rPr>
      </w:pPr>
      <w:r>
        <w:rPr>
          <w:noProof/>
        </w:rPr>
        <w:drawing>
          <wp:inline distT="0" distB="0" distL="0" distR="0">
            <wp:extent cx="4143375" cy="277177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2"/>
                    <a:srcRect/>
                    <a:stretch>
                      <a:fillRect/>
                    </a:stretch>
                  </pic:blipFill>
                  <pic:spPr bwMode="auto">
                    <a:xfrm>
                      <a:off x="0" y="0"/>
                      <a:ext cx="4143375" cy="2771775"/>
                    </a:xfrm>
                    <a:prstGeom prst="rect">
                      <a:avLst/>
                    </a:prstGeom>
                    <a:noFill/>
                    <a:ln w="9525">
                      <a:noFill/>
                      <a:miter lim="800000"/>
                      <a:headEnd/>
                      <a:tailEnd/>
                    </a:ln>
                  </pic:spPr>
                </pic:pic>
              </a:graphicData>
            </a:graphic>
          </wp:inline>
        </w:drawing>
      </w:r>
    </w:p>
    <w:p w:rsidR="00000000" w:rsidRDefault="00761D12">
      <w:pPr>
        <w:pStyle w:val="textup"/>
      </w:pPr>
      <w:r>
        <w:rPr>
          <w:b/>
        </w:rPr>
        <w:t>Sales Tax Paid</w:t>
      </w:r>
      <w:r>
        <w:tab/>
        <w:t>In addition to the amount transferred to the State as profits, the Lottery has paid $1.8 million in sales tax during FY 1999.</w:t>
      </w:r>
    </w:p>
    <w:p w:rsidR="00000000" w:rsidRDefault="00761D12">
      <w:pPr>
        <w:pStyle w:val="Contactup"/>
      </w:pPr>
      <w:r>
        <w:t>STAFF CONTACT:  Jeff Robinson (Ext. 14614)</w:t>
      </w:r>
    </w:p>
    <w:p w:rsidR="00000000" w:rsidRDefault="00761D12">
      <w:pPr>
        <w:pStyle w:val="Blurbtitle"/>
      </w:pPr>
      <w:bookmarkStart w:id="8" w:name="FU10MASA"/>
      <w:r>
        <w:lastRenderedPageBreak/>
        <w:t>Federal Education Block Grant Bill Receives House Approv</w:t>
      </w:r>
      <w:r>
        <w:t>al</w:t>
      </w:r>
      <w:bookmarkEnd w:id="8"/>
    </w:p>
    <w:p w:rsidR="00000000" w:rsidRDefault="00761D12">
      <w:pPr>
        <w:pStyle w:val="textup"/>
      </w:pPr>
      <w:r>
        <w:rPr>
          <w:b/>
        </w:rPr>
        <w:t>Federal Action</w:t>
      </w:r>
      <w:r>
        <w:tab/>
        <w:t>The House of Representatives approved HR3248 (Dollars to the Classroom) on September 18.  The Bill provides for block grants of several education program funds, including Goals 2000, Title VI, part of Title I, and School-to-Work.  Total a</w:t>
      </w:r>
      <w:r>
        <w:t>llocations in the Bill, as passed by the House, are $2.1 billion, which is a decrease of $0.5 billion (19.9%) compared to current law allocations.</w:t>
      </w:r>
    </w:p>
    <w:p w:rsidR="00000000" w:rsidRDefault="00761D12">
      <w:pPr>
        <w:framePr w:w="945" w:h="1009" w:hSpace="180" w:wrap="around" w:vAnchor="text" w:hAnchor="page" w:x="1477" w:y="663"/>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noProof/>
        </w:rPr>
        <w:drawing>
          <wp:inline distT="0" distB="0" distL="0" distR="0">
            <wp:extent cx="619125" cy="400050"/>
            <wp:effectExtent l="1905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3"/>
                    <a:srcRect/>
                    <a:stretch>
                      <a:fillRect/>
                    </a:stretch>
                  </pic:blipFill>
                  <pic:spPr bwMode="auto">
                    <a:xfrm>
                      <a:off x="0" y="0"/>
                      <a:ext cx="619125" cy="400050"/>
                    </a:xfrm>
                    <a:prstGeom prst="rect">
                      <a:avLst/>
                    </a:prstGeom>
                    <a:noFill/>
                    <a:ln w="9525">
                      <a:noFill/>
                      <a:miter lim="800000"/>
                      <a:headEnd/>
                      <a:tailEnd/>
                    </a:ln>
                  </pic:spPr>
                </pic:pic>
              </a:graphicData>
            </a:graphic>
          </wp:inline>
        </w:drawing>
      </w:r>
    </w:p>
    <w:p w:rsidR="00000000" w:rsidRDefault="00761D12">
      <w:pPr>
        <w:pStyle w:val="textup"/>
      </w:pPr>
      <w:r>
        <w:rPr>
          <w:b/>
        </w:rPr>
        <w:t>Impact on Iowa</w:t>
      </w:r>
      <w:r>
        <w:tab/>
        <w:t>In addition, with the conversion to block grants, the new allocation for Iowa’s share is $18</w:t>
      </w:r>
      <w:r>
        <w:t>.5 million, a decrease of $19.8 million (51.8%).  Only two other states, Alaska (-63.9%) and Hawaii (-77.8%), would lose a larger percentage.  The reason for the decrease is the change to an allocation formula based on population and poverty ratios.  Iowa’</w:t>
      </w:r>
      <w:r>
        <w:t>s population is declining and the percentage of poverty in Iowa is low compared to most states.</w:t>
      </w:r>
    </w:p>
    <w:p w:rsidR="00000000" w:rsidRDefault="00761D12">
      <w:pPr>
        <w:pStyle w:val="textup"/>
      </w:pPr>
      <w:r>
        <w:rPr>
          <w:b/>
        </w:rPr>
        <w:t>Other Federal Funds</w:t>
      </w:r>
      <w:r>
        <w:tab/>
        <w:t>However, the Bill only addresses a portion of the federal funds that flow to Iowa.  The Iowa Department of Education estimates that approxim</w:t>
      </w:r>
      <w:r>
        <w:t>ately $211.4 million of federal education funds come to Iowa.  More than 90.0% of these funds flow directly or indirectly to schools in several major programs, including:</w:t>
      </w:r>
    </w:p>
    <w:p w:rsidR="00000000" w:rsidRDefault="00761D12" w:rsidP="00761D12">
      <w:pPr>
        <w:pStyle w:val="bulletup"/>
        <w:numPr>
          <w:ilvl w:val="0"/>
          <w:numId w:val="1"/>
        </w:numPr>
      </w:pPr>
      <w:r>
        <w:t>$65.6 million for food and nutrition (including free and reduced lunch).</w:t>
      </w:r>
    </w:p>
    <w:p w:rsidR="00000000" w:rsidRDefault="00761D12" w:rsidP="00761D12">
      <w:pPr>
        <w:pStyle w:val="bulletup"/>
        <w:numPr>
          <w:ilvl w:val="0"/>
          <w:numId w:val="1"/>
        </w:numPr>
      </w:pPr>
      <w:r>
        <w:t>$50.7 millio</w:t>
      </w:r>
      <w:r>
        <w:t>n for special education.</w:t>
      </w:r>
    </w:p>
    <w:p w:rsidR="00000000" w:rsidRDefault="00761D12" w:rsidP="00761D12">
      <w:pPr>
        <w:pStyle w:val="bulletup"/>
        <w:numPr>
          <w:ilvl w:val="0"/>
          <w:numId w:val="1"/>
        </w:numPr>
      </w:pPr>
      <w:r>
        <w:t xml:space="preserve">$53.3 million for Title I.  Title I includes funding for reading, math, and science programs for disadvantaged students.  School districts receive these funds by formula based on the percentage of students in poverty as determined </w:t>
      </w:r>
      <w:r>
        <w:t>by the free and reduced lunch program qualifications.  A portion of these funds would be affected by HR 3248, but the majority of Iowa’s Title I funds are protected by a “hold harmless” clause that guarantees the same amount of funding as the previous year</w:t>
      </w:r>
      <w:r>
        <w:t>.</w:t>
      </w:r>
    </w:p>
    <w:p w:rsidR="00000000" w:rsidRDefault="00761D12" w:rsidP="00761D12">
      <w:pPr>
        <w:pStyle w:val="bulletup"/>
        <w:numPr>
          <w:ilvl w:val="0"/>
          <w:numId w:val="1"/>
        </w:numPr>
      </w:pPr>
      <w:r>
        <w:t>$13.2 million of Perkins vocational education funds.</w:t>
      </w:r>
    </w:p>
    <w:p w:rsidR="00000000" w:rsidRDefault="00761D12">
      <w:pPr>
        <w:pStyle w:val="textup"/>
      </w:pPr>
      <w:r>
        <w:rPr>
          <w:b/>
        </w:rPr>
        <w:t xml:space="preserve">No Senate Action </w:t>
      </w:r>
      <w:r>
        <w:tab/>
        <w:t>The Senate has yet to take action on this Bill.</w:t>
      </w:r>
    </w:p>
    <w:p w:rsidR="00000000" w:rsidRDefault="00761D12">
      <w:pPr>
        <w:pStyle w:val="textup"/>
      </w:pPr>
      <w:r>
        <w:rPr>
          <w:b/>
        </w:rPr>
        <w:t>More Information</w:t>
      </w:r>
      <w:r>
        <w:tab/>
        <w:t>Additional information is available from the LFB.</w:t>
      </w:r>
    </w:p>
    <w:p w:rsidR="00000000" w:rsidRDefault="00761D12">
      <w:pPr>
        <w:pStyle w:val="Contactup"/>
      </w:pPr>
      <w:r>
        <w:t>STAFF CONTACT:  Mary Shipman (Ext. 14617)</w:t>
      </w:r>
    </w:p>
    <w:p w:rsidR="00000000" w:rsidRDefault="00761D12">
      <w:pPr>
        <w:pStyle w:val="Blurbtitle"/>
      </w:pPr>
      <w:bookmarkStart w:id="9" w:name="FU10MDFA"/>
      <w:r>
        <w:t>1998 Inmate Profile</w:t>
      </w:r>
      <w:bookmarkEnd w:id="9"/>
    </w:p>
    <w:p w:rsidR="00000000" w:rsidRDefault="00761D12">
      <w:pPr>
        <w:framePr w:w="792" w:h="864" w:hSpace="187" w:wrap="around" w:vAnchor="page" w:hAnchor="page" w:x="1490" w:y="13249"/>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504825" cy="514350"/>
            <wp:effectExtent l="1905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4"/>
                    <a:srcRect/>
                    <a:stretch>
                      <a:fillRect/>
                    </a:stretch>
                  </pic:blipFill>
                  <pic:spPr bwMode="auto">
                    <a:xfrm>
                      <a:off x="0" y="0"/>
                      <a:ext cx="504825" cy="514350"/>
                    </a:xfrm>
                    <a:prstGeom prst="rect">
                      <a:avLst/>
                    </a:prstGeom>
                    <a:noFill/>
                    <a:ln w="9525">
                      <a:noFill/>
                      <a:miter lim="800000"/>
                      <a:headEnd/>
                      <a:tailEnd/>
                    </a:ln>
                  </pic:spPr>
                </pic:pic>
              </a:graphicData>
            </a:graphic>
          </wp:inline>
        </w:drawing>
      </w:r>
    </w:p>
    <w:p w:rsidR="00000000" w:rsidRDefault="00761D12">
      <w:pPr>
        <w:pStyle w:val="textup"/>
      </w:pPr>
      <w:r>
        <w:rPr>
          <w:b/>
        </w:rPr>
        <w:t>Repo</w:t>
      </w:r>
      <w:r>
        <w:rPr>
          <w:b/>
        </w:rPr>
        <w:t>rt Issued</w:t>
      </w:r>
      <w:r>
        <w:tab/>
        <w:t xml:space="preserve">The Criminal and Juvenile Justice Planning Division, Department of Human Rights, has issued </w:t>
      </w:r>
      <w:r>
        <w:rPr>
          <w:u w:val="single"/>
        </w:rPr>
        <w:t>State of Iowa:  1998 Inmate Profile</w:t>
      </w:r>
      <w:r>
        <w:t>.  The report summarizes offenses, demographics, and other characteristics of the midyear prison inmate population.  Hi</w:t>
      </w:r>
      <w:r>
        <w:t>ghlights of the report include:</w:t>
      </w:r>
    </w:p>
    <w:p w:rsidR="00000000" w:rsidRDefault="00761D12" w:rsidP="00761D12">
      <w:pPr>
        <w:pStyle w:val="bulletup"/>
        <w:numPr>
          <w:ilvl w:val="0"/>
          <w:numId w:val="1"/>
        </w:numPr>
      </w:pPr>
      <w:r>
        <w:t>Drug crimes show the most rapid growth rate over the last five years, increasing from 12.0% of the inmate population to 18.0%.</w:t>
      </w:r>
    </w:p>
    <w:p w:rsidR="00000000" w:rsidRDefault="00761D12" w:rsidP="00761D12">
      <w:pPr>
        <w:pStyle w:val="bulletup"/>
        <w:numPr>
          <w:ilvl w:val="0"/>
          <w:numId w:val="1"/>
        </w:numPr>
      </w:pPr>
      <w:r>
        <w:lastRenderedPageBreak/>
        <w:t>Less than half (42.0%) of Iowa’s inmates’ most serious crime was a “crime against persons,” a 2.0</w:t>
      </w:r>
      <w:r>
        <w:t xml:space="preserve">% decrease over the last five years. </w:t>
      </w:r>
    </w:p>
    <w:p w:rsidR="00000000" w:rsidRDefault="00761D12" w:rsidP="00761D12">
      <w:pPr>
        <w:pStyle w:val="bulletup"/>
        <w:numPr>
          <w:ilvl w:val="0"/>
          <w:numId w:val="1"/>
        </w:numPr>
      </w:pPr>
      <w:r>
        <w:t>Between June 1993 and June 1998, the “lifer” population has grown by 117 inmates to a total of 480 lifers.</w:t>
      </w:r>
    </w:p>
    <w:p w:rsidR="00000000" w:rsidRDefault="00761D12" w:rsidP="00761D12">
      <w:pPr>
        <w:pStyle w:val="bulletup"/>
        <w:numPr>
          <w:ilvl w:val="0"/>
          <w:numId w:val="1"/>
        </w:numPr>
      </w:pPr>
      <w:r>
        <w:t>Over the past five years, inmates with mandatory minimum sentences have increased by 670 offenders to a total o</w:t>
      </w:r>
      <w:r>
        <w:t xml:space="preserve">f 1,416 inmates.  </w:t>
      </w:r>
    </w:p>
    <w:p w:rsidR="00000000" w:rsidRDefault="00761D12" w:rsidP="00761D12">
      <w:pPr>
        <w:pStyle w:val="bulletup"/>
        <w:numPr>
          <w:ilvl w:val="0"/>
          <w:numId w:val="1"/>
        </w:numPr>
      </w:pPr>
      <w:r>
        <w:t>The female inmate population is increasing at a faster rate than the male population.  Five years ago, women made up 6.0% of the inmate population; now they comprise 8.0% of the prison inmates.</w:t>
      </w:r>
    </w:p>
    <w:p w:rsidR="00000000" w:rsidRDefault="00761D12" w:rsidP="00761D12">
      <w:pPr>
        <w:pStyle w:val="bulletup"/>
        <w:numPr>
          <w:ilvl w:val="0"/>
          <w:numId w:val="1"/>
        </w:numPr>
      </w:pPr>
      <w:r>
        <w:t>The inmate population is aging.  Five years</w:t>
      </w:r>
      <w:r>
        <w:t xml:space="preserve"> ago, one-fourth of the inmates were between the ages of 35 and 60.  Now approximately one-third of the inmates fall in this age group.</w:t>
      </w:r>
    </w:p>
    <w:p w:rsidR="00000000" w:rsidRDefault="00761D12">
      <w:pPr>
        <w:pStyle w:val="Contactup"/>
        <w:ind w:right="-900"/>
      </w:pPr>
      <w:r>
        <w:t>STAFF CONTACT:  Dwayne Ferguson (Ext. 16561)  Christina Schaefer (Ext. 16301)</w:t>
      </w:r>
    </w:p>
    <w:p w:rsidR="00000000" w:rsidRDefault="00761D12">
      <w:pPr>
        <w:pStyle w:val="Blurbtitle"/>
      </w:pPr>
      <w:bookmarkStart w:id="10" w:name="FU9SLLC"/>
      <w:r>
        <w:rPr>
          <w:i/>
        </w:rPr>
        <w:t>Issue Review</w:t>
      </w:r>
      <w:r>
        <w:t xml:space="preserve"> Released - Iowa State Univers</w:t>
      </w:r>
      <w:r>
        <w:t>ity Cooperative Extension Program</w:t>
      </w:r>
      <w:bookmarkEnd w:id="10"/>
    </w:p>
    <w:p w:rsidR="00000000" w:rsidRDefault="00761D12">
      <w:pPr>
        <w:framePr w:w="943" w:h="916" w:hSpace="180" w:wrap="around" w:vAnchor="text" w:hAnchor="page" w:x="1297" w:y="515"/>
      </w:pPr>
      <w:r>
        <w:object w:dxaOrig="1082" w:dyaOrig="943">
          <v:shape id="_x0000_i1047" type="#_x0000_t75" style="width:54pt;height:39.75pt" o:ole="">
            <v:imagedata r:id="rId35" o:title=""/>
          </v:shape>
          <o:OLEObject Type="Embed" ProgID="Word.Document.8" ShapeID="_x0000_i1047" DrawAspect="Content" ObjectID="_1314615228" r:id="rId36"/>
        </w:object>
      </w:r>
    </w:p>
    <w:p w:rsidR="00000000" w:rsidRDefault="00761D12">
      <w:pPr>
        <w:pStyle w:val="textup"/>
      </w:pPr>
      <w:r>
        <w:rPr>
          <w:b/>
          <w:i/>
        </w:rPr>
        <w:t>Issue Review</w:t>
      </w:r>
      <w:r>
        <w:tab/>
        <w:t xml:space="preserve">The Legislative Fiscal Bureau (LFB) has completed an </w:t>
      </w:r>
      <w:r>
        <w:rPr>
          <w:b/>
          <w:i/>
        </w:rPr>
        <w:t>Issue Review</w:t>
      </w:r>
      <w:r>
        <w:t xml:space="preserve"> regarding the Iowa State University Cooperative Extension Program.  The report reviews the various programs and ser</w:t>
      </w:r>
      <w:r>
        <w:t>vices provided by the Extension Program.  Copies of the report are available upon request from the LFB.</w:t>
      </w:r>
    </w:p>
    <w:p w:rsidR="00000000" w:rsidRDefault="00761D12">
      <w:pPr>
        <w:pStyle w:val="Contactup"/>
      </w:pPr>
      <w:r>
        <w:t>STAFF CONTACT:  Sue Lerdal  (Ext. 17794)</w:t>
      </w:r>
    </w:p>
    <w:p w:rsidR="00000000" w:rsidRDefault="00761D12">
      <w:pPr>
        <w:pStyle w:val="Blurbtitle"/>
      </w:pPr>
      <w:bookmarkStart w:id="11" w:name="FU9SLLD"/>
      <w:r>
        <w:rPr>
          <w:i/>
        </w:rPr>
        <w:t>Issue Review</w:t>
      </w:r>
      <w:r>
        <w:t xml:space="preserve"> Released - Regents Graduate Study Centers</w:t>
      </w:r>
      <w:bookmarkEnd w:id="11"/>
    </w:p>
    <w:p w:rsidR="00000000" w:rsidRDefault="00761D12">
      <w:pPr>
        <w:framePr w:w="943" w:h="916" w:hSpace="180" w:wrap="around" w:vAnchor="text" w:hAnchor="page" w:x="1297" w:y="465"/>
      </w:pPr>
      <w:r>
        <w:object w:dxaOrig="1082" w:dyaOrig="943">
          <v:shape id="_x0000_i1048" type="#_x0000_t75" style="width:54pt;height:39.75pt" o:ole="">
            <v:imagedata r:id="rId35" o:title=""/>
          </v:shape>
          <o:OLEObject Type="Embed" ProgID="Word.Document.8" ShapeID="_x0000_i1048" DrawAspect="Content" ObjectID="_1314615229" r:id="rId37"/>
        </w:object>
      </w:r>
    </w:p>
    <w:p w:rsidR="00000000" w:rsidRDefault="00761D12">
      <w:pPr>
        <w:pStyle w:val="textup"/>
      </w:pPr>
      <w:r>
        <w:rPr>
          <w:b/>
          <w:i/>
        </w:rPr>
        <w:t>Issue Review</w:t>
      </w:r>
      <w:r>
        <w:tab/>
        <w:t>The Legislative</w:t>
      </w:r>
      <w:r>
        <w:t xml:space="preserve"> Fiscal Bureau (LFB) has completed an </w:t>
      </w:r>
      <w:r>
        <w:rPr>
          <w:b/>
          <w:i/>
        </w:rPr>
        <w:t>Issue Review</w:t>
      </w:r>
      <w:r>
        <w:t xml:space="preserve"> regarding the three graduate study centers providing higher education assistance to citizens of Iowa.  The report includes budgets, numbers of students served, and historical information.  Copies of the re</w:t>
      </w:r>
      <w:r>
        <w:t>port are available upon request from the LFB.</w:t>
      </w:r>
    </w:p>
    <w:p w:rsidR="00000000" w:rsidRDefault="00761D12">
      <w:pPr>
        <w:pStyle w:val="Contactup"/>
      </w:pPr>
      <w:r>
        <w:t>STAFF CONTACT:  Sue Lerdal  (Ext. 17794)</w:t>
      </w:r>
    </w:p>
    <w:p w:rsidR="00000000" w:rsidRDefault="00761D12">
      <w:pPr>
        <w:jc w:val="center"/>
      </w:pPr>
      <w:r>
        <w:rPr>
          <w:b/>
        </w:rPr>
        <w:br w:type="page"/>
      </w:r>
    </w:p>
    <w:p w:rsidR="00000000" w:rsidRDefault="00761D12">
      <w:pPr>
        <w:pStyle w:val="ISSUE"/>
        <w:framePr w:wrap="around"/>
        <w:sectPr w:rsidR="00000000">
          <w:headerReference w:type="even" r:id="rId38"/>
          <w:headerReference w:type="default" r:id="rId39"/>
          <w:type w:val="continuous"/>
          <w:pgSz w:w="12240" w:h="15840" w:code="1"/>
          <w:pgMar w:top="1440" w:right="1440" w:bottom="1440" w:left="3960" w:header="720" w:footer="720" w:gutter="0"/>
          <w:cols w:space="720"/>
          <w:titlePg/>
        </w:sectPr>
      </w:pPr>
    </w:p>
    <w:p w:rsidR="00000000" w:rsidRDefault="00761D12"/>
    <w:sectPr w:rsidR="00000000">
      <w:type w:val="continuous"/>
      <w:pgSz w:w="12240" w:h="15840" w:code="1"/>
      <w:pgMar w:top="1440" w:right="1440" w:bottom="1440" w:left="4320" w:header="634"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761D12">
      <w:r>
        <w:separator/>
      </w:r>
    </w:p>
  </w:endnote>
  <w:endnote w:type="continuationSeparator" w:id="1">
    <w:p w:rsidR="00000000" w:rsidRDefault="00761D1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Univers">
    <w:panose1 w:val="020B0603020202030204"/>
    <w:charset w:val="00"/>
    <w:family w:val="swiss"/>
    <w:pitch w:val="variable"/>
    <w:sig w:usb0="00000007" w:usb1="00000000" w:usb2="00000000" w:usb3="00000000" w:csb0="00000093" w:csb1="00000000"/>
  </w:font>
  <w:font w:name="Univers (W1)">
    <w:altName w:val="Arial"/>
    <w:panose1 w:val="00000000000000000000"/>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W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761D12">
      <w:r>
        <w:separator/>
      </w:r>
    </w:p>
  </w:footnote>
  <w:footnote w:type="continuationSeparator" w:id="1">
    <w:p w:rsidR="00000000" w:rsidRDefault="00761D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61D12">
    <w:pPr>
      <w:pStyle w:val="Header"/>
    </w:pPr>
    <w:r>
      <w:t>FISCAL UPDATE</w:t>
    </w:r>
  </w:p>
  <w:p w:rsidR="00000000" w:rsidRDefault="00761D12">
    <w:pPr>
      <w:pStyle w:val="pagenumber6"/>
    </w:pPr>
    <w:bookmarkStart w:id="12" w:name="HeaderEvenLockDate"/>
    <w:r>
      <w:rPr>
        <w:rFonts w:ascii="Times New Roman" w:hAnsi="Times New Roman"/>
        <w:noProof/>
      </w:rPr>
      <w:pict>
        <v:line id="_x0000_s1025" style="position:absolute;left:0;text-align:left;z-index:251657216;mso-position-horizontal:absolute;mso-position-horizontal-relative:text;mso-position-vertical:absolute;mso-position-vertical-relative:text" from="-2in,21.65pt" to="345.65pt,21.7pt" o:allowincell="f" strokeweight="2pt">
          <v:stroke startarrowwidth="narrow" startarrowlength="short" endarrowwidth="narrow" endarrowlength="short"/>
        </v:line>
      </w:pict>
    </w:r>
    <w:r>
      <w:rPr>
        <w:noProof/>
      </w:rPr>
      <w:t>October 05, 1998</w:t>
    </w:r>
    <w:bookmarkEnd w:id="12"/>
    <w:r>
      <w:tab/>
      <w:t xml:space="preserve">          </w:t>
    </w:r>
    <w:r>
      <w:rPr>
        <w:rStyle w:val="PageNumber"/>
        <w:b w:val="0"/>
      </w:rPr>
      <w:fldChar w:fldCharType="begin"/>
    </w:r>
    <w:r>
      <w:rPr>
        <w:rStyle w:val="PageNumber"/>
        <w:b w:val="0"/>
      </w:rPr>
      <w:instrText xml:space="preserve"> PAGE </w:instrText>
    </w:r>
    <w:r>
      <w:rPr>
        <w:rStyle w:val="PageNumber"/>
        <w:b w:val="0"/>
      </w:rPr>
      <w:fldChar w:fldCharType="separate"/>
    </w:r>
    <w:r>
      <w:rPr>
        <w:rStyle w:val="PageNumber"/>
        <w:b w:val="0"/>
        <w:noProof/>
      </w:rPr>
      <w:t>12</w:t>
    </w:r>
    <w:r>
      <w:rPr>
        <w:rStyle w:val="PageNumber"/>
        <w:b w:val="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61D12">
    <w:pPr>
      <w:pStyle w:val="Header7"/>
    </w:pPr>
    <w:r>
      <w:t>FISCAL UPDATE</w:t>
    </w:r>
  </w:p>
  <w:p w:rsidR="00000000" w:rsidRDefault="00761D12">
    <w:pPr>
      <w:pStyle w:val="Header7"/>
      <w:rPr>
        <w:rStyle w:val="PageNumber"/>
      </w:rPr>
    </w:pPr>
    <w:r>
      <w:rPr>
        <w:rStyle w:val="PageNumber"/>
        <w:b w:val="0"/>
      </w:rPr>
      <w:t xml:space="preserve">                      </w:t>
    </w:r>
    <w:r>
      <w:rPr>
        <w:rStyle w:val="PageNumber"/>
        <w:b w:val="0"/>
      </w:rPr>
      <w:fldChar w:fldCharType="begin"/>
    </w:r>
    <w:r>
      <w:rPr>
        <w:rStyle w:val="PageNumber"/>
        <w:b w:val="0"/>
      </w:rPr>
      <w:instrText xml:space="preserve"> PAGE </w:instrText>
    </w:r>
    <w:r>
      <w:rPr>
        <w:rStyle w:val="PageNumber"/>
        <w:b w:val="0"/>
      </w:rPr>
      <w:fldChar w:fldCharType="separate"/>
    </w:r>
    <w:r>
      <w:rPr>
        <w:rStyle w:val="PageNumber"/>
        <w:b w:val="0"/>
        <w:noProof/>
      </w:rPr>
      <w:t>11</w:t>
    </w:r>
    <w:r>
      <w:rPr>
        <w:rStyle w:val="PageNumber"/>
        <w:b w:val="0"/>
      </w:rPr>
      <w:fldChar w:fldCharType="end"/>
    </w:r>
    <w:r>
      <w:rPr>
        <w:rStyle w:val="PageNumber"/>
        <w:b w:val="0"/>
      </w:rPr>
      <w:t xml:space="preserve">                                   </w:t>
    </w:r>
    <w:r>
      <w:rPr>
        <w:rStyle w:val="PageNumber"/>
        <w:noProof/>
      </w:rPr>
      <w:t>October 05, 1998</w:t>
    </w:r>
  </w:p>
  <w:p w:rsidR="00000000" w:rsidRDefault="00761D12">
    <w:pPr>
      <w:pStyle w:val="Header7"/>
    </w:pPr>
    <w:r>
      <w:rPr>
        <w:noProof/>
      </w:rPr>
      <w:pict>
        <v:line id="_x0000_s1026" style="position:absolute;left:0;text-align:left;z-index:251658240;mso-position-horizontal:absolute;mso-position-horizontal-relative:text;mso-position-vertical:absolute;mso-position-vertical-relative:text" from="-140.4pt,7.25pt" to="349.25pt,7.3pt" o:allowincell="f" strokeweight="2pt">
          <v:stroke startarrowwidth="narrow" startarrowlength="short" endarrowwidth="narrow" endarrowlength="short"/>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sz w:val="18"/>
        </w:rPr>
      </w:lvl>
    </w:lvlOverride>
  </w:num>
  <w:num w:numId="2">
    <w:abstractNumId w:val="0"/>
    <w:lvlOverride w:ilvl="0">
      <w:lvl w:ilvl="0">
        <w:start w:val="1"/>
        <w:numFmt w:val="bullet"/>
        <w:lvlText w:val=""/>
        <w:legacy w:legacy="1" w:legacySpace="0" w:legacyIndent="360"/>
        <w:lvlJc w:val="left"/>
        <w:pPr>
          <w:ind w:left="792" w:hanging="360"/>
        </w:pPr>
        <w:rPr>
          <w:rFonts w:ascii="Symbol" w:hAnsi="Symbol" w:hint="default"/>
          <w:sz w:val="12"/>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linkStyles/>
  <w:defaultTabStop w:val="720"/>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1"/>
    </o:shapelayout>
  </w:hdrShapeDefaults>
  <w:footnotePr>
    <w:footnote w:id="0"/>
    <w:footnote w:id="1"/>
  </w:footnotePr>
  <w:endnotePr>
    <w:endnote w:id="0"/>
    <w:endnote w:id="1"/>
  </w:endnotePr>
  <w:compat/>
  <w:rsids>
    <w:rsidRoot w:val="00761D12"/>
    <w:rsid w:val="00761D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rPr>
  </w:style>
  <w:style w:type="paragraph" w:styleId="Heading1">
    <w:name w:val="heading 1"/>
    <w:basedOn w:val="Normal"/>
    <w:qFormat/>
    <w:pPr>
      <w:keepNext/>
      <w:spacing w:after="60"/>
      <w:outlineLvl w:val="0"/>
    </w:pPr>
    <w:rPr>
      <w:rFonts w:ascii="Univers" w:hAnsi="Univers"/>
      <w:b/>
      <w:caps/>
      <w:kern w:val="28"/>
      <w:sz w:val="24"/>
    </w:rPr>
  </w:style>
  <w:style w:type="paragraph" w:styleId="Heading2">
    <w:name w:val="heading 2"/>
    <w:basedOn w:val="Normal"/>
    <w:next w:val="Normal"/>
    <w:qFormat/>
    <w:pPr>
      <w:keepNext/>
      <w:spacing w:before="240" w:after="60"/>
      <w:outlineLvl w:val="1"/>
    </w:pPr>
    <w:rPr>
      <w:rFonts w:ascii="Univers (W1)" w:hAnsi="Univers (W1)"/>
      <w:b/>
      <w:i/>
      <w:sz w:val="24"/>
    </w:rPr>
  </w:style>
  <w:style w:type="paragraph" w:styleId="Heading3">
    <w:name w:val="heading 3"/>
    <w:basedOn w:val="Normal"/>
    <w:next w:val="Normal"/>
    <w:qFormat/>
    <w:pPr>
      <w:keepNext/>
      <w:spacing w:before="240" w:after="60"/>
      <w:outlineLvl w:val="2"/>
    </w:pPr>
    <w:rPr>
      <w:rFonts w:ascii="CG Times (W1)" w:hAnsi="CG Times (W1)"/>
      <w:b/>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1440"/>
        <w:tab w:val="right" w:pos="8640"/>
      </w:tabs>
      <w:ind w:left="-2880"/>
    </w:pPr>
    <w:rPr>
      <w:rFonts w:ascii="Univers" w:hAnsi="Univers"/>
      <w:b/>
      <w:sz w:val="24"/>
    </w:rPr>
  </w:style>
  <w:style w:type="paragraph" w:customStyle="1" w:styleId="TITLEup">
    <w:name w:val="TITLEup"/>
    <w:basedOn w:val="Normal"/>
    <w:pPr>
      <w:framePr w:w="12160" w:h="2305" w:hSpace="180" w:wrap="around" w:vAnchor="text" w:hAnchor="page" w:x="41" w:y="-719"/>
      <w:pBdr>
        <w:top w:val="single" w:sz="6" w:space="1" w:color="auto"/>
        <w:left w:val="single" w:sz="6" w:space="1" w:color="auto"/>
        <w:bottom w:val="single" w:sz="6" w:space="1" w:color="auto"/>
        <w:right w:val="single" w:sz="6" w:space="1" w:color="auto"/>
      </w:pBdr>
      <w:ind w:left="720" w:right="720"/>
    </w:pPr>
    <w:rPr>
      <w:rFonts w:ascii="Univers" w:hAnsi="Univers"/>
      <w:b/>
      <w:sz w:val="72"/>
    </w:rPr>
  </w:style>
  <w:style w:type="paragraph" w:customStyle="1" w:styleId="TITLE3up">
    <w:name w:val="TITLE3up"/>
    <w:basedOn w:val="Normal"/>
    <w:pPr>
      <w:framePr w:w="12125" w:h="720" w:hSpace="187" w:wrap="around" w:vAnchor="text" w:hAnchor="page" w:x="44" w:y="145"/>
      <w:shd w:val="pct20" w:color="auto" w:fill="auto"/>
      <w:spacing w:before="120"/>
      <w:ind w:left="864" w:right="720"/>
    </w:pPr>
    <w:rPr>
      <w:b/>
      <w:sz w:val="40"/>
    </w:rPr>
  </w:style>
  <w:style w:type="paragraph" w:customStyle="1" w:styleId="ISSUE">
    <w:name w:val="ISSUE"/>
    <w:basedOn w:val="Normal"/>
    <w:pPr>
      <w:framePr w:w="11009" w:h="2881" w:hSpace="180" w:wrap="around" w:vAnchor="text" w:hAnchor="page" w:x="617" w:y="9844"/>
    </w:pPr>
    <w:rPr>
      <w:rFonts w:ascii="Univers" w:hAnsi="Univers"/>
      <w:sz w:val="18"/>
    </w:rPr>
  </w:style>
  <w:style w:type="character" w:styleId="PageNumber">
    <w:name w:val="page number"/>
    <w:basedOn w:val="DefaultParagraphFont"/>
    <w:semiHidden/>
    <w:rPr>
      <w:rFonts w:ascii="Univers" w:hAnsi="Univers"/>
      <w:noProof w:val="0"/>
      <w:sz w:val="24"/>
      <w:lang w:val="en-US"/>
    </w:rPr>
  </w:style>
  <w:style w:type="paragraph" w:customStyle="1" w:styleId="textup">
    <w:name w:val="textup"/>
    <w:basedOn w:val="Normal"/>
    <w:pPr>
      <w:tabs>
        <w:tab w:val="left" w:pos="2880"/>
      </w:tabs>
      <w:spacing w:before="120" w:after="120"/>
      <w:ind w:hanging="2880"/>
    </w:pPr>
    <w:rPr>
      <w:rFonts w:ascii="Univers" w:hAnsi="Univers"/>
    </w:rPr>
  </w:style>
  <w:style w:type="paragraph" w:customStyle="1" w:styleId="Contactup">
    <w:name w:val="Contactup"/>
    <w:pPr>
      <w:pBdr>
        <w:bottom w:val="single" w:sz="6" w:space="1" w:color="auto"/>
      </w:pBdr>
      <w:spacing w:before="160" w:after="120"/>
      <w:ind w:left="-2880" w:firstLine="2880"/>
    </w:pPr>
    <w:rPr>
      <w:rFonts w:ascii="Univers" w:hAnsi="Univers"/>
      <w:noProof/>
      <w:sz w:val="18"/>
    </w:rPr>
  </w:style>
  <w:style w:type="paragraph" w:customStyle="1" w:styleId="Header7">
    <w:name w:val="Header 7"/>
    <w:basedOn w:val="Header"/>
    <w:pPr>
      <w:ind w:right="-187"/>
      <w:jc w:val="right"/>
    </w:pPr>
  </w:style>
  <w:style w:type="paragraph" w:customStyle="1" w:styleId="pagenumber6">
    <w:name w:val="page number 6"/>
    <w:basedOn w:val="Header"/>
    <w:pPr>
      <w:spacing w:after="360"/>
    </w:pPr>
  </w:style>
  <w:style w:type="paragraph" w:customStyle="1" w:styleId="bulletup">
    <w:name w:val="bulletup"/>
    <w:pPr>
      <w:spacing w:after="200"/>
      <w:ind w:left="360" w:hanging="360"/>
    </w:pPr>
    <w:rPr>
      <w:rFonts w:ascii="Univers" w:hAnsi="Univers"/>
      <w:sz w:val="18"/>
    </w:rPr>
  </w:style>
  <w:style w:type="paragraph" w:customStyle="1" w:styleId="bulletup2">
    <w:name w:val="bulletup2"/>
    <w:basedOn w:val="bulletup"/>
    <w:pPr>
      <w:spacing w:after="0"/>
      <w:ind w:left="792"/>
    </w:pPr>
  </w:style>
  <w:style w:type="paragraph" w:customStyle="1" w:styleId="contactup1">
    <w:name w:val="contactup1"/>
    <w:basedOn w:val="Contactup"/>
    <w:pPr>
      <w:pBdr>
        <w:bottom w:val="none" w:sz="0" w:space="0" w:color="auto"/>
      </w:pBdr>
      <w:spacing w:before="115" w:after="0" w:line="259" w:lineRule="atLeast"/>
      <w:ind w:left="0" w:firstLine="0"/>
    </w:pPr>
    <w:rPr>
      <w:noProof w:val="0"/>
      <w:color w:val="000000"/>
    </w:rPr>
  </w:style>
  <w:style w:type="paragraph" w:customStyle="1" w:styleId="bulletup1">
    <w:name w:val="bulletup1"/>
    <w:basedOn w:val="bulletup"/>
    <w:pPr>
      <w:ind w:left="792"/>
    </w:pPr>
  </w:style>
  <w:style w:type="paragraph" w:customStyle="1" w:styleId="contactup2">
    <w:name w:val="contactup2"/>
    <w:basedOn w:val="contactup1"/>
    <w:pPr>
      <w:pBdr>
        <w:bottom w:val="single" w:sz="6" w:space="1" w:color="auto"/>
      </w:pBdr>
      <w:spacing w:before="0"/>
      <w:ind w:left="-2880" w:firstLine="4464"/>
    </w:pPr>
  </w:style>
  <w:style w:type="paragraph" w:customStyle="1" w:styleId="Blurbtitle">
    <w:name w:val="Blurbtitle"/>
    <w:basedOn w:val="Heading1"/>
    <w:pPr>
      <w:outlineLvl w:val="9"/>
    </w:pPr>
  </w:style>
  <w:style w:type="paragraph" w:styleId="Footer">
    <w:name w:val="footer"/>
    <w:basedOn w:val="Normal"/>
    <w:semiHidden/>
    <w:pPr>
      <w:tabs>
        <w:tab w:val="center" w:pos="4320"/>
        <w:tab w:val="right" w:pos="8640"/>
      </w:tabs>
    </w:pPr>
  </w:style>
  <w:style w:type="paragraph" w:customStyle="1" w:styleId="space">
    <w:name w:val="space"/>
    <w:basedOn w:val="textup"/>
    <w:pPr>
      <w:spacing w:before="0" w:after="0"/>
    </w:pPr>
    <w:rPr>
      <w:b/>
      <w:sz w:val="12"/>
    </w:rPr>
  </w:style>
  <w:style w:type="paragraph" w:customStyle="1" w:styleId="Number">
    <w:name w:val="Number"/>
    <w:basedOn w:val="bulletup"/>
  </w:style>
  <w:style w:type="paragraph" w:customStyle="1" w:styleId="Outline">
    <w:name w:val="Outline"/>
    <w:basedOn w:val="bulletup"/>
  </w:style>
  <w:style w:type="paragraph" w:customStyle="1" w:styleId="BodySingle">
    <w:name w:val="Body Single"/>
    <w:rPr>
      <w:rFonts w:ascii="Univers (WN)" w:hAnsi="Univers (WN)"/>
      <w:color w:val="000000"/>
    </w:rPr>
  </w:style>
  <w:style w:type="paragraph" w:styleId="BodyText">
    <w:name w:val="Body Text"/>
    <w:basedOn w:val="Normal"/>
    <w:semiHidden/>
    <w:pPr>
      <w:spacing w:before="100" w:after="72"/>
      <w:ind w:left="2880" w:hanging="2880"/>
    </w:pPr>
    <w:rPr>
      <w:rFonts w:ascii="Univers" w:hAnsi="Univers"/>
      <w:color w:val="000000"/>
    </w:rPr>
  </w:style>
  <w:style w:type="paragraph" w:customStyle="1" w:styleId="TopicOutline">
    <w:name w:val="Topic Outline"/>
    <w:basedOn w:val="Normal"/>
    <w:pPr>
      <w:spacing w:before="360" w:after="120"/>
      <w:ind w:left="792" w:hanging="792"/>
    </w:pPr>
    <w:rPr>
      <w:rFonts w:ascii="Times New Roman" w:hAnsi="Times New Roman"/>
      <w:sz w:val="24"/>
    </w:rPr>
  </w:style>
  <w:style w:type="paragraph" w:customStyle="1" w:styleId="bullet">
    <w:name w:val="bullet"/>
    <w:basedOn w:val="TopicOutline"/>
    <w:pPr>
      <w:spacing w:before="60" w:after="60"/>
      <w:ind w:left="1152" w:right="144" w:hanging="360"/>
    </w:pPr>
    <w:rPr>
      <w:sz w:val="20"/>
    </w:rPr>
  </w:style>
  <w:style w:type="paragraph" w:customStyle="1" w:styleId="BodyTextKeep">
    <w:name w:val="Body Text Keep"/>
    <w:basedOn w:val="BodyText"/>
    <w:pPr>
      <w:keepNext/>
      <w:spacing w:before="0" w:after="0"/>
      <w:ind w:left="0" w:firstLine="0"/>
    </w:pPr>
    <w:rPr>
      <w:rFonts w:ascii="Times New Roman" w:hAnsi="Times New Roman"/>
      <w:color w:va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6.wmf"/><Relationship Id="rId18" Type="http://schemas.openxmlformats.org/officeDocument/2006/relationships/image" Target="media/image9.wmf"/><Relationship Id="rId26" Type="http://schemas.openxmlformats.org/officeDocument/2006/relationships/image" Target="media/image13.wmf"/><Relationship Id="rId39"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oleObject" Target="embeddings/oleObject5.bin"/><Relationship Id="rId34" Type="http://schemas.openxmlformats.org/officeDocument/2006/relationships/image" Target="media/image19.wmf"/><Relationship Id="rId7" Type="http://schemas.openxmlformats.org/officeDocument/2006/relationships/image" Target="media/image1.wmf"/><Relationship Id="rId12" Type="http://schemas.openxmlformats.org/officeDocument/2006/relationships/image" Target="media/image5.wmf"/><Relationship Id="rId17" Type="http://schemas.openxmlformats.org/officeDocument/2006/relationships/image" Target="media/image8.wmf"/><Relationship Id="rId25" Type="http://schemas.openxmlformats.org/officeDocument/2006/relationships/oleObject" Target="embeddings/oleObject7.bin"/><Relationship Id="rId33" Type="http://schemas.openxmlformats.org/officeDocument/2006/relationships/image" Target="media/image18.wmf"/><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image" Target="media/image10.wmf"/><Relationship Id="rId29" Type="http://schemas.openxmlformats.org/officeDocument/2006/relationships/oleObject" Target="embeddings/oleObject9.bin"/><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24" Type="http://schemas.openxmlformats.org/officeDocument/2006/relationships/image" Target="media/image12.wmf"/><Relationship Id="rId32" Type="http://schemas.openxmlformats.org/officeDocument/2006/relationships/image" Target="media/image17.wmf"/><Relationship Id="rId37" Type="http://schemas.openxmlformats.org/officeDocument/2006/relationships/oleObject" Target="embeddings/oleObject11.bin"/><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7.wmf"/><Relationship Id="rId23" Type="http://schemas.openxmlformats.org/officeDocument/2006/relationships/oleObject" Target="embeddings/oleObject6.bin"/><Relationship Id="rId28" Type="http://schemas.openxmlformats.org/officeDocument/2006/relationships/image" Target="media/image14.wmf"/><Relationship Id="rId36" Type="http://schemas.openxmlformats.org/officeDocument/2006/relationships/oleObject" Target="embeddings/oleObject10.bin"/><Relationship Id="rId10" Type="http://schemas.openxmlformats.org/officeDocument/2006/relationships/image" Target="media/image3.wmf"/><Relationship Id="rId19" Type="http://schemas.openxmlformats.org/officeDocument/2006/relationships/oleObject" Target="embeddings/oleObject4.bin"/><Relationship Id="rId31" Type="http://schemas.openxmlformats.org/officeDocument/2006/relationships/image" Target="media/image16.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2.bin"/><Relationship Id="rId22" Type="http://schemas.openxmlformats.org/officeDocument/2006/relationships/image" Target="media/image11.wmf"/><Relationship Id="rId27" Type="http://schemas.openxmlformats.org/officeDocument/2006/relationships/oleObject" Target="embeddings/oleObject8.bin"/><Relationship Id="rId30" Type="http://schemas.openxmlformats.org/officeDocument/2006/relationships/image" Target="media/image15.wmf"/><Relationship Id="rId35" Type="http://schemas.openxmlformats.org/officeDocument/2006/relationships/image" Target="media/image20.wmf"/></Relationships>
</file>

<file path=word/_rels/settings.xml.rels><?xml version="1.0" encoding="UTF-8" standalone="yes"?>
<Relationships xmlns="http://schemas.openxmlformats.org/package/2006/relationships"><Relationship Id="rId1" Type="http://schemas.openxmlformats.org/officeDocument/2006/relationships/attachedTemplate" Target="file:///G:\winword\template\upd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update.dot</Template>
  <TotalTime>0</TotalTime>
  <Pages>12</Pages>
  <Words>3527</Words>
  <Characters>20106</Characters>
  <Application>Microsoft Office Word</Application>
  <DocSecurity>4</DocSecurity>
  <Lines>167</Lines>
  <Paragraphs>47</Paragraphs>
  <ScaleCrop>false</ScaleCrop>
  <HeadingPairs>
    <vt:vector size="4" baseType="variant">
      <vt:variant>
        <vt:lpstr>Title</vt:lpstr>
      </vt:variant>
      <vt:variant>
        <vt:i4>1</vt:i4>
      </vt:variant>
      <vt:variant>
        <vt:lpstr>FISCAL UPDATE        January 15, 1995</vt:lpstr>
      </vt:variant>
      <vt:variant>
        <vt:i4>0</vt:i4>
      </vt:variant>
    </vt:vector>
  </HeadingPairs>
  <TitlesOfParts>
    <vt:vector size="1" baseType="lpstr">
      <vt:lpstr>FISCAL UPDATE        January 15, 1995</vt:lpstr>
    </vt:vector>
  </TitlesOfParts>
  <Company>Iowa Legislature</Company>
  <LinksUpToDate>false</LinksUpToDate>
  <CharactersWithSpaces>23586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FISCAL UPDATE        January 15, 1995</dc:title>
  <dc:subject/>
  <dc:creator>The Iowa Legislature</dc:creator>
  <cp:keywords/>
  <dc:description/>
  <cp:lastModifiedBy>Margaret Noon</cp:lastModifiedBy>
  <cp:revision>2</cp:revision>
  <cp:lastPrinted>1998-10-05T15:56:00Z</cp:lastPrinted>
  <dcterms:created xsi:type="dcterms:W3CDTF">2009-09-16T19:07:00Z</dcterms:created>
  <dcterms:modified xsi:type="dcterms:W3CDTF">2009-09-16T19:07:00Z</dcterms:modified>
</cp:coreProperties>
</file>