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82B24">
      <w:pPr>
        <w:pStyle w:val="TITLEup"/>
        <w:framePr w:w="12239" w:h="1570" w:hSpace="187" w:wrap="around" w:x="1" w:y="-709"/>
        <w:pBdr>
          <w:top w:val="none" w:sz="0" w:space="0" w:color="auto"/>
          <w:left w:val="none" w:sz="0" w:space="0" w:color="auto"/>
          <w:bottom w:val="none" w:sz="0" w:space="0" w:color="auto"/>
          <w:right w:val="none" w:sz="0" w:space="0" w:color="auto"/>
        </w:pBdr>
        <w:shd w:val="pct10" w:color="auto" w:fill="auto"/>
        <w:tabs>
          <w:tab w:val="left" w:pos="900"/>
          <w:tab w:val="right" w:pos="11340"/>
        </w:tabs>
      </w:pPr>
      <w:r>
        <w:tab/>
        <w:t xml:space="preserve">FISCAL UPDATE </w:t>
      </w:r>
      <w:r>
        <w:tab/>
      </w:r>
      <w:r>
        <w:rPr>
          <w:sz w:val="36"/>
        </w:rPr>
        <w:t>March 10, 1998</w:t>
      </w:r>
    </w:p>
    <w:p w:rsidR="00000000" w:rsidRDefault="00582B24">
      <w:pPr>
        <w:pStyle w:val="TITLE3up"/>
        <w:framePr w:w="12159" w:wrap="around" w:x="1"/>
        <w:shd w:val="pct10" w:color="auto" w:fill="auto"/>
        <w:tabs>
          <w:tab w:val="left" w:pos="900"/>
          <w:tab w:val="right" w:pos="11340"/>
        </w:tabs>
        <w:ind w:left="720"/>
      </w:pPr>
      <w:r>
        <w:rPr>
          <w:rFonts w:ascii="Univers" w:hAnsi="Univers"/>
          <w:b w:val="0"/>
          <w:noProof/>
          <w:sz w:val="20"/>
        </w:rPr>
        <w:pict>
          <v:line id="_x0000_s2050" style="position:absolute;left:0;text-align:left;z-index:251657728;mso-position-horizontal-relative:text;mso-position-vertical-relative:text" from="41.05pt,.05pt" to="566.7pt,.1pt" o:allowincell="f" strokeweight="2pt">
            <v:stroke startarrowwidth="narrow" startarrowlength="short" endarrowwidth="narrow" endarrowlength="short"/>
          </v:line>
        </w:pict>
      </w:r>
      <w:r>
        <w:rPr>
          <w:rFonts w:ascii="Univers" w:hAnsi="Univers"/>
        </w:rPr>
        <w:tab/>
        <w:t>Legislative Fiscal Bureau</w:t>
      </w:r>
      <w:r>
        <w:rPr>
          <w:rFonts w:ascii="Univers" w:hAnsi="Univers"/>
          <w:sz w:val="24"/>
        </w:rPr>
        <w:t xml:space="preserve">    </w:t>
      </w:r>
      <w:r>
        <w:rPr>
          <w:rFonts w:ascii="Univers" w:hAnsi="Univers"/>
          <w:sz w:val="24"/>
        </w:rPr>
        <w:tab/>
        <w:t xml:space="preserve"> (515) 281-5279  FAX 281-8451</w:t>
      </w:r>
    </w:p>
    <w:p w:rsidR="00000000" w:rsidRDefault="00582B24">
      <w:pPr>
        <w:jc w:val="center"/>
        <w:rPr>
          <w:b/>
        </w:rPr>
      </w:pPr>
    </w:p>
    <w:p w:rsidR="00000000" w:rsidRDefault="00582B24">
      <w:pPr>
        <w:pStyle w:val="ISSUE"/>
        <w:framePr w:w="0" w:hRule="auto" w:hSpace="0" w:wrap="auto" w:vAnchor="margin" w:hAnchor="text" w:xAlign="left" w:yAlign="inline"/>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1548"/>
        <w:gridCol w:w="4230"/>
        <w:gridCol w:w="4680"/>
      </w:tblGrid>
      <w:tr w:rsidR="00000000">
        <w:tblPrEx>
          <w:tblCellMar>
            <w:top w:w="0" w:type="dxa"/>
            <w:bottom w:w="0" w:type="dxa"/>
          </w:tblCellMar>
        </w:tblPrEx>
        <w:tc>
          <w:tcPr>
            <w:tcW w:w="1548" w:type="dxa"/>
          </w:tcPr>
          <w:p w:rsidR="00000000" w:rsidRDefault="00582B24">
            <w:pPr>
              <w:pStyle w:val="ISSUE"/>
              <w:framePr w:w="0" w:hRule="auto" w:hSpace="187" w:wrap="around" w:x="1266" w:y="9621" w:anchorLock="1"/>
              <w:rPr>
                <w:b/>
              </w:rPr>
            </w:pPr>
          </w:p>
        </w:tc>
        <w:tc>
          <w:tcPr>
            <w:tcW w:w="4230" w:type="dxa"/>
          </w:tcPr>
          <w:p w:rsidR="00000000" w:rsidRDefault="00582B24">
            <w:pPr>
              <w:pStyle w:val="ISSUE"/>
              <w:framePr w:w="0" w:hRule="auto" w:hSpace="187" w:wrap="around" w:x="1266" w:y="9621" w:anchorLock="1"/>
            </w:pPr>
          </w:p>
        </w:tc>
        <w:tc>
          <w:tcPr>
            <w:tcW w:w="4680" w:type="dxa"/>
            <w:tcBorders>
              <w:top w:val="single" w:sz="6" w:space="0" w:color="auto"/>
              <w:bottom w:val="nil"/>
              <w:right w:val="single" w:sz="6" w:space="0" w:color="auto"/>
            </w:tcBorders>
          </w:tcPr>
          <w:p w:rsidR="00000000" w:rsidRDefault="00582B24">
            <w:pPr>
              <w:pStyle w:val="ISSUE"/>
              <w:framePr w:w="0" w:hRule="auto" w:hSpace="187" w:wrap="around" w:x="1266" w:y="9621" w:anchorLock="1"/>
            </w:pPr>
          </w:p>
        </w:tc>
      </w:tr>
      <w:tr w:rsidR="00000000">
        <w:tblPrEx>
          <w:tblCellMar>
            <w:top w:w="0" w:type="dxa"/>
            <w:bottom w:w="0" w:type="dxa"/>
          </w:tblCellMar>
        </w:tblPrEx>
        <w:tc>
          <w:tcPr>
            <w:tcW w:w="1548" w:type="dxa"/>
          </w:tcPr>
          <w:p w:rsidR="00000000" w:rsidRDefault="00582B24">
            <w:pPr>
              <w:pStyle w:val="ISSUE"/>
              <w:framePr w:w="0" w:hRule="auto" w:hSpace="187" w:wrap="around" w:x="1266" w:y="9621" w:anchorLock="1"/>
              <w:rPr>
                <w:b/>
                <w:u w:val="single"/>
              </w:rPr>
            </w:pPr>
            <w:r>
              <w:rPr>
                <w:b/>
                <w:u w:val="single"/>
              </w:rPr>
              <w:t>IN THIS ISSUE:</w:t>
            </w:r>
          </w:p>
        </w:tc>
        <w:tc>
          <w:tcPr>
            <w:tcW w:w="4230" w:type="dxa"/>
          </w:tcPr>
          <w:p w:rsidR="00000000" w:rsidRDefault="00582B24">
            <w:pPr>
              <w:pStyle w:val="ISSUE"/>
              <w:framePr w:w="0" w:hRule="auto" w:hSpace="187" w:wrap="around" w:x="1266" w:y="9621" w:anchorLock="1"/>
            </w:pPr>
            <w:r>
              <w:t>Status of Appropriations Bills, pg. 1</w:t>
            </w:r>
          </w:p>
        </w:tc>
        <w:tc>
          <w:tcPr>
            <w:tcW w:w="4680" w:type="dxa"/>
            <w:tcBorders>
              <w:top w:val="nil"/>
              <w:bottom w:val="nil"/>
              <w:right w:val="single" w:sz="6" w:space="0" w:color="auto"/>
            </w:tcBorders>
          </w:tcPr>
          <w:p w:rsidR="00000000" w:rsidRDefault="00582B24">
            <w:pPr>
              <w:pStyle w:val="ISSUE"/>
              <w:framePr w:w="0" w:hRule="auto" w:hSpace="187" w:wrap="around" w:x="1266" w:y="9621" w:anchorLock="1"/>
            </w:pPr>
            <w:r>
              <w:t>SF 2292 - Sex Offender Registry, pg. 9</w:t>
            </w:r>
          </w:p>
        </w:tc>
      </w:tr>
      <w:tr w:rsidR="00000000">
        <w:tblPrEx>
          <w:tblCellMar>
            <w:top w:w="0" w:type="dxa"/>
            <w:bottom w:w="0" w:type="dxa"/>
          </w:tblCellMar>
        </w:tblPrEx>
        <w:tc>
          <w:tcPr>
            <w:tcW w:w="1548" w:type="dxa"/>
          </w:tcPr>
          <w:p w:rsidR="00000000" w:rsidRDefault="00582B24">
            <w:pPr>
              <w:pStyle w:val="ISSUE"/>
              <w:framePr w:w="0" w:hRule="auto" w:hSpace="187" w:wrap="around" w:x="1266" w:y="9621" w:anchorLock="1"/>
              <w:rPr>
                <w:u w:val="single"/>
              </w:rPr>
            </w:pPr>
          </w:p>
        </w:tc>
        <w:tc>
          <w:tcPr>
            <w:tcW w:w="4230" w:type="dxa"/>
          </w:tcPr>
          <w:p w:rsidR="00000000" w:rsidRDefault="00582B24">
            <w:pPr>
              <w:pStyle w:val="ISSUE"/>
              <w:framePr w:w="0" w:hRule="auto" w:hSpace="187" w:wrap="around" w:x="1266" w:y="9621" w:anchorLock="1"/>
            </w:pPr>
            <w:r>
              <w:t>Agric./Natural Resources Approp. Bill, pg. 2</w:t>
            </w:r>
          </w:p>
        </w:tc>
        <w:tc>
          <w:tcPr>
            <w:tcW w:w="4680" w:type="dxa"/>
            <w:tcBorders>
              <w:top w:val="nil"/>
            </w:tcBorders>
          </w:tcPr>
          <w:p w:rsidR="00000000" w:rsidRDefault="00582B24">
            <w:pPr>
              <w:pStyle w:val="ISSUE"/>
              <w:framePr w:w="0" w:hRule="auto" w:hSpace="187" w:wrap="around" w:x="1266" w:y="9621" w:anchorLock="1"/>
            </w:pPr>
            <w:r>
              <w:t>SF 2398 - Hormonal</w:t>
            </w:r>
            <w:r>
              <w:t xml:space="preserve"> Therapy, pg. 9</w:t>
            </w:r>
          </w:p>
        </w:tc>
      </w:tr>
      <w:tr w:rsidR="00000000">
        <w:tblPrEx>
          <w:tblCellMar>
            <w:top w:w="0" w:type="dxa"/>
            <w:bottom w:w="0" w:type="dxa"/>
          </w:tblCellMar>
        </w:tblPrEx>
        <w:tc>
          <w:tcPr>
            <w:tcW w:w="1548" w:type="dxa"/>
          </w:tcPr>
          <w:p w:rsidR="00000000" w:rsidRDefault="00582B24">
            <w:pPr>
              <w:pStyle w:val="ISSUE"/>
              <w:framePr w:w="0" w:hRule="auto" w:hSpace="187" w:wrap="around" w:x="1266" w:y="9621" w:anchorLock="1"/>
              <w:rPr>
                <w:u w:val="single"/>
              </w:rPr>
            </w:pPr>
          </w:p>
        </w:tc>
        <w:tc>
          <w:tcPr>
            <w:tcW w:w="4230" w:type="dxa"/>
          </w:tcPr>
          <w:p w:rsidR="00000000" w:rsidRDefault="00582B24">
            <w:pPr>
              <w:pStyle w:val="ISSUE"/>
              <w:framePr w:w="0" w:hRule="auto" w:hSpace="187" w:wrap="around" w:x="1266" w:y="9621" w:anchorLock="1"/>
            </w:pPr>
            <w:r>
              <w:t>Education Appropriations Bill, pg. 3</w:t>
            </w:r>
          </w:p>
        </w:tc>
        <w:tc>
          <w:tcPr>
            <w:tcW w:w="4680" w:type="dxa"/>
            <w:tcBorders>
              <w:top w:val="nil"/>
            </w:tcBorders>
          </w:tcPr>
          <w:p w:rsidR="00000000" w:rsidRDefault="00582B24">
            <w:pPr>
              <w:pStyle w:val="ISSUE"/>
              <w:framePr w:w="0" w:hRule="auto" w:hSpace="187" w:wrap="around" w:x="1266" w:y="9621" w:anchorLock="1"/>
            </w:pPr>
            <w:r>
              <w:t>HF 2468 - Electronic Benefits Transfer, pg. 10</w:t>
            </w:r>
          </w:p>
        </w:tc>
      </w:tr>
      <w:tr w:rsidR="00000000">
        <w:tblPrEx>
          <w:tblCellMar>
            <w:top w:w="0" w:type="dxa"/>
            <w:bottom w:w="0" w:type="dxa"/>
          </w:tblCellMar>
        </w:tblPrEx>
        <w:tc>
          <w:tcPr>
            <w:tcW w:w="1548" w:type="dxa"/>
          </w:tcPr>
          <w:p w:rsidR="00000000" w:rsidRDefault="00582B24">
            <w:pPr>
              <w:pStyle w:val="ISSUE"/>
              <w:framePr w:w="0" w:hRule="auto" w:hSpace="187" w:wrap="around" w:x="1266" w:y="9621" w:anchorLock="1"/>
              <w:rPr>
                <w:u w:val="single"/>
              </w:rPr>
            </w:pPr>
          </w:p>
        </w:tc>
        <w:tc>
          <w:tcPr>
            <w:tcW w:w="4230" w:type="dxa"/>
          </w:tcPr>
          <w:p w:rsidR="00000000" w:rsidRDefault="00582B24">
            <w:pPr>
              <w:pStyle w:val="ISSUE"/>
              <w:framePr w:w="0" w:hRule="auto" w:hSpace="187" w:wrap="around" w:x="1266" w:y="9621" w:anchorLock="1"/>
            </w:pPr>
            <w:r>
              <w:t>Oversight\Communications Approp. Bill, pg. 4</w:t>
            </w:r>
          </w:p>
        </w:tc>
        <w:tc>
          <w:tcPr>
            <w:tcW w:w="4680" w:type="dxa"/>
            <w:tcBorders>
              <w:top w:val="nil"/>
            </w:tcBorders>
          </w:tcPr>
          <w:p w:rsidR="00000000" w:rsidRDefault="00582B24">
            <w:pPr>
              <w:pStyle w:val="ISSUE"/>
              <w:framePr w:w="0" w:hRule="auto" w:hSpace="187" w:wrap="around" w:x="1266" w:y="9621" w:anchorLock="1"/>
            </w:pPr>
            <w:r>
              <w:t>Road Use Tax Fund Revenues, pg. 11</w:t>
            </w:r>
          </w:p>
        </w:tc>
      </w:tr>
      <w:tr w:rsidR="00000000">
        <w:tblPrEx>
          <w:tblCellMar>
            <w:top w:w="0" w:type="dxa"/>
            <w:bottom w:w="0" w:type="dxa"/>
          </w:tblCellMar>
        </w:tblPrEx>
        <w:tc>
          <w:tcPr>
            <w:tcW w:w="1548" w:type="dxa"/>
          </w:tcPr>
          <w:p w:rsidR="00000000" w:rsidRDefault="00582B24">
            <w:pPr>
              <w:pStyle w:val="ISSUE"/>
              <w:framePr w:w="0" w:hRule="auto" w:hSpace="187" w:wrap="around" w:x="1266" w:y="9621" w:anchorLock="1"/>
              <w:rPr>
                <w:u w:val="single"/>
              </w:rPr>
            </w:pPr>
          </w:p>
        </w:tc>
        <w:tc>
          <w:tcPr>
            <w:tcW w:w="4230" w:type="dxa"/>
          </w:tcPr>
          <w:p w:rsidR="00000000" w:rsidRDefault="00582B24">
            <w:pPr>
              <w:pStyle w:val="ISSUE"/>
              <w:framePr w:w="0" w:hRule="auto" w:hSpace="187" w:wrap="around" w:x="1266" w:y="9621" w:anchorLock="1"/>
            </w:pPr>
            <w:r>
              <w:t>Transportation Appropriations Bill, pg. 5</w:t>
            </w:r>
          </w:p>
        </w:tc>
        <w:tc>
          <w:tcPr>
            <w:tcW w:w="4680" w:type="dxa"/>
            <w:tcBorders>
              <w:top w:val="nil"/>
            </w:tcBorders>
          </w:tcPr>
          <w:p w:rsidR="00000000" w:rsidRDefault="00582B24">
            <w:pPr>
              <w:pStyle w:val="ISSUE"/>
              <w:framePr w:w="0" w:hRule="auto" w:hSpace="187" w:wrap="around" w:x="1266" w:y="9621" w:anchorLock="1"/>
            </w:pPr>
            <w:r>
              <w:t>ICN Video Classrooms, pg. 12</w:t>
            </w:r>
          </w:p>
        </w:tc>
      </w:tr>
      <w:tr w:rsidR="00000000">
        <w:tblPrEx>
          <w:tblCellMar>
            <w:top w:w="0" w:type="dxa"/>
            <w:bottom w:w="0" w:type="dxa"/>
          </w:tblCellMar>
        </w:tblPrEx>
        <w:tc>
          <w:tcPr>
            <w:tcW w:w="1548" w:type="dxa"/>
          </w:tcPr>
          <w:p w:rsidR="00000000" w:rsidRDefault="00582B24">
            <w:pPr>
              <w:pStyle w:val="ISSUE"/>
              <w:framePr w:w="0" w:hRule="auto" w:hSpace="187" w:wrap="around" w:x="1266" w:y="9621" w:anchorLock="1"/>
              <w:rPr>
                <w:u w:val="single"/>
              </w:rPr>
            </w:pPr>
          </w:p>
        </w:tc>
        <w:tc>
          <w:tcPr>
            <w:tcW w:w="4230" w:type="dxa"/>
          </w:tcPr>
          <w:p w:rsidR="00000000" w:rsidRDefault="00582B24">
            <w:pPr>
              <w:pStyle w:val="ISSUE"/>
              <w:framePr w:w="0" w:hRule="auto" w:hSpace="187" w:wrap="around" w:x="1266" w:y="9621" w:anchorLock="1"/>
            </w:pPr>
            <w:r>
              <w:t>FY 1998 Supplemental Approp. Bill, pg. 6</w:t>
            </w:r>
          </w:p>
        </w:tc>
        <w:tc>
          <w:tcPr>
            <w:tcW w:w="4680" w:type="dxa"/>
            <w:tcBorders>
              <w:top w:val="nil"/>
            </w:tcBorders>
          </w:tcPr>
          <w:p w:rsidR="00000000" w:rsidRDefault="00582B24">
            <w:pPr>
              <w:pStyle w:val="ISSUE"/>
              <w:framePr w:w="0" w:hRule="auto" w:hSpace="187" w:wrap="around" w:x="1266" w:y="9621" w:anchorLock="1"/>
            </w:pPr>
            <w:r>
              <w:t>U.S. Dept of Health - Fed. Poverty Guidelines, pg. 13</w:t>
            </w:r>
          </w:p>
        </w:tc>
      </w:tr>
      <w:tr w:rsidR="00000000">
        <w:tblPrEx>
          <w:tblCellMar>
            <w:top w:w="0" w:type="dxa"/>
            <w:bottom w:w="0" w:type="dxa"/>
          </w:tblCellMar>
        </w:tblPrEx>
        <w:tc>
          <w:tcPr>
            <w:tcW w:w="1548" w:type="dxa"/>
          </w:tcPr>
          <w:p w:rsidR="00000000" w:rsidRDefault="00582B24">
            <w:pPr>
              <w:pStyle w:val="ISSUE"/>
              <w:framePr w:w="0" w:hRule="auto" w:hSpace="187" w:wrap="around" w:x="1266" w:y="9621" w:anchorLock="1"/>
              <w:rPr>
                <w:u w:val="single"/>
              </w:rPr>
            </w:pPr>
          </w:p>
        </w:tc>
        <w:tc>
          <w:tcPr>
            <w:tcW w:w="4230" w:type="dxa"/>
          </w:tcPr>
          <w:p w:rsidR="00000000" w:rsidRDefault="00582B24">
            <w:pPr>
              <w:pStyle w:val="ISSUE"/>
              <w:framePr w:w="0" w:hRule="auto" w:hSpace="187" w:wrap="around" w:x="1266" w:y="9621" w:anchorLock="1"/>
            </w:pPr>
            <w:r>
              <w:t>Block Grants Bill, pg. 7</w:t>
            </w:r>
          </w:p>
        </w:tc>
        <w:tc>
          <w:tcPr>
            <w:tcW w:w="4680" w:type="dxa"/>
            <w:tcBorders>
              <w:top w:val="nil"/>
            </w:tcBorders>
          </w:tcPr>
          <w:p w:rsidR="00000000" w:rsidRDefault="00582B24">
            <w:pPr>
              <w:pStyle w:val="ISSUE"/>
              <w:framePr w:w="0" w:hRule="auto" w:hSpace="187" w:wrap="around" w:x="1266" w:y="9621" w:anchorLock="1"/>
            </w:pPr>
            <w:r>
              <w:t>Child Care Monthly Usage Report, pg. 13</w:t>
            </w:r>
          </w:p>
        </w:tc>
      </w:tr>
      <w:tr w:rsidR="00000000">
        <w:tblPrEx>
          <w:tblCellMar>
            <w:top w:w="0" w:type="dxa"/>
            <w:bottom w:w="0" w:type="dxa"/>
          </w:tblCellMar>
        </w:tblPrEx>
        <w:tc>
          <w:tcPr>
            <w:tcW w:w="1548" w:type="dxa"/>
          </w:tcPr>
          <w:p w:rsidR="00000000" w:rsidRDefault="00582B24">
            <w:pPr>
              <w:pStyle w:val="ISSUE"/>
              <w:framePr w:w="0" w:hRule="auto" w:hSpace="187" w:wrap="around" w:x="1266" w:y="9621" w:anchorLock="1"/>
              <w:rPr>
                <w:u w:val="single"/>
              </w:rPr>
            </w:pPr>
          </w:p>
        </w:tc>
        <w:tc>
          <w:tcPr>
            <w:tcW w:w="4230" w:type="dxa"/>
          </w:tcPr>
          <w:p w:rsidR="00000000" w:rsidRDefault="00582B24">
            <w:pPr>
              <w:pStyle w:val="ISSUE"/>
              <w:framePr w:w="0" w:hRule="auto" w:hSpace="187" w:wrap="around" w:x="1266" w:y="9621" w:anchorLock="1"/>
            </w:pPr>
            <w:r>
              <w:t xml:space="preserve">Obsolete &amp; Unnecessary </w:t>
            </w:r>
            <w:r>
              <w:rPr>
                <w:u w:val="single"/>
              </w:rPr>
              <w:t xml:space="preserve">Code </w:t>
            </w:r>
            <w:r>
              <w:t>Provisions, pg. 8</w:t>
            </w:r>
          </w:p>
        </w:tc>
        <w:tc>
          <w:tcPr>
            <w:tcW w:w="4680" w:type="dxa"/>
            <w:tcBorders>
              <w:top w:val="nil"/>
            </w:tcBorders>
          </w:tcPr>
          <w:p w:rsidR="00000000" w:rsidRDefault="00582B24">
            <w:pPr>
              <w:pStyle w:val="ISSUE"/>
              <w:framePr w:w="0" w:hRule="auto" w:hSpace="187" w:wrap="around" w:x="1266" w:y="9621" w:anchorLock="1"/>
            </w:pPr>
            <w:r>
              <w:t>Board of Corrections Meeting, pg. 15</w:t>
            </w:r>
          </w:p>
        </w:tc>
      </w:tr>
      <w:tr w:rsidR="00000000">
        <w:tblPrEx>
          <w:tblCellMar>
            <w:top w:w="0" w:type="dxa"/>
            <w:bottom w:w="0" w:type="dxa"/>
          </w:tblCellMar>
        </w:tblPrEx>
        <w:tc>
          <w:tcPr>
            <w:tcW w:w="1548" w:type="dxa"/>
          </w:tcPr>
          <w:p w:rsidR="00000000" w:rsidRDefault="00582B24">
            <w:pPr>
              <w:pStyle w:val="ISSUE"/>
              <w:framePr w:w="0" w:hRule="auto" w:hSpace="187" w:wrap="around" w:x="1266" w:y="9621" w:anchorLock="1"/>
              <w:rPr>
                <w:u w:val="single"/>
              </w:rPr>
            </w:pPr>
          </w:p>
        </w:tc>
        <w:tc>
          <w:tcPr>
            <w:tcW w:w="4230" w:type="dxa"/>
          </w:tcPr>
          <w:p w:rsidR="00000000" w:rsidRDefault="00582B24">
            <w:pPr>
              <w:pStyle w:val="ISSUE"/>
              <w:framePr w:w="0" w:hRule="auto" w:hSpace="187" w:wrap="around" w:x="1266" w:y="9621" w:anchorLock="1"/>
            </w:pPr>
            <w:r>
              <w:t>SF 2</w:t>
            </w:r>
            <w:r>
              <w:t>406 - School Ready Children Grt., pg. 8</w:t>
            </w:r>
          </w:p>
        </w:tc>
        <w:tc>
          <w:tcPr>
            <w:tcW w:w="4680" w:type="dxa"/>
            <w:tcBorders>
              <w:top w:val="nil"/>
            </w:tcBorders>
          </w:tcPr>
          <w:p w:rsidR="00000000" w:rsidRDefault="00582B24">
            <w:pPr>
              <w:pStyle w:val="ISSUE"/>
              <w:framePr w:w="0" w:hRule="auto" w:hSpace="187" w:wrap="around" w:x="1266" w:y="9621" w:anchorLock="1"/>
            </w:pPr>
            <w:r>
              <w:t>Weekly Medical Asst. Expenditures, pg. 15</w:t>
            </w:r>
          </w:p>
        </w:tc>
      </w:tr>
      <w:tr w:rsidR="00000000">
        <w:tblPrEx>
          <w:tblCellMar>
            <w:top w:w="0" w:type="dxa"/>
            <w:bottom w:w="0" w:type="dxa"/>
          </w:tblCellMar>
        </w:tblPrEx>
        <w:tc>
          <w:tcPr>
            <w:tcW w:w="1548" w:type="dxa"/>
          </w:tcPr>
          <w:p w:rsidR="00000000" w:rsidRDefault="00582B24">
            <w:pPr>
              <w:pStyle w:val="ISSUE"/>
              <w:framePr w:w="0" w:hRule="auto" w:hSpace="187" w:wrap="around" w:x="1266" w:y="9621" w:anchorLock="1"/>
              <w:rPr>
                <w:u w:val="single"/>
              </w:rPr>
            </w:pPr>
          </w:p>
        </w:tc>
        <w:tc>
          <w:tcPr>
            <w:tcW w:w="4230" w:type="dxa"/>
          </w:tcPr>
          <w:p w:rsidR="00000000" w:rsidRDefault="00582B24">
            <w:pPr>
              <w:pStyle w:val="ISSUE"/>
              <w:framePr w:w="0" w:hRule="auto" w:hSpace="187" w:wrap="around" w:x="1266" w:y="9621" w:anchorLock="1"/>
            </w:pPr>
            <w:r>
              <w:t>HF 2471 - Number of Justices, pg. 9</w:t>
            </w:r>
          </w:p>
        </w:tc>
        <w:tc>
          <w:tcPr>
            <w:tcW w:w="4680" w:type="dxa"/>
            <w:tcBorders>
              <w:top w:val="nil"/>
            </w:tcBorders>
          </w:tcPr>
          <w:p w:rsidR="00000000" w:rsidRDefault="00582B24">
            <w:pPr>
              <w:pStyle w:val="ISSUE"/>
              <w:framePr w:w="0" w:hRule="auto" w:hSpace="187" w:wrap="around" w:x="1266" w:y="9621" w:anchorLock="1"/>
            </w:pPr>
          </w:p>
        </w:tc>
      </w:tr>
      <w:tr w:rsidR="00000000">
        <w:tblPrEx>
          <w:tblCellMar>
            <w:top w:w="0" w:type="dxa"/>
            <w:bottom w:w="0" w:type="dxa"/>
          </w:tblCellMar>
        </w:tblPrEx>
        <w:tc>
          <w:tcPr>
            <w:tcW w:w="1548" w:type="dxa"/>
          </w:tcPr>
          <w:p w:rsidR="00000000" w:rsidRDefault="00582B24">
            <w:pPr>
              <w:pStyle w:val="ISSUE"/>
              <w:framePr w:w="0" w:hRule="auto" w:hSpace="187" w:wrap="around" w:x="1266" w:y="9621" w:anchorLock="1"/>
            </w:pPr>
          </w:p>
        </w:tc>
        <w:tc>
          <w:tcPr>
            <w:tcW w:w="4230" w:type="dxa"/>
          </w:tcPr>
          <w:p w:rsidR="00000000" w:rsidRDefault="00582B24">
            <w:pPr>
              <w:pStyle w:val="ISSUE"/>
              <w:framePr w:w="0" w:hRule="auto" w:hSpace="187" w:wrap="around" w:x="1266" w:y="9621" w:anchorLock="1"/>
            </w:pPr>
          </w:p>
        </w:tc>
        <w:tc>
          <w:tcPr>
            <w:tcW w:w="4680" w:type="dxa"/>
          </w:tcPr>
          <w:p w:rsidR="00000000" w:rsidRDefault="00582B24">
            <w:pPr>
              <w:pStyle w:val="ISSUE"/>
              <w:framePr w:w="0" w:hRule="auto" w:hSpace="187" w:wrap="around" w:x="1266" w:y="9621" w:anchorLock="1"/>
            </w:pPr>
          </w:p>
        </w:tc>
      </w:tr>
    </w:tbl>
    <w:p w:rsidR="00000000" w:rsidRDefault="00582B24">
      <w:pPr>
        <w:pStyle w:val="Blurbtitle"/>
      </w:pPr>
      <w:r>
        <w:t xml:space="preserve">         Status of Appropriations Bills</w:t>
      </w:r>
    </w:p>
    <w:p w:rsidR="00000000" w:rsidRDefault="00582B24">
      <w:pPr>
        <w:framePr w:w="493" w:h="1009" w:hSpace="180" w:wrap="auto" w:vAnchor="text" w:hAnchor="page" w:x="1417" w:y="293"/>
        <w:pBdr>
          <w:top w:val="single" w:sz="6" w:space="3" w:color="auto" w:shadow="1"/>
          <w:left w:val="single" w:sz="6" w:space="3" w:color="auto" w:shadow="1"/>
          <w:bottom w:val="single" w:sz="6" w:space="3" w:color="auto" w:shadow="1"/>
          <w:right w:val="single" w:sz="6" w:space="3" w:color="auto" w:shadow="1"/>
        </w:pBdr>
      </w:pPr>
      <w:r>
        <w:object w:dxaOrig="4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6pt" o:ole="">
            <v:imagedata r:id="rId7" o:title=""/>
          </v:shape>
          <o:OLEObject Type="Embed" ProgID="Word.Document.8" ShapeID="_x0000_i1025" DrawAspect="Content" ObjectID="_1314614342" r:id="rId8"/>
        </w:object>
      </w:r>
    </w:p>
    <w:tbl>
      <w:tblPr>
        <w:tblW w:w="0" w:type="auto"/>
        <w:tblInd w:w="-522" w:type="dxa"/>
        <w:tblLayout w:type="fixed"/>
        <w:tblLook w:val="0000"/>
      </w:tblPr>
      <w:tblGrid>
        <w:gridCol w:w="2197"/>
        <w:gridCol w:w="262"/>
        <w:gridCol w:w="1501"/>
        <w:gridCol w:w="296"/>
        <w:gridCol w:w="3034"/>
      </w:tblGrid>
      <w:tr w:rsidR="00000000">
        <w:tblPrEx>
          <w:tblCellMar>
            <w:top w:w="0" w:type="dxa"/>
            <w:bottom w:w="0" w:type="dxa"/>
          </w:tblCellMar>
        </w:tblPrEx>
        <w:trPr>
          <w:tblHeader/>
        </w:trPr>
        <w:tc>
          <w:tcPr>
            <w:tcW w:w="7290" w:type="dxa"/>
            <w:gridSpan w:val="5"/>
            <w:tcBorders>
              <w:top w:val="single" w:sz="6" w:space="0" w:color="auto"/>
              <w:left w:val="single" w:sz="6" w:space="0" w:color="auto"/>
              <w:bottom w:val="single" w:sz="6" w:space="0" w:color="auto"/>
              <w:right w:val="single" w:sz="6" w:space="0" w:color="auto"/>
            </w:tcBorders>
          </w:tcPr>
          <w:p w:rsidR="00000000" w:rsidRDefault="00582B24">
            <w:pPr>
              <w:jc w:val="center"/>
              <w:rPr>
                <w:rFonts w:ascii="Univers" w:hAnsi="Univers"/>
                <w:b/>
                <w:sz w:val="22"/>
              </w:rPr>
            </w:pPr>
          </w:p>
          <w:p w:rsidR="00000000" w:rsidRDefault="00582B24">
            <w:pPr>
              <w:jc w:val="center"/>
              <w:rPr>
                <w:rFonts w:ascii="Univers" w:hAnsi="Univers"/>
                <w:b/>
              </w:rPr>
            </w:pPr>
            <w:r>
              <w:rPr>
                <w:rFonts w:ascii="Univers" w:hAnsi="Univers"/>
                <w:b/>
                <w:sz w:val="22"/>
              </w:rPr>
              <w:t>Appropriations Subcommittee Bills</w:t>
            </w:r>
          </w:p>
        </w:tc>
      </w:tr>
      <w:tr w:rsidR="00000000">
        <w:tblPrEx>
          <w:tblCellMar>
            <w:top w:w="0" w:type="dxa"/>
            <w:bottom w:w="0" w:type="dxa"/>
          </w:tblCellMar>
        </w:tblPrEx>
        <w:trPr>
          <w:tblHeader/>
        </w:trPr>
        <w:tc>
          <w:tcPr>
            <w:tcW w:w="2197" w:type="dxa"/>
            <w:tcBorders>
              <w:top w:val="single" w:sz="6" w:space="0" w:color="auto"/>
              <w:left w:val="single" w:sz="6" w:space="0" w:color="auto"/>
              <w:bottom w:val="single" w:sz="6" w:space="0" w:color="auto"/>
            </w:tcBorders>
          </w:tcPr>
          <w:p w:rsidR="00000000" w:rsidRDefault="00582B24">
            <w:pPr>
              <w:rPr>
                <w:rFonts w:ascii="Univers" w:hAnsi="Univers"/>
                <w:b/>
              </w:rPr>
            </w:pPr>
            <w:r>
              <w:rPr>
                <w:rFonts w:ascii="Univers" w:hAnsi="Univers"/>
                <w:b/>
              </w:rPr>
              <w:t>Appropriations Subcommittee</w:t>
            </w:r>
          </w:p>
        </w:tc>
        <w:tc>
          <w:tcPr>
            <w:tcW w:w="262" w:type="dxa"/>
            <w:tcBorders>
              <w:top w:val="single" w:sz="6" w:space="0" w:color="auto"/>
              <w:bottom w:val="single" w:sz="6" w:space="0" w:color="auto"/>
            </w:tcBorders>
          </w:tcPr>
          <w:p w:rsidR="00000000" w:rsidRDefault="00582B24">
            <w:pPr>
              <w:rPr>
                <w:rFonts w:ascii="Univers" w:hAnsi="Univers"/>
                <w:b/>
              </w:rPr>
            </w:pPr>
          </w:p>
        </w:tc>
        <w:tc>
          <w:tcPr>
            <w:tcW w:w="1501" w:type="dxa"/>
            <w:tcBorders>
              <w:top w:val="single" w:sz="6" w:space="0" w:color="auto"/>
              <w:bottom w:val="single" w:sz="6" w:space="0" w:color="auto"/>
            </w:tcBorders>
          </w:tcPr>
          <w:p w:rsidR="00000000" w:rsidRDefault="00582B24">
            <w:pPr>
              <w:rPr>
                <w:rFonts w:ascii="Univers" w:hAnsi="Univers"/>
                <w:b/>
              </w:rPr>
            </w:pPr>
          </w:p>
          <w:p w:rsidR="00000000" w:rsidRDefault="00582B24">
            <w:pPr>
              <w:rPr>
                <w:rFonts w:ascii="Univers" w:hAnsi="Univers"/>
                <w:b/>
              </w:rPr>
            </w:pPr>
            <w:r>
              <w:rPr>
                <w:rFonts w:ascii="Univers" w:hAnsi="Univers"/>
                <w:b/>
              </w:rPr>
              <w:t>LSB/File #</w:t>
            </w:r>
          </w:p>
        </w:tc>
        <w:tc>
          <w:tcPr>
            <w:tcW w:w="296" w:type="dxa"/>
            <w:tcBorders>
              <w:top w:val="single" w:sz="6" w:space="0" w:color="auto"/>
            </w:tcBorders>
          </w:tcPr>
          <w:p w:rsidR="00000000" w:rsidRDefault="00582B24">
            <w:pPr>
              <w:rPr>
                <w:rFonts w:ascii="Univers" w:hAnsi="Univers"/>
                <w:b/>
              </w:rPr>
            </w:pPr>
          </w:p>
        </w:tc>
        <w:tc>
          <w:tcPr>
            <w:tcW w:w="3034" w:type="dxa"/>
            <w:tcBorders>
              <w:top w:val="single" w:sz="6" w:space="0" w:color="auto"/>
              <w:bottom w:val="single" w:sz="6" w:space="0" w:color="auto"/>
              <w:right w:val="single" w:sz="6" w:space="0" w:color="auto"/>
            </w:tcBorders>
          </w:tcPr>
          <w:p w:rsidR="00000000" w:rsidRDefault="00582B24">
            <w:pPr>
              <w:rPr>
                <w:rFonts w:ascii="Univers" w:hAnsi="Univers"/>
                <w:b/>
              </w:rPr>
            </w:pPr>
          </w:p>
          <w:p w:rsidR="00000000" w:rsidRDefault="00582B24">
            <w:pPr>
              <w:rPr>
                <w:rFonts w:ascii="Univers" w:hAnsi="Univers"/>
                <w:b/>
              </w:rPr>
            </w:pPr>
            <w:r>
              <w:rPr>
                <w:rFonts w:ascii="Univers" w:hAnsi="Univers"/>
                <w:b/>
              </w:rPr>
              <w:t>Status</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62"/>
              </w:tabs>
              <w:rPr>
                <w:rFonts w:ascii="Univers" w:hAnsi="Univers"/>
              </w:rPr>
            </w:pPr>
            <w:r>
              <w:rPr>
                <w:rFonts w:ascii="Univers" w:hAnsi="Univers"/>
              </w:rPr>
              <w:t>Admin./Regulation</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HF 2498</w:t>
            </w:r>
          </w:p>
        </w:tc>
        <w:tc>
          <w:tcPr>
            <w:tcW w:w="296" w:type="dxa"/>
            <w:tcBorders>
              <w:top w:val="single" w:sz="6" w:space="0" w:color="auto"/>
              <w:bottom w:val="single" w:sz="6" w:space="0" w:color="auto"/>
            </w:tcBorders>
          </w:tcPr>
          <w:p w:rsidR="00000000" w:rsidRDefault="00582B24">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582B24">
            <w:pPr>
              <w:rPr>
                <w:rFonts w:ascii="Univers" w:hAnsi="Univers"/>
              </w:rPr>
            </w:pPr>
            <w:r>
              <w:rPr>
                <w:rFonts w:ascii="Univers" w:hAnsi="Univers"/>
              </w:rPr>
              <w:t>Passed House Approps. on Feb. 25.</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62"/>
              </w:tabs>
              <w:rPr>
                <w:rFonts w:ascii="Univers" w:hAnsi="Univers"/>
              </w:rPr>
            </w:pPr>
            <w:r>
              <w:rPr>
                <w:rFonts w:ascii="Univers" w:hAnsi="Univers"/>
              </w:rPr>
              <w:t xml:space="preserve">Ag./Natural  </w:t>
            </w:r>
            <w:r>
              <w:rPr>
                <w:rFonts w:ascii="Univers" w:hAnsi="Univers"/>
              </w:rPr>
              <w:tab/>
              <w:t>Resources</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 xml:space="preserve">SF 2295 </w:t>
            </w:r>
          </w:p>
        </w:tc>
        <w:tc>
          <w:tcPr>
            <w:tcW w:w="296" w:type="dxa"/>
            <w:tcBorders>
              <w:top w:val="single" w:sz="6" w:space="0" w:color="auto"/>
              <w:bottom w:val="single" w:sz="6" w:space="0" w:color="auto"/>
            </w:tcBorders>
          </w:tcPr>
          <w:p w:rsidR="00000000" w:rsidRDefault="00582B24">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582B24">
            <w:pPr>
              <w:rPr>
                <w:rFonts w:ascii="Univers" w:hAnsi="Univers"/>
              </w:rPr>
            </w:pPr>
            <w:r>
              <w:rPr>
                <w:rFonts w:ascii="Univers" w:hAnsi="Univers"/>
              </w:rPr>
              <w:t>Passed Senate on March 4.</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62"/>
              </w:tabs>
              <w:rPr>
                <w:rFonts w:ascii="Univers" w:hAnsi="Univers"/>
              </w:rPr>
            </w:pPr>
            <w:r>
              <w:rPr>
                <w:rFonts w:ascii="Univers" w:hAnsi="Univers"/>
              </w:rPr>
              <w:t xml:space="preserve">Economic </w:t>
            </w:r>
            <w:r>
              <w:rPr>
                <w:rFonts w:ascii="Univers" w:hAnsi="Univers"/>
              </w:rPr>
              <w:tab/>
              <w:t>Development</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SF 2296</w:t>
            </w:r>
          </w:p>
        </w:tc>
        <w:tc>
          <w:tcPr>
            <w:tcW w:w="296" w:type="dxa"/>
            <w:tcBorders>
              <w:top w:val="single" w:sz="6" w:space="0" w:color="auto"/>
              <w:bottom w:val="single" w:sz="6" w:space="0" w:color="auto"/>
            </w:tcBorders>
          </w:tcPr>
          <w:p w:rsidR="00000000" w:rsidRDefault="00582B24">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582B24">
            <w:pPr>
              <w:rPr>
                <w:rFonts w:ascii="Univers" w:hAnsi="Univers"/>
              </w:rPr>
            </w:pPr>
            <w:r>
              <w:rPr>
                <w:rFonts w:ascii="Univers" w:hAnsi="Univers"/>
              </w:rPr>
              <w:t>Passed Senate Approps. on</w:t>
            </w:r>
          </w:p>
          <w:p w:rsidR="00000000" w:rsidRDefault="00582B24">
            <w:pPr>
              <w:rPr>
                <w:rFonts w:ascii="Univers" w:hAnsi="Univers"/>
              </w:rPr>
            </w:pPr>
            <w:r>
              <w:rPr>
                <w:rFonts w:ascii="Univers" w:hAnsi="Univers"/>
              </w:rPr>
              <w:t>Feb. 19.</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62"/>
              </w:tabs>
              <w:rPr>
                <w:rFonts w:ascii="Univers" w:hAnsi="Univers"/>
              </w:rPr>
            </w:pPr>
            <w:r>
              <w:rPr>
                <w:rFonts w:ascii="Univers" w:hAnsi="Univers"/>
              </w:rPr>
              <w:t>Education</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HF 2533</w:t>
            </w:r>
          </w:p>
        </w:tc>
        <w:tc>
          <w:tcPr>
            <w:tcW w:w="296" w:type="dxa"/>
            <w:tcBorders>
              <w:top w:val="single" w:sz="6" w:space="0" w:color="auto"/>
              <w:left w:val="nil"/>
              <w:bottom w:val="single" w:sz="6" w:space="0" w:color="auto"/>
            </w:tcBorders>
          </w:tcPr>
          <w:p w:rsidR="00000000" w:rsidRDefault="00582B24">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582B24">
            <w:pPr>
              <w:rPr>
                <w:rFonts w:ascii="Univers" w:hAnsi="Univers"/>
              </w:rPr>
            </w:pPr>
            <w:r>
              <w:rPr>
                <w:rFonts w:ascii="Univers" w:hAnsi="Univers"/>
              </w:rPr>
              <w:t>Passed House Approps.</w:t>
            </w:r>
            <w:r>
              <w:rPr>
                <w:rFonts w:ascii="Univers" w:hAnsi="Univers"/>
              </w:rPr>
              <w:t xml:space="preserve"> on March 4.</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62"/>
              </w:tabs>
              <w:rPr>
                <w:rFonts w:ascii="Univers" w:hAnsi="Univers"/>
              </w:rPr>
            </w:pPr>
            <w:r>
              <w:rPr>
                <w:rFonts w:ascii="Univers" w:hAnsi="Univers"/>
              </w:rPr>
              <w:t>Health/Human Rights</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SF 2280</w:t>
            </w:r>
          </w:p>
        </w:tc>
        <w:tc>
          <w:tcPr>
            <w:tcW w:w="296" w:type="dxa"/>
            <w:tcBorders>
              <w:top w:val="single" w:sz="6" w:space="0" w:color="auto"/>
              <w:left w:val="nil"/>
              <w:bottom w:val="single" w:sz="6" w:space="0" w:color="auto"/>
            </w:tcBorders>
          </w:tcPr>
          <w:p w:rsidR="00000000" w:rsidRDefault="00582B24">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582B24">
            <w:pPr>
              <w:rPr>
                <w:rFonts w:ascii="Univers" w:hAnsi="Univers"/>
              </w:rPr>
            </w:pPr>
            <w:r>
              <w:rPr>
                <w:rFonts w:ascii="Univers" w:hAnsi="Univers"/>
              </w:rPr>
              <w:t>Passed Senate Approps. on Feb. 18.</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62"/>
              </w:tabs>
              <w:rPr>
                <w:rFonts w:ascii="Univers" w:hAnsi="Univers"/>
              </w:rPr>
            </w:pPr>
            <w:r>
              <w:rPr>
                <w:rFonts w:ascii="Univers" w:hAnsi="Univers"/>
              </w:rPr>
              <w:t>Human Services</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LSB3174</w:t>
            </w:r>
          </w:p>
        </w:tc>
        <w:tc>
          <w:tcPr>
            <w:tcW w:w="296" w:type="dxa"/>
            <w:tcBorders>
              <w:top w:val="single" w:sz="6" w:space="0" w:color="auto"/>
              <w:left w:val="nil"/>
              <w:bottom w:val="single" w:sz="6" w:space="0" w:color="auto"/>
            </w:tcBorders>
          </w:tcPr>
          <w:p w:rsidR="00000000" w:rsidRDefault="00582B24">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582B24">
            <w:pPr>
              <w:rPr>
                <w:rFonts w:ascii="Univers" w:hAnsi="Univers"/>
              </w:rPr>
            </w:pPr>
            <w:r>
              <w:rPr>
                <w:rFonts w:ascii="Univers" w:hAnsi="Univers"/>
              </w:rPr>
              <w:t>Passed Joint Subcommittee on March 5.</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62"/>
              </w:tabs>
              <w:rPr>
                <w:rFonts w:ascii="Univers" w:hAnsi="Univers"/>
              </w:rPr>
            </w:pPr>
            <w:r>
              <w:rPr>
                <w:rFonts w:ascii="Univers" w:hAnsi="Univers"/>
              </w:rPr>
              <w:t>Justice System</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p>
        </w:tc>
        <w:tc>
          <w:tcPr>
            <w:tcW w:w="296" w:type="dxa"/>
            <w:tcBorders>
              <w:top w:val="single" w:sz="6" w:space="0" w:color="auto"/>
              <w:left w:val="nil"/>
              <w:bottom w:val="single" w:sz="6" w:space="0" w:color="auto"/>
            </w:tcBorders>
          </w:tcPr>
          <w:p w:rsidR="00000000" w:rsidRDefault="00582B24">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582B24">
            <w:pPr>
              <w:rPr>
                <w:rFonts w:ascii="Univers" w:hAnsi="Univers"/>
              </w:rPr>
            </w:pPr>
            <w:r>
              <w:rPr>
                <w:rFonts w:ascii="Univers" w:hAnsi="Univers"/>
              </w:rPr>
              <w:t>Expect to finalize Subcommittee bill this week.</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62"/>
              </w:tabs>
              <w:rPr>
                <w:rFonts w:ascii="Univers" w:hAnsi="Univers"/>
              </w:rPr>
            </w:pPr>
            <w:r>
              <w:rPr>
                <w:rFonts w:ascii="Univers" w:hAnsi="Univers"/>
              </w:rPr>
              <w:t>Oversight &amp; Comm.</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LSB 3181JA</w:t>
            </w:r>
          </w:p>
        </w:tc>
        <w:tc>
          <w:tcPr>
            <w:tcW w:w="296" w:type="dxa"/>
            <w:tcBorders>
              <w:top w:val="single" w:sz="6" w:space="0" w:color="auto"/>
              <w:left w:val="nil"/>
              <w:bottom w:val="single" w:sz="6" w:space="0" w:color="auto"/>
            </w:tcBorders>
          </w:tcPr>
          <w:p w:rsidR="00000000" w:rsidRDefault="00582B24">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582B24">
            <w:pPr>
              <w:rPr>
                <w:rFonts w:ascii="Univers" w:hAnsi="Univers"/>
              </w:rPr>
            </w:pPr>
            <w:r>
              <w:rPr>
                <w:rFonts w:ascii="Univers" w:hAnsi="Univers"/>
              </w:rPr>
              <w:t>Joint Subcommittee passed bill on March 2.</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62"/>
              </w:tabs>
              <w:rPr>
                <w:rFonts w:ascii="Univers" w:hAnsi="Univers"/>
              </w:rPr>
            </w:pPr>
            <w:r>
              <w:rPr>
                <w:rFonts w:ascii="Univers" w:hAnsi="Univers"/>
              </w:rPr>
              <w:t>Trans.,</w:t>
            </w:r>
            <w:r>
              <w:rPr>
                <w:rFonts w:ascii="Univers" w:hAnsi="Univers"/>
              </w:rPr>
              <w:tab/>
              <w:t>Infrastruc-</w:t>
            </w:r>
            <w:r>
              <w:rPr>
                <w:rFonts w:ascii="Univers" w:hAnsi="Univers"/>
              </w:rPr>
              <w:tab/>
              <w:t>ture, &amp; Capitals</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HF 2499</w:t>
            </w:r>
          </w:p>
          <w:p w:rsidR="00000000" w:rsidRDefault="00582B24">
            <w:pPr>
              <w:rPr>
                <w:rFonts w:ascii="Univers" w:hAnsi="Univers"/>
              </w:rPr>
            </w:pPr>
          </w:p>
          <w:p w:rsidR="00000000" w:rsidRDefault="00582B24">
            <w:pPr>
              <w:rPr>
                <w:rFonts w:ascii="Univers" w:hAnsi="Univers"/>
              </w:rPr>
            </w:pPr>
          </w:p>
          <w:p w:rsidR="00000000" w:rsidRDefault="00582B24">
            <w:pPr>
              <w:rPr>
                <w:rFonts w:ascii="Univers" w:hAnsi="Univers"/>
              </w:rPr>
            </w:pPr>
            <w:r>
              <w:rPr>
                <w:rFonts w:ascii="Univers" w:hAnsi="Univers"/>
              </w:rPr>
              <w:t>SF 2381</w:t>
            </w:r>
          </w:p>
        </w:tc>
        <w:tc>
          <w:tcPr>
            <w:tcW w:w="296" w:type="dxa"/>
            <w:tcBorders>
              <w:top w:val="single" w:sz="6" w:space="0" w:color="auto"/>
              <w:left w:val="nil"/>
              <w:bottom w:val="single" w:sz="6" w:space="0" w:color="auto"/>
            </w:tcBorders>
          </w:tcPr>
          <w:p w:rsidR="00000000" w:rsidRDefault="00582B24">
            <w:pPr>
              <w:rPr>
                <w:rFonts w:ascii="Univers" w:hAnsi="Univers"/>
              </w:rPr>
            </w:pPr>
          </w:p>
        </w:tc>
        <w:tc>
          <w:tcPr>
            <w:tcW w:w="3034" w:type="dxa"/>
            <w:tcBorders>
              <w:top w:val="single" w:sz="6" w:space="0" w:color="auto"/>
              <w:left w:val="nil"/>
              <w:bottom w:val="single" w:sz="6" w:space="0" w:color="auto"/>
              <w:right w:val="single" w:sz="6" w:space="0" w:color="auto"/>
            </w:tcBorders>
          </w:tcPr>
          <w:p w:rsidR="00000000" w:rsidRDefault="00582B24">
            <w:pPr>
              <w:rPr>
                <w:rFonts w:ascii="Univers" w:hAnsi="Univers"/>
              </w:rPr>
            </w:pPr>
            <w:r>
              <w:rPr>
                <w:rFonts w:ascii="Univers" w:hAnsi="Univers"/>
              </w:rPr>
              <w:t xml:space="preserve">Transportation Appropriations Bill passed House on Mar. 4. </w:t>
            </w:r>
          </w:p>
          <w:p w:rsidR="00000000" w:rsidRDefault="00582B24">
            <w:pPr>
              <w:rPr>
                <w:rFonts w:ascii="Univers" w:hAnsi="Univers"/>
              </w:rPr>
            </w:pPr>
          </w:p>
          <w:p w:rsidR="00000000" w:rsidRDefault="00582B24">
            <w:pPr>
              <w:rPr>
                <w:rFonts w:ascii="Univers" w:hAnsi="Univers"/>
              </w:rPr>
            </w:pPr>
            <w:r>
              <w:rPr>
                <w:rFonts w:ascii="Univers" w:hAnsi="Univers"/>
              </w:rPr>
              <w:t>Infrastructure Bill passed Senate Approps. on Feb. 25.</w:t>
            </w:r>
          </w:p>
        </w:tc>
      </w:tr>
      <w:tr w:rsidR="00000000">
        <w:tblPrEx>
          <w:tblCellMar>
            <w:top w:w="0" w:type="dxa"/>
            <w:bottom w:w="0" w:type="dxa"/>
          </w:tblCellMar>
        </w:tblPrEx>
        <w:trPr>
          <w:trHeight w:hRule="exact" w:val="700"/>
          <w:tblHeader/>
        </w:trPr>
        <w:tc>
          <w:tcPr>
            <w:tcW w:w="7290" w:type="dxa"/>
            <w:gridSpan w:val="5"/>
            <w:tcBorders>
              <w:top w:val="single" w:sz="6" w:space="0" w:color="auto"/>
              <w:left w:val="single" w:sz="6" w:space="0" w:color="auto"/>
              <w:bottom w:val="single" w:sz="6" w:space="0" w:color="auto"/>
              <w:right w:val="single" w:sz="6" w:space="0" w:color="auto"/>
            </w:tcBorders>
          </w:tcPr>
          <w:p w:rsidR="00000000" w:rsidRDefault="00582B24">
            <w:pPr>
              <w:jc w:val="center"/>
              <w:rPr>
                <w:rFonts w:ascii="Univers" w:hAnsi="Univers"/>
                <w:b/>
              </w:rPr>
            </w:pPr>
          </w:p>
          <w:p w:rsidR="00000000" w:rsidRDefault="00582B24">
            <w:pPr>
              <w:jc w:val="center"/>
              <w:rPr>
                <w:rFonts w:ascii="Univers" w:hAnsi="Univers"/>
                <w:b/>
              </w:rPr>
            </w:pPr>
            <w:r>
              <w:rPr>
                <w:rFonts w:ascii="Univers" w:hAnsi="Univers"/>
                <w:b/>
                <w:sz w:val="22"/>
              </w:rPr>
              <w:t>Other Appropriations Bills</w:t>
            </w:r>
          </w:p>
        </w:tc>
      </w:tr>
      <w:tr w:rsidR="00000000">
        <w:tblPrEx>
          <w:tblCellMar>
            <w:top w:w="0" w:type="dxa"/>
            <w:bottom w:w="0" w:type="dxa"/>
          </w:tblCellMar>
        </w:tblPrEx>
        <w:trPr>
          <w:tblHeader/>
        </w:trPr>
        <w:tc>
          <w:tcPr>
            <w:tcW w:w="2197" w:type="dxa"/>
            <w:tcBorders>
              <w:left w:val="single" w:sz="6" w:space="0" w:color="auto"/>
            </w:tcBorders>
          </w:tcPr>
          <w:p w:rsidR="00000000" w:rsidRDefault="00582B24">
            <w:pPr>
              <w:rPr>
                <w:rFonts w:ascii="Univers" w:hAnsi="Univers"/>
                <w:b/>
              </w:rPr>
            </w:pPr>
            <w:r>
              <w:rPr>
                <w:rFonts w:ascii="Univers" w:hAnsi="Univers"/>
                <w:b/>
              </w:rPr>
              <w:t>Subject</w:t>
            </w:r>
          </w:p>
        </w:tc>
        <w:tc>
          <w:tcPr>
            <w:tcW w:w="262" w:type="dxa"/>
            <w:tcBorders>
              <w:top w:val="single" w:sz="6" w:space="0" w:color="auto"/>
            </w:tcBorders>
          </w:tcPr>
          <w:p w:rsidR="00000000" w:rsidRDefault="00582B24">
            <w:pPr>
              <w:rPr>
                <w:rFonts w:ascii="Univers" w:hAnsi="Univers"/>
                <w:b/>
              </w:rPr>
            </w:pPr>
          </w:p>
        </w:tc>
        <w:tc>
          <w:tcPr>
            <w:tcW w:w="1501" w:type="dxa"/>
            <w:tcBorders>
              <w:top w:val="single" w:sz="6" w:space="0" w:color="auto"/>
            </w:tcBorders>
          </w:tcPr>
          <w:p w:rsidR="00000000" w:rsidRDefault="00582B24">
            <w:pPr>
              <w:rPr>
                <w:rFonts w:ascii="Univers" w:hAnsi="Univers"/>
                <w:b/>
              </w:rPr>
            </w:pPr>
            <w:r>
              <w:rPr>
                <w:rFonts w:ascii="Univers" w:hAnsi="Univers"/>
                <w:b/>
              </w:rPr>
              <w:t>File #</w:t>
            </w:r>
          </w:p>
        </w:tc>
        <w:tc>
          <w:tcPr>
            <w:tcW w:w="296" w:type="dxa"/>
            <w:tcBorders>
              <w:top w:val="single" w:sz="6" w:space="0" w:color="auto"/>
            </w:tcBorders>
          </w:tcPr>
          <w:p w:rsidR="00000000" w:rsidRDefault="00582B24">
            <w:pPr>
              <w:rPr>
                <w:rFonts w:ascii="Univers" w:hAnsi="Univers"/>
                <w:b/>
              </w:rPr>
            </w:pPr>
          </w:p>
        </w:tc>
        <w:tc>
          <w:tcPr>
            <w:tcW w:w="3034" w:type="dxa"/>
            <w:tcBorders>
              <w:right w:val="single" w:sz="6" w:space="0" w:color="auto"/>
            </w:tcBorders>
          </w:tcPr>
          <w:p w:rsidR="00000000" w:rsidRDefault="00582B24">
            <w:pPr>
              <w:rPr>
                <w:rFonts w:ascii="Univers" w:hAnsi="Univers"/>
                <w:b/>
              </w:rPr>
            </w:pPr>
            <w:r>
              <w:rPr>
                <w:rFonts w:ascii="Univers" w:hAnsi="Univers"/>
                <w:b/>
              </w:rPr>
              <w:t>Status</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62"/>
              </w:tabs>
              <w:rPr>
                <w:rFonts w:ascii="Univers" w:hAnsi="Univers"/>
              </w:rPr>
            </w:pPr>
            <w:r>
              <w:rPr>
                <w:rFonts w:ascii="Univers" w:hAnsi="Univers"/>
              </w:rPr>
              <w:t>On-Time Funding</w:t>
            </w:r>
          </w:p>
          <w:p w:rsidR="00000000" w:rsidRDefault="00582B24">
            <w:pPr>
              <w:tabs>
                <w:tab w:val="left" w:pos="162"/>
              </w:tabs>
              <w:rPr>
                <w:rFonts w:ascii="Univers" w:hAnsi="Univers"/>
              </w:rPr>
            </w:pPr>
            <w:r>
              <w:rPr>
                <w:rFonts w:ascii="Univers" w:hAnsi="Univers"/>
              </w:rPr>
              <w:t xml:space="preserve">  $4 mil GF</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HF 2130</w:t>
            </w:r>
          </w:p>
        </w:tc>
        <w:tc>
          <w:tcPr>
            <w:tcW w:w="296" w:type="dxa"/>
            <w:tcBorders>
              <w:top w:val="single" w:sz="6" w:space="0" w:color="auto"/>
              <w:bottom w:val="single" w:sz="6" w:space="0" w:color="auto"/>
            </w:tcBorders>
          </w:tcPr>
          <w:p w:rsidR="00000000" w:rsidRDefault="00582B24">
            <w:pPr>
              <w:rPr>
                <w:rFonts w:ascii="Univers" w:hAnsi="Univers"/>
              </w:rPr>
            </w:pPr>
          </w:p>
        </w:tc>
        <w:tc>
          <w:tcPr>
            <w:tcW w:w="3034" w:type="dxa"/>
            <w:tcBorders>
              <w:top w:val="single" w:sz="6" w:space="0" w:color="auto"/>
              <w:bottom w:val="single" w:sz="6" w:space="0" w:color="auto"/>
              <w:right w:val="single" w:sz="6" w:space="0" w:color="auto"/>
            </w:tcBorders>
          </w:tcPr>
          <w:p w:rsidR="00000000" w:rsidRDefault="00582B24">
            <w:pPr>
              <w:rPr>
                <w:rFonts w:ascii="Univers" w:hAnsi="Univers"/>
              </w:rPr>
            </w:pPr>
            <w:r>
              <w:rPr>
                <w:rFonts w:ascii="Univers" w:hAnsi="Univers"/>
              </w:rPr>
              <w:t>Passed House Educ.  In House Approps.</w:t>
            </w:r>
          </w:p>
        </w:tc>
      </w:tr>
      <w:tr w:rsidR="00000000">
        <w:tblPrEx>
          <w:tblCellMar>
            <w:top w:w="0" w:type="dxa"/>
            <w:bottom w:w="0" w:type="dxa"/>
          </w:tblCellMar>
        </w:tblPrEx>
        <w:tc>
          <w:tcPr>
            <w:tcW w:w="2197" w:type="dxa"/>
            <w:tcBorders>
              <w:top w:val="single" w:sz="6" w:space="0" w:color="auto"/>
              <w:left w:val="single" w:sz="6" w:space="0" w:color="auto"/>
            </w:tcBorders>
          </w:tcPr>
          <w:p w:rsidR="00000000" w:rsidRDefault="00582B24">
            <w:pPr>
              <w:tabs>
                <w:tab w:val="left" w:pos="162"/>
              </w:tabs>
              <w:rPr>
                <w:rFonts w:ascii="Univers" w:hAnsi="Univers"/>
              </w:rPr>
            </w:pPr>
            <w:r>
              <w:rPr>
                <w:rFonts w:ascii="Univers" w:hAnsi="Univers"/>
              </w:rPr>
              <w:t>Oil Overcharge</w:t>
            </w:r>
          </w:p>
        </w:tc>
        <w:tc>
          <w:tcPr>
            <w:tcW w:w="262" w:type="dxa"/>
            <w:tcBorders>
              <w:top w:val="single" w:sz="6" w:space="0" w:color="auto"/>
            </w:tcBorders>
          </w:tcPr>
          <w:p w:rsidR="00000000" w:rsidRDefault="00582B24">
            <w:pPr>
              <w:rPr>
                <w:rFonts w:ascii="Univers" w:hAnsi="Univers"/>
              </w:rPr>
            </w:pPr>
          </w:p>
        </w:tc>
        <w:tc>
          <w:tcPr>
            <w:tcW w:w="1501" w:type="dxa"/>
            <w:tcBorders>
              <w:top w:val="single" w:sz="6" w:space="0" w:color="auto"/>
            </w:tcBorders>
          </w:tcPr>
          <w:p w:rsidR="00000000" w:rsidRDefault="00582B24">
            <w:pPr>
              <w:rPr>
                <w:rFonts w:ascii="Univers" w:hAnsi="Univers"/>
              </w:rPr>
            </w:pPr>
            <w:r>
              <w:rPr>
                <w:rFonts w:ascii="Univers" w:hAnsi="Univers"/>
              </w:rPr>
              <w:t>HF 2210</w:t>
            </w:r>
          </w:p>
        </w:tc>
        <w:tc>
          <w:tcPr>
            <w:tcW w:w="296" w:type="dxa"/>
            <w:tcBorders>
              <w:top w:val="single" w:sz="6" w:space="0" w:color="auto"/>
            </w:tcBorders>
          </w:tcPr>
          <w:p w:rsidR="00000000" w:rsidRDefault="00582B24">
            <w:pPr>
              <w:rPr>
                <w:rFonts w:ascii="Univers" w:hAnsi="Univers"/>
              </w:rPr>
            </w:pPr>
          </w:p>
        </w:tc>
        <w:tc>
          <w:tcPr>
            <w:tcW w:w="3034" w:type="dxa"/>
            <w:tcBorders>
              <w:top w:val="single" w:sz="6" w:space="0" w:color="auto"/>
              <w:right w:val="single" w:sz="6" w:space="0" w:color="auto"/>
            </w:tcBorders>
          </w:tcPr>
          <w:p w:rsidR="00000000" w:rsidRDefault="00582B24">
            <w:pPr>
              <w:rPr>
                <w:rFonts w:ascii="Univers" w:hAnsi="Univers"/>
              </w:rPr>
            </w:pPr>
            <w:r>
              <w:rPr>
                <w:rFonts w:ascii="Univers" w:hAnsi="Univers"/>
              </w:rPr>
              <w:t>Passed Senate Approps. on Feb. 24.</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62"/>
              </w:tabs>
              <w:rPr>
                <w:rFonts w:ascii="Univers" w:hAnsi="Univers"/>
              </w:rPr>
            </w:pPr>
            <w:r>
              <w:rPr>
                <w:rFonts w:ascii="Univers" w:hAnsi="Univers"/>
              </w:rPr>
              <w:t xml:space="preserve">Fed. Block Grant </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HF 2218</w:t>
            </w:r>
          </w:p>
        </w:tc>
        <w:tc>
          <w:tcPr>
            <w:tcW w:w="296" w:type="dxa"/>
            <w:tcBorders>
              <w:top w:val="single" w:sz="6" w:space="0" w:color="auto"/>
              <w:bottom w:val="single" w:sz="6" w:space="0" w:color="auto"/>
            </w:tcBorders>
          </w:tcPr>
          <w:p w:rsidR="00000000" w:rsidRDefault="00582B24">
            <w:pPr>
              <w:rPr>
                <w:rFonts w:ascii="Univers" w:hAnsi="Univers"/>
              </w:rPr>
            </w:pPr>
          </w:p>
        </w:tc>
        <w:tc>
          <w:tcPr>
            <w:tcW w:w="3034" w:type="dxa"/>
            <w:tcBorders>
              <w:top w:val="single" w:sz="6" w:space="0" w:color="auto"/>
              <w:bottom w:val="single" w:sz="6" w:space="0" w:color="auto"/>
              <w:right w:val="single" w:sz="6" w:space="0" w:color="auto"/>
            </w:tcBorders>
          </w:tcPr>
          <w:p w:rsidR="00000000" w:rsidRDefault="00582B24">
            <w:pPr>
              <w:rPr>
                <w:rFonts w:ascii="Univers" w:hAnsi="Univers"/>
              </w:rPr>
            </w:pPr>
            <w:r>
              <w:rPr>
                <w:rFonts w:ascii="Univers" w:hAnsi="Univers"/>
              </w:rPr>
              <w:t>Passed Senate Approps. on March 5.</w:t>
            </w:r>
          </w:p>
        </w:tc>
      </w:tr>
      <w:tr w:rsidR="00000000">
        <w:tblPrEx>
          <w:tblCellMar>
            <w:top w:w="0" w:type="dxa"/>
            <w:bottom w:w="0" w:type="dxa"/>
          </w:tblCellMar>
        </w:tblPrEx>
        <w:tc>
          <w:tcPr>
            <w:tcW w:w="2197" w:type="dxa"/>
            <w:tcBorders>
              <w:left w:val="single" w:sz="6" w:space="0" w:color="auto"/>
              <w:bottom w:val="single" w:sz="6" w:space="0" w:color="auto"/>
            </w:tcBorders>
          </w:tcPr>
          <w:p w:rsidR="00000000" w:rsidRDefault="00582B24">
            <w:pPr>
              <w:tabs>
                <w:tab w:val="left" w:pos="-198"/>
                <w:tab w:val="left" w:pos="162"/>
              </w:tabs>
              <w:rPr>
                <w:rFonts w:ascii="Univers" w:hAnsi="Univers"/>
              </w:rPr>
            </w:pPr>
            <w:r>
              <w:rPr>
                <w:rFonts w:ascii="Univers" w:hAnsi="Univers"/>
              </w:rPr>
              <w:lastRenderedPageBreak/>
              <w:t xml:space="preserve">Obsolete &amp; Unneces-sary Provisions of the </w:t>
            </w:r>
            <w:r>
              <w:rPr>
                <w:rFonts w:ascii="Univers" w:hAnsi="Univers"/>
                <w:u w:val="single"/>
              </w:rPr>
              <w:t>Code</w:t>
            </w:r>
          </w:p>
        </w:tc>
        <w:tc>
          <w:tcPr>
            <w:tcW w:w="262" w:type="dxa"/>
            <w:tcBorders>
              <w:bottom w:val="single" w:sz="6" w:space="0" w:color="auto"/>
            </w:tcBorders>
          </w:tcPr>
          <w:p w:rsidR="00000000" w:rsidRDefault="00582B24">
            <w:pPr>
              <w:rPr>
                <w:rFonts w:ascii="Univers" w:hAnsi="Univers"/>
              </w:rPr>
            </w:pPr>
          </w:p>
        </w:tc>
        <w:tc>
          <w:tcPr>
            <w:tcW w:w="1501" w:type="dxa"/>
            <w:tcBorders>
              <w:bottom w:val="single" w:sz="6" w:space="0" w:color="auto"/>
            </w:tcBorders>
          </w:tcPr>
          <w:p w:rsidR="00000000" w:rsidRDefault="00582B24">
            <w:pPr>
              <w:rPr>
                <w:rFonts w:ascii="Univers" w:hAnsi="Univers"/>
              </w:rPr>
            </w:pPr>
            <w:r>
              <w:rPr>
                <w:rFonts w:ascii="Univers" w:hAnsi="Univers"/>
              </w:rPr>
              <w:t>HF 2271</w:t>
            </w:r>
          </w:p>
        </w:tc>
        <w:tc>
          <w:tcPr>
            <w:tcW w:w="296" w:type="dxa"/>
            <w:tcBorders>
              <w:bottom w:val="single" w:sz="6" w:space="0" w:color="auto"/>
            </w:tcBorders>
          </w:tcPr>
          <w:p w:rsidR="00000000" w:rsidRDefault="00582B24">
            <w:pPr>
              <w:rPr>
                <w:rFonts w:ascii="Univers" w:hAnsi="Univers"/>
              </w:rPr>
            </w:pPr>
          </w:p>
        </w:tc>
        <w:tc>
          <w:tcPr>
            <w:tcW w:w="3034" w:type="dxa"/>
            <w:tcBorders>
              <w:bottom w:val="single" w:sz="6" w:space="0" w:color="auto"/>
              <w:right w:val="single" w:sz="6" w:space="0" w:color="auto"/>
            </w:tcBorders>
          </w:tcPr>
          <w:p w:rsidR="00000000" w:rsidRDefault="00582B24">
            <w:pPr>
              <w:rPr>
                <w:rFonts w:ascii="Univers" w:hAnsi="Univers"/>
              </w:rPr>
            </w:pPr>
            <w:r>
              <w:rPr>
                <w:rFonts w:ascii="Univers" w:hAnsi="Univers"/>
              </w:rPr>
              <w:t>Passed House on March 5.</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98"/>
                <w:tab w:val="left" w:pos="162"/>
              </w:tabs>
              <w:rPr>
                <w:rFonts w:ascii="Univers" w:hAnsi="Univers"/>
              </w:rPr>
            </w:pPr>
            <w:r>
              <w:rPr>
                <w:rFonts w:ascii="Univers" w:hAnsi="Univers"/>
              </w:rPr>
              <w:t>FY 1998  Supplemental Appropriations</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HF 2395</w:t>
            </w:r>
          </w:p>
        </w:tc>
        <w:tc>
          <w:tcPr>
            <w:tcW w:w="296" w:type="dxa"/>
            <w:tcBorders>
              <w:top w:val="single" w:sz="6" w:space="0" w:color="auto"/>
              <w:bottom w:val="single" w:sz="6" w:space="0" w:color="auto"/>
            </w:tcBorders>
          </w:tcPr>
          <w:p w:rsidR="00000000" w:rsidRDefault="00582B24">
            <w:pPr>
              <w:rPr>
                <w:rFonts w:ascii="Univers" w:hAnsi="Univers"/>
              </w:rPr>
            </w:pPr>
          </w:p>
        </w:tc>
        <w:tc>
          <w:tcPr>
            <w:tcW w:w="3034" w:type="dxa"/>
            <w:tcBorders>
              <w:top w:val="single" w:sz="6" w:space="0" w:color="auto"/>
              <w:bottom w:val="single" w:sz="6" w:space="0" w:color="auto"/>
              <w:right w:val="single" w:sz="6" w:space="0" w:color="auto"/>
            </w:tcBorders>
          </w:tcPr>
          <w:p w:rsidR="00000000" w:rsidRDefault="00582B24">
            <w:pPr>
              <w:rPr>
                <w:rFonts w:ascii="Univers" w:hAnsi="Univers"/>
              </w:rPr>
            </w:pPr>
            <w:r>
              <w:rPr>
                <w:rFonts w:ascii="Univers" w:hAnsi="Univers"/>
              </w:rPr>
              <w:t xml:space="preserve">Passed House on March 2. </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98"/>
                <w:tab w:val="left" w:pos="162"/>
              </w:tabs>
              <w:rPr>
                <w:rFonts w:ascii="Univers" w:hAnsi="Univers"/>
              </w:rPr>
            </w:pPr>
            <w:r>
              <w:rPr>
                <w:rFonts w:ascii="Univers" w:hAnsi="Univers"/>
              </w:rPr>
              <w:t>Early Childhood Imperatives Program</w:t>
            </w:r>
          </w:p>
          <w:p w:rsidR="00000000" w:rsidRDefault="00582B24">
            <w:pPr>
              <w:tabs>
                <w:tab w:val="left" w:pos="-198"/>
                <w:tab w:val="left" w:pos="162"/>
              </w:tabs>
              <w:rPr>
                <w:rFonts w:ascii="Univers" w:hAnsi="Univers"/>
              </w:rPr>
            </w:pPr>
            <w:r>
              <w:rPr>
                <w:rFonts w:ascii="Univers" w:hAnsi="Univers"/>
              </w:rPr>
              <w:t xml:space="preserve">  $9 mil GF</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HF 2458</w:t>
            </w:r>
          </w:p>
        </w:tc>
        <w:tc>
          <w:tcPr>
            <w:tcW w:w="296" w:type="dxa"/>
            <w:tcBorders>
              <w:top w:val="single" w:sz="6" w:space="0" w:color="auto"/>
              <w:bottom w:val="single" w:sz="6" w:space="0" w:color="auto"/>
            </w:tcBorders>
          </w:tcPr>
          <w:p w:rsidR="00000000" w:rsidRDefault="00582B24">
            <w:pPr>
              <w:rPr>
                <w:rFonts w:ascii="Univers" w:hAnsi="Univers"/>
              </w:rPr>
            </w:pPr>
          </w:p>
        </w:tc>
        <w:tc>
          <w:tcPr>
            <w:tcW w:w="3034" w:type="dxa"/>
            <w:tcBorders>
              <w:top w:val="single" w:sz="6" w:space="0" w:color="auto"/>
              <w:bottom w:val="single" w:sz="6" w:space="0" w:color="auto"/>
              <w:right w:val="single" w:sz="6" w:space="0" w:color="auto"/>
            </w:tcBorders>
          </w:tcPr>
          <w:p w:rsidR="00000000" w:rsidRDefault="00582B24">
            <w:pPr>
              <w:rPr>
                <w:rFonts w:ascii="Univers" w:hAnsi="Univers"/>
              </w:rPr>
            </w:pPr>
            <w:r>
              <w:rPr>
                <w:rFonts w:ascii="Univers" w:hAnsi="Univers"/>
              </w:rPr>
              <w:t>Passed House Education Standing Committee on Feb. 24.  In House Approps.</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98"/>
                <w:tab w:val="left" w:pos="162"/>
              </w:tabs>
              <w:rPr>
                <w:rFonts w:ascii="Univers" w:hAnsi="Univers"/>
              </w:rPr>
            </w:pPr>
            <w:r>
              <w:rPr>
                <w:rFonts w:ascii="Univers" w:hAnsi="Univers"/>
              </w:rPr>
              <w:t>Teacher Certificati</w:t>
            </w:r>
            <w:r>
              <w:rPr>
                <w:rFonts w:ascii="Univers" w:hAnsi="Univers"/>
              </w:rPr>
              <w:t xml:space="preserve">on/Teacher Induction </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HF 2501</w:t>
            </w:r>
          </w:p>
        </w:tc>
        <w:tc>
          <w:tcPr>
            <w:tcW w:w="296" w:type="dxa"/>
            <w:tcBorders>
              <w:top w:val="single" w:sz="6" w:space="0" w:color="auto"/>
              <w:bottom w:val="single" w:sz="6" w:space="0" w:color="auto"/>
            </w:tcBorders>
          </w:tcPr>
          <w:p w:rsidR="00000000" w:rsidRDefault="00582B24">
            <w:pPr>
              <w:rPr>
                <w:rFonts w:ascii="Univers" w:hAnsi="Univers"/>
              </w:rPr>
            </w:pPr>
          </w:p>
        </w:tc>
        <w:tc>
          <w:tcPr>
            <w:tcW w:w="3034" w:type="dxa"/>
            <w:tcBorders>
              <w:top w:val="single" w:sz="6" w:space="0" w:color="auto"/>
              <w:bottom w:val="single" w:sz="6" w:space="0" w:color="auto"/>
              <w:right w:val="single" w:sz="6" w:space="0" w:color="auto"/>
            </w:tcBorders>
          </w:tcPr>
          <w:p w:rsidR="00000000" w:rsidRDefault="00582B24">
            <w:pPr>
              <w:rPr>
                <w:rFonts w:ascii="Univers" w:hAnsi="Univers"/>
              </w:rPr>
            </w:pPr>
            <w:r>
              <w:rPr>
                <w:rFonts w:ascii="Univers" w:hAnsi="Univers"/>
              </w:rPr>
              <w:t>Passed House Education Standing Committee.  In House Approps.</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98"/>
                <w:tab w:val="left" w:pos="162"/>
              </w:tabs>
              <w:rPr>
                <w:rFonts w:ascii="Univers" w:hAnsi="Univers"/>
              </w:rPr>
            </w:pPr>
            <w:r>
              <w:rPr>
                <w:rFonts w:ascii="Univers" w:hAnsi="Univers"/>
              </w:rPr>
              <w:t>School Ready Grant Program - House Bill</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HF 2500</w:t>
            </w:r>
          </w:p>
        </w:tc>
        <w:tc>
          <w:tcPr>
            <w:tcW w:w="296" w:type="dxa"/>
            <w:tcBorders>
              <w:top w:val="single" w:sz="6" w:space="0" w:color="auto"/>
              <w:bottom w:val="single" w:sz="6" w:space="0" w:color="auto"/>
            </w:tcBorders>
          </w:tcPr>
          <w:p w:rsidR="00000000" w:rsidRDefault="00582B24">
            <w:pPr>
              <w:rPr>
                <w:rFonts w:ascii="Univers" w:hAnsi="Univers"/>
              </w:rPr>
            </w:pPr>
          </w:p>
        </w:tc>
        <w:tc>
          <w:tcPr>
            <w:tcW w:w="3034" w:type="dxa"/>
            <w:tcBorders>
              <w:top w:val="single" w:sz="6" w:space="0" w:color="auto"/>
              <w:bottom w:val="single" w:sz="6" w:space="0" w:color="auto"/>
              <w:right w:val="single" w:sz="6" w:space="0" w:color="auto"/>
            </w:tcBorders>
          </w:tcPr>
          <w:p w:rsidR="00000000" w:rsidRDefault="00582B24">
            <w:pPr>
              <w:rPr>
                <w:rFonts w:ascii="Univers" w:hAnsi="Univers"/>
              </w:rPr>
            </w:pPr>
            <w:r>
              <w:rPr>
                <w:rFonts w:ascii="Univers" w:hAnsi="Univers"/>
              </w:rPr>
              <w:t>Passed House Education Standing Committee.  In House Approps.</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98"/>
                <w:tab w:val="left" w:pos="162"/>
              </w:tabs>
              <w:rPr>
                <w:rFonts w:ascii="Univers" w:hAnsi="Univers"/>
              </w:rPr>
            </w:pPr>
            <w:r>
              <w:rPr>
                <w:rFonts w:ascii="Univers" w:hAnsi="Univers"/>
              </w:rPr>
              <w:t>K-3 Funding</w:t>
            </w:r>
          </w:p>
          <w:p w:rsidR="00000000" w:rsidRDefault="00582B24">
            <w:pPr>
              <w:tabs>
                <w:tab w:val="left" w:pos="-198"/>
                <w:tab w:val="left" w:pos="162"/>
              </w:tabs>
              <w:rPr>
                <w:rFonts w:ascii="Univers" w:hAnsi="Univers"/>
              </w:rPr>
            </w:pPr>
            <w:r>
              <w:rPr>
                <w:rFonts w:ascii="Univers" w:hAnsi="Univers"/>
              </w:rPr>
              <w:t xml:space="preserve">  $7 mil GF</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SF 2193</w:t>
            </w:r>
          </w:p>
        </w:tc>
        <w:tc>
          <w:tcPr>
            <w:tcW w:w="296" w:type="dxa"/>
            <w:tcBorders>
              <w:top w:val="single" w:sz="6" w:space="0" w:color="auto"/>
              <w:bottom w:val="single" w:sz="6" w:space="0" w:color="auto"/>
            </w:tcBorders>
          </w:tcPr>
          <w:p w:rsidR="00000000" w:rsidRDefault="00582B24">
            <w:pPr>
              <w:rPr>
                <w:rFonts w:ascii="Univers" w:hAnsi="Univers"/>
              </w:rPr>
            </w:pPr>
          </w:p>
        </w:tc>
        <w:tc>
          <w:tcPr>
            <w:tcW w:w="3034" w:type="dxa"/>
            <w:tcBorders>
              <w:top w:val="single" w:sz="6" w:space="0" w:color="auto"/>
              <w:bottom w:val="single" w:sz="6" w:space="0" w:color="auto"/>
              <w:right w:val="single" w:sz="6" w:space="0" w:color="auto"/>
            </w:tcBorders>
          </w:tcPr>
          <w:p w:rsidR="00000000" w:rsidRDefault="00582B24">
            <w:pPr>
              <w:rPr>
                <w:rFonts w:ascii="Univers" w:hAnsi="Univers"/>
              </w:rPr>
            </w:pPr>
            <w:r>
              <w:rPr>
                <w:rFonts w:ascii="Univers" w:hAnsi="Univers"/>
              </w:rPr>
              <w:t>On Senate Calendar</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98"/>
                <w:tab w:val="left" w:pos="162"/>
              </w:tabs>
              <w:rPr>
                <w:rFonts w:ascii="Univers" w:hAnsi="Univers"/>
              </w:rPr>
            </w:pPr>
            <w:r>
              <w:rPr>
                <w:rFonts w:ascii="Univers" w:hAnsi="Univers"/>
              </w:rPr>
              <w:t>Mentoring</w:t>
            </w:r>
          </w:p>
          <w:p w:rsidR="00000000" w:rsidRDefault="00582B24">
            <w:pPr>
              <w:tabs>
                <w:tab w:val="left" w:pos="-198"/>
                <w:tab w:val="left" w:pos="162"/>
              </w:tabs>
              <w:rPr>
                <w:rFonts w:ascii="Univers" w:hAnsi="Univers"/>
              </w:rPr>
            </w:pPr>
            <w:r>
              <w:rPr>
                <w:rFonts w:ascii="Univers" w:hAnsi="Univers"/>
              </w:rPr>
              <w:t xml:space="preserve">  $180,000 GF</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SF 2215</w:t>
            </w:r>
          </w:p>
        </w:tc>
        <w:tc>
          <w:tcPr>
            <w:tcW w:w="296" w:type="dxa"/>
            <w:tcBorders>
              <w:top w:val="single" w:sz="6" w:space="0" w:color="auto"/>
              <w:bottom w:val="single" w:sz="6" w:space="0" w:color="auto"/>
            </w:tcBorders>
          </w:tcPr>
          <w:p w:rsidR="00000000" w:rsidRDefault="00582B24">
            <w:pPr>
              <w:rPr>
                <w:rFonts w:ascii="Univers" w:hAnsi="Univers"/>
              </w:rPr>
            </w:pPr>
          </w:p>
        </w:tc>
        <w:tc>
          <w:tcPr>
            <w:tcW w:w="3034" w:type="dxa"/>
            <w:tcBorders>
              <w:top w:val="single" w:sz="6" w:space="0" w:color="auto"/>
              <w:bottom w:val="single" w:sz="6" w:space="0" w:color="auto"/>
              <w:right w:val="single" w:sz="6" w:space="0" w:color="auto"/>
            </w:tcBorders>
          </w:tcPr>
          <w:p w:rsidR="00000000" w:rsidRDefault="00582B24">
            <w:pPr>
              <w:rPr>
                <w:rFonts w:ascii="Univers" w:hAnsi="Univers"/>
              </w:rPr>
            </w:pPr>
            <w:r>
              <w:rPr>
                <w:rFonts w:ascii="Univers" w:hAnsi="Univers"/>
              </w:rPr>
              <w:t>Passed Senate Educ. Standing Committee.  On Senate Calendar</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98"/>
                <w:tab w:val="left" w:pos="162"/>
              </w:tabs>
              <w:rPr>
                <w:rFonts w:ascii="Univers" w:hAnsi="Univers"/>
              </w:rPr>
            </w:pPr>
            <w:r>
              <w:rPr>
                <w:rFonts w:ascii="Univers" w:hAnsi="Univers"/>
              </w:rPr>
              <w:t>Education Reform</w:t>
            </w:r>
          </w:p>
          <w:p w:rsidR="00000000" w:rsidRDefault="00582B24">
            <w:pPr>
              <w:tabs>
                <w:tab w:val="left" w:pos="-198"/>
                <w:tab w:val="left" w:pos="162"/>
              </w:tabs>
              <w:rPr>
                <w:rFonts w:ascii="Univers" w:hAnsi="Univers"/>
              </w:rPr>
            </w:pPr>
            <w:r>
              <w:rPr>
                <w:rFonts w:ascii="Univers" w:hAnsi="Univers"/>
              </w:rPr>
              <w:t xml:space="preserve">  $12.02 mil GF</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SF 2366</w:t>
            </w:r>
          </w:p>
        </w:tc>
        <w:tc>
          <w:tcPr>
            <w:tcW w:w="296" w:type="dxa"/>
            <w:tcBorders>
              <w:top w:val="single" w:sz="6" w:space="0" w:color="auto"/>
              <w:bottom w:val="single" w:sz="6" w:space="0" w:color="auto"/>
            </w:tcBorders>
          </w:tcPr>
          <w:p w:rsidR="00000000" w:rsidRDefault="00582B24">
            <w:pPr>
              <w:rPr>
                <w:rFonts w:ascii="Univers" w:hAnsi="Univers"/>
              </w:rPr>
            </w:pPr>
          </w:p>
        </w:tc>
        <w:tc>
          <w:tcPr>
            <w:tcW w:w="3034" w:type="dxa"/>
            <w:tcBorders>
              <w:top w:val="single" w:sz="6" w:space="0" w:color="auto"/>
              <w:bottom w:val="single" w:sz="6" w:space="0" w:color="auto"/>
              <w:right w:val="single" w:sz="6" w:space="0" w:color="auto"/>
            </w:tcBorders>
          </w:tcPr>
          <w:p w:rsidR="00000000" w:rsidRDefault="00582B24">
            <w:pPr>
              <w:rPr>
                <w:rFonts w:ascii="Univers" w:hAnsi="Univers"/>
              </w:rPr>
            </w:pPr>
            <w:r>
              <w:rPr>
                <w:rFonts w:ascii="Univers" w:hAnsi="Univers"/>
              </w:rPr>
              <w:t>Passed Senate on March 4.</w:t>
            </w:r>
          </w:p>
        </w:tc>
      </w:tr>
      <w:tr w:rsidR="00000000">
        <w:tblPrEx>
          <w:tblCellMar>
            <w:top w:w="0" w:type="dxa"/>
            <w:bottom w:w="0" w:type="dxa"/>
          </w:tblCellMar>
        </w:tblPrEx>
        <w:tc>
          <w:tcPr>
            <w:tcW w:w="2197" w:type="dxa"/>
            <w:tcBorders>
              <w:top w:val="single" w:sz="6" w:space="0" w:color="auto"/>
              <w:left w:val="single" w:sz="6" w:space="0" w:color="auto"/>
              <w:bottom w:val="single" w:sz="6" w:space="0" w:color="auto"/>
            </w:tcBorders>
          </w:tcPr>
          <w:p w:rsidR="00000000" w:rsidRDefault="00582B24">
            <w:pPr>
              <w:tabs>
                <w:tab w:val="left" w:pos="-198"/>
                <w:tab w:val="left" w:pos="162"/>
              </w:tabs>
              <w:rPr>
                <w:rFonts w:ascii="Univers" w:hAnsi="Univers"/>
              </w:rPr>
            </w:pPr>
            <w:r>
              <w:rPr>
                <w:rFonts w:ascii="Univers" w:hAnsi="Univers"/>
              </w:rPr>
              <w:t>School Ready Grant Program - Senate Bill</w:t>
            </w:r>
          </w:p>
          <w:p w:rsidR="00000000" w:rsidRDefault="00582B24">
            <w:pPr>
              <w:tabs>
                <w:tab w:val="left" w:pos="-198"/>
                <w:tab w:val="left" w:pos="162"/>
              </w:tabs>
              <w:rPr>
                <w:rFonts w:ascii="Univers" w:hAnsi="Univers"/>
              </w:rPr>
            </w:pPr>
            <w:r>
              <w:rPr>
                <w:rFonts w:ascii="Univers" w:hAnsi="Univers"/>
              </w:rPr>
              <w:t xml:space="preserve">  $5.2 mil GF</w:t>
            </w:r>
          </w:p>
        </w:tc>
        <w:tc>
          <w:tcPr>
            <w:tcW w:w="262" w:type="dxa"/>
            <w:tcBorders>
              <w:top w:val="single" w:sz="6" w:space="0" w:color="auto"/>
              <w:bottom w:val="single" w:sz="6" w:space="0" w:color="auto"/>
            </w:tcBorders>
          </w:tcPr>
          <w:p w:rsidR="00000000" w:rsidRDefault="00582B24">
            <w:pPr>
              <w:rPr>
                <w:rFonts w:ascii="Univers" w:hAnsi="Univers"/>
              </w:rPr>
            </w:pPr>
          </w:p>
        </w:tc>
        <w:tc>
          <w:tcPr>
            <w:tcW w:w="1501" w:type="dxa"/>
            <w:tcBorders>
              <w:top w:val="single" w:sz="6" w:space="0" w:color="auto"/>
              <w:bottom w:val="single" w:sz="6" w:space="0" w:color="auto"/>
            </w:tcBorders>
          </w:tcPr>
          <w:p w:rsidR="00000000" w:rsidRDefault="00582B24">
            <w:pPr>
              <w:rPr>
                <w:rFonts w:ascii="Univers" w:hAnsi="Univers"/>
              </w:rPr>
            </w:pPr>
            <w:r>
              <w:rPr>
                <w:rFonts w:ascii="Univers" w:hAnsi="Univers"/>
              </w:rPr>
              <w:t>SF 2406</w:t>
            </w:r>
          </w:p>
        </w:tc>
        <w:tc>
          <w:tcPr>
            <w:tcW w:w="296" w:type="dxa"/>
            <w:tcBorders>
              <w:top w:val="single" w:sz="6" w:space="0" w:color="auto"/>
              <w:bottom w:val="single" w:sz="6" w:space="0" w:color="auto"/>
            </w:tcBorders>
          </w:tcPr>
          <w:p w:rsidR="00000000" w:rsidRDefault="00582B24">
            <w:pPr>
              <w:rPr>
                <w:rFonts w:ascii="Univers" w:hAnsi="Univers"/>
              </w:rPr>
            </w:pPr>
          </w:p>
        </w:tc>
        <w:tc>
          <w:tcPr>
            <w:tcW w:w="3034" w:type="dxa"/>
            <w:tcBorders>
              <w:top w:val="single" w:sz="6" w:space="0" w:color="auto"/>
              <w:bottom w:val="single" w:sz="6" w:space="0" w:color="auto"/>
              <w:right w:val="single" w:sz="6" w:space="0" w:color="auto"/>
            </w:tcBorders>
          </w:tcPr>
          <w:p w:rsidR="00000000" w:rsidRDefault="00582B24">
            <w:pPr>
              <w:rPr>
                <w:rFonts w:ascii="Univers" w:hAnsi="Univers"/>
              </w:rPr>
            </w:pPr>
            <w:r>
              <w:rPr>
                <w:rFonts w:ascii="Univers" w:hAnsi="Univers"/>
              </w:rPr>
              <w:t>Passed Senate on Mar</w:t>
            </w:r>
            <w:r>
              <w:rPr>
                <w:rFonts w:ascii="Univers" w:hAnsi="Univers"/>
              </w:rPr>
              <w:t>ch 4.</w:t>
            </w:r>
          </w:p>
        </w:tc>
      </w:tr>
    </w:tbl>
    <w:p w:rsidR="00000000" w:rsidRDefault="00582B24">
      <w:pPr>
        <w:pStyle w:val="Contactup"/>
      </w:pPr>
      <w:r>
        <w:t>STAFF CONTACT:  Holly Lyons (Ext. 17845)</w:t>
      </w:r>
    </w:p>
    <w:p w:rsidR="00000000" w:rsidRDefault="00582B24">
      <w:pPr>
        <w:pStyle w:val="Blurbtitle"/>
      </w:pPr>
      <w:bookmarkStart w:id="0" w:name="FU3DFKA"/>
      <w:r>
        <w:t>Agriculture and Natural Resources Appropriations Bill</w:t>
      </w:r>
      <w:bookmarkEnd w:id="0"/>
      <w:r>
        <w:t xml:space="preserve"> - SF 2295 passes senate</w:t>
      </w:r>
    </w:p>
    <w:p w:rsidR="00000000" w:rsidRDefault="00582B24">
      <w:pPr>
        <w:pStyle w:val="textup"/>
      </w:pPr>
      <w:r>
        <w:rPr>
          <w:b/>
        </w:rPr>
        <w:t>Ag,/Natural Resources Bill</w:t>
      </w:r>
      <w:r>
        <w:rPr>
          <w:b/>
        </w:rPr>
        <w:tab/>
      </w:r>
      <w:r>
        <w:t>On March 4, SF 2295</w:t>
      </w:r>
      <w:r>
        <w:rPr>
          <w:b/>
        </w:rPr>
        <w:t xml:space="preserve">, </w:t>
      </w:r>
      <w:r>
        <w:t>the Agriculture and Natural Resources Appropriations Bill was passed by the Senate.  The Bill appropriates $50.2 million from the General Fund and 1,078 FTE positions for FY 1999.  This is an increase of $1.3 million and 12.0 FTE positions compared to the estimated FY 1998 appropriation.  The Bill provides the following:</w:t>
      </w:r>
    </w:p>
    <w:p w:rsidR="00000000" w:rsidRDefault="00582B24">
      <w:pPr>
        <w:framePr w:hSpace="180" w:wrap="around" w:vAnchor="text" w:hAnchor="page" w:x="1585" w:y="838"/>
      </w:pPr>
      <w:r>
        <w:rPr>
          <w:noProof/>
        </w:rPr>
        <w:drawing>
          <wp:inline distT="0" distB="0" distL="0" distR="0">
            <wp:extent cx="676275" cy="4667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76275" cy="466725"/>
                    </a:xfrm>
                    <a:prstGeom prst="rect">
                      <a:avLst/>
                    </a:prstGeom>
                    <a:noFill/>
                    <a:ln w="9525">
                      <a:noFill/>
                      <a:miter lim="800000"/>
                      <a:headEnd/>
                      <a:tailEnd/>
                    </a:ln>
                  </pic:spPr>
                </pic:pic>
              </a:graphicData>
            </a:graphic>
          </wp:inline>
        </w:drawing>
      </w:r>
    </w:p>
    <w:p w:rsidR="00000000" w:rsidRDefault="00582B24" w:rsidP="00582B24">
      <w:pPr>
        <w:pStyle w:val="bulletup"/>
        <w:numPr>
          <w:ilvl w:val="0"/>
          <w:numId w:val="1"/>
        </w:numPr>
      </w:pPr>
      <w:r>
        <w:t xml:space="preserve">Appropriates </w:t>
      </w:r>
      <w:r>
        <w:t>$24.8 million from the General Fund to the Department of Agriculture and Land Stewardship, an increase of $447,000 compared to the estimated FY 1998 appropriation.</w:t>
      </w:r>
    </w:p>
    <w:p w:rsidR="00000000" w:rsidRDefault="00582B24" w:rsidP="00582B24">
      <w:pPr>
        <w:pStyle w:val="bulletup"/>
        <w:numPr>
          <w:ilvl w:val="0"/>
          <w:numId w:val="1"/>
        </w:numPr>
      </w:pPr>
      <w:r>
        <w:t>Appropriates $25.4 million from the General Fund to the Department of Natural Resources, an increase of $1.3 million compared to the estimated FY 1998 appropriation.</w:t>
      </w:r>
    </w:p>
    <w:p w:rsidR="00000000" w:rsidRDefault="00582B24" w:rsidP="00582B24">
      <w:pPr>
        <w:pStyle w:val="bulletup"/>
        <w:numPr>
          <w:ilvl w:val="0"/>
          <w:numId w:val="1"/>
        </w:numPr>
      </w:pPr>
      <w:r>
        <w:t>Appropriates $23.1 million from the Fish and Game Protection Fund to the Fish and Wildlife Division in the Department of Natural Resources, an increase of $370,000 compared to the es</w:t>
      </w:r>
      <w:r>
        <w:t>timated FY 1998 appropriation.</w:t>
      </w:r>
    </w:p>
    <w:p w:rsidR="00000000" w:rsidRDefault="00582B24" w:rsidP="00582B24">
      <w:pPr>
        <w:pStyle w:val="bulletup"/>
        <w:numPr>
          <w:ilvl w:val="0"/>
          <w:numId w:val="1"/>
        </w:numPr>
      </w:pPr>
      <w:r>
        <w:lastRenderedPageBreak/>
        <w:t>Appropriates $9.0 million from the General Fund to the Resource Enhancement and Protection (REAP) Program, which is no change compared to the estimated FY 1998 appropriation.</w:t>
      </w:r>
    </w:p>
    <w:p w:rsidR="00000000" w:rsidRDefault="00582B24" w:rsidP="00582B24">
      <w:pPr>
        <w:pStyle w:val="bulletup"/>
        <w:numPr>
          <w:ilvl w:val="0"/>
          <w:numId w:val="1"/>
        </w:numPr>
      </w:pPr>
      <w:r>
        <w:t>Appropriates $50,000 from the General Fund to Iowa State University (ISU) for research to manage or eradicate porcine reproductive and respiratory syndrome (PRRS).  This is a new appropriation.</w:t>
      </w:r>
    </w:p>
    <w:p w:rsidR="00000000" w:rsidRDefault="00582B24" w:rsidP="00582B24">
      <w:pPr>
        <w:pStyle w:val="bulletup"/>
        <w:numPr>
          <w:ilvl w:val="0"/>
          <w:numId w:val="1"/>
        </w:numPr>
      </w:pPr>
      <w:r>
        <w:t>Transfers any unobligated balances from the Odor Control Study conducted by ISU to the Livestock Disease Researc</w:t>
      </w:r>
      <w:r>
        <w:t xml:space="preserve">h Fund for use by ISU. </w:t>
      </w:r>
    </w:p>
    <w:p w:rsidR="00000000" w:rsidRDefault="00582B24">
      <w:pPr>
        <w:framePr w:w="497" w:h="425" w:hSpace="180" w:wrap="auto" w:vAnchor="text" w:hAnchor="page" w:x="1333" w:y="411"/>
        <w:pBdr>
          <w:top w:val="single" w:sz="12" w:space="5" w:color="auto" w:shadow="1"/>
          <w:left w:val="single" w:sz="12" w:space="5" w:color="auto" w:shadow="1"/>
          <w:bottom w:val="single" w:sz="12" w:space="5" w:color="auto" w:shadow="1"/>
          <w:right w:val="single" w:sz="12" w:space="5" w:color="auto" w:shadow="1"/>
        </w:pBdr>
        <w:rPr>
          <w:rFonts w:ascii="Tahoma" w:hAnsi="Tahoma"/>
          <w:b/>
          <w:sz w:val="16"/>
        </w:rPr>
      </w:pPr>
      <w:r>
        <w:rPr>
          <w:rFonts w:ascii="Tahoma" w:hAnsi="Tahoma"/>
          <w:b/>
          <w:sz w:val="16"/>
        </w:rPr>
        <w:t>NOBA</w:t>
      </w:r>
    </w:p>
    <w:p w:rsidR="00000000" w:rsidRDefault="00582B24">
      <w:pPr>
        <w:pStyle w:val="textup"/>
      </w:pPr>
      <w:r>
        <w:rPr>
          <w:b/>
        </w:rPr>
        <w:t>Bill Summary</w:t>
      </w:r>
      <w:r>
        <w:tab/>
        <w:t>Copies of the Notes on Bills and Amendments (NOBA) are available from the Legislative Fiscal Bureau.</w:t>
      </w:r>
    </w:p>
    <w:p w:rsidR="00000000" w:rsidRDefault="00582B24">
      <w:pPr>
        <w:pStyle w:val="Contactup"/>
      </w:pPr>
      <w:r>
        <w:t>STAFF CONTACT:  Deb Kozel (Ext. 16767)  Sherry Weikum (Ext. 17846)</w:t>
      </w:r>
    </w:p>
    <w:p w:rsidR="00000000" w:rsidRDefault="00582B24">
      <w:pPr>
        <w:pStyle w:val="Blurbtitle"/>
      </w:pPr>
      <w:bookmarkStart w:id="1" w:name="FU3SLLA"/>
      <w:r>
        <w:t>House Appropriations Committee Approves the Education Appropriations Bill</w:t>
      </w:r>
      <w:bookmarkEnd w:id="1"/>
      <w:r>
        <w:t xml:space="preserve"> - HF 2533</w:t>
      </w:r>
    </w:p>
    <w:p w:rsidR="00000000" w:rsidRDefault="00582B24">
      <w:pPr>
        <w:pStyle w:val="textup"/>
      </w:pPr>
      <w:r>
        <w:rPr>
          <w:b/>
        </w:rPr>
        <w:t>Education Approp. Bill</w:t>
      </w:r>
      <w:r>
        <w:tab/>
        <w:t>The House Appropriations Committee approved the Education Appropriations Bill, HF 2533, on March 4.  The Bill appropriates $863.2 million from the State General Fund for the College Student Aid C</w:t>
      </w:r>
      <w:r>
        <w:t>ommission, the Department of Cultural Affairs, the Department of Education, and the Board of Regents.  This is an increase of $13.6 million (1.60%) compared to the estimated FY 1998 appropriation.</w:t>
      </w:r>
    </w:p>
    <w:p w:rsidR="00000000" w:rsidRDefault="00582B24">
      <w:pPr>
        <w:pStyle w:val="textup"/>
      </w:pPr>
      <w:r>
        <w:rPr>
          <w:b/>
        </w:rPr>
        <w:t>Major Changes</w:t>
      </w:r>
      <w:r>
        <w:tab/>
        <w:t>The Appropriations Committee approved the following major changes from the Subcommittee action:</w:t>
      </w:r>
    </w:p>
    <w:p w:rsidR="00000000" w:rsidRDefault="00582B24" w:rsidP="00582B24">
      <w:pPr>
        <w:pStyle w:val="textup"/>
        <w:numPr>
          <w:ilvl w:val="0"/>
          <w:numId w:val="2"/>
        </w:numPr>
      </w:pPr>
      <w:r>
        <w:t>Made technical changes regarding wording and clarification.</w:t>
      </w:r>
    </w:p>
    <w:p w:rsidR="00000000" w:rsidRDefault="00582B24" w:rsidP="00582B24">
      <w:pPr>
        <w:pStyle w:val="textup"/>
        <w:numPr>
          <w:ilvl w:val="0"/>
          <w:numId w:val="2"/>
        </w:numPr>
      </w:pPr>
      <w:r>
        <w:t xml:space="preserve">Reduction of $11,000 from the Board of Regents Board Office appropriation and eliminated language prohibiting the Board Office from charging the </w:t>
      </w:r>
      <w:r>
        <w:t>institutions for Office operations.</w:t>
      </w:r>
    </w:p>
    <w:p w:rsidR="00000000" w:rsidRDefault="00582B24" w:rsidP="00582B24">
      <w:pPr>
        <w:pStyle w:val="textup"/>
        <w:numPr>
          <w:ilvl w:val="0"/>
          <w:numId w:val="2"/>
        </w:numPr>
      </w:pPr>
      <w:r>
        <w:t>Added a request for an interim study of the Iowa State University Cooperative Extension Service.</w:t>
      </w:r>
    </w:p>
    <w:p w:rsidR="00000000" w:rsidRDefault="00582B24" w:rsidP="00582B24">
      <w:pPr>
        <w:pStyle w:val="textup"/>
        <w:numPr>
          <w:ilvl w:val="0"/>
          <w:numId w:val="2"/>
        </w:numPr>
      </w:pPr>
      <w:r>
        <w:t>Eliminated the Educational Excellence standing appropriation allocations of $300,000 for the National Teacher Certification awards and $190,000 for the Beginning Teacher Induction Program.</w:t>
      </w:r>
    </w:p>
    <w:p w:rsidR="00000000" w:rsidRDefault="00582B24">
      <w:pPr>
        <w:framePr w:w="943" w:h="916" w:hSpace="180" w:wrap="around" w:vAnchor="text" w:hAnchor="page" w:x="1297" w:y="345"/>
      </w:pPr>
      <w:r>
        <w:object w:dxaOrig="1082" w:dyaOrig="943">
          <v:shape id="_x0000_i1027" type="#_x0000_t75" style="width:54pt;height:40pt" o:ole="">
            <v:imagedata r:id="rId10" o:title=""/>
          </v:shape>
          <o:OLEObject Type="Embed" ProgID="Word.Document.8" ShapeID="_x0000_i1027" DrawAspect="Content" ObjectID="_1314614343" r:id="rId11"/>
        </w:object>
      </w:r>
    </w:p>
    <w:p w:rsidR="00000000" w:rsidRDefault="00582B24" w:rsidP="00582B24">
      <w:pPr>
        <w:pStyle w:val="textup"/>
        <w:numPr>
          <w:ilvl w:val="0"/>
          <w:numId w:val="2"/>
        </w:numPr>
      </w:pPr>
      <w:r>
        <w:t>Added language to a study of Digital Television conversion by Iowa Public Television authorized in HF 2395 (FY 1998 Supplemental Appropriations Bill).  The new la</w:t>
      </w:r>
      <w:r>
        <w:t>nguage requires the study to include costs and requirements associated with addition of equipment for public radio transmission.</w:t>
      </w:r>
    </w:p>
    <w:p w:rsidR="00000000" w:rsidRDefault="00582B24" w:rsidP="00582B24">
      <w:pPr>
        <w:pStyle w:val="textup"/>
        <w:numPr>
          <w:ilvl w:val="0"/>
          <w:numId w:val="2"/>
        </w:numPr>
      </w:pPr>
      <w:r>
        <w:t>Added a requirement for the State Auditor to audit certain items of the area education agencies.</w:t>
      </w:r>
    </w:p>
    <w:p w:rsidR="00000000" w:rsidRDefault="00582B24" w:rsidP="00582B24">
      <w:pPr>
        <w:pStyle w:val="textup"/>
        <w:numPr>
          <w:ilvl w:val="0"/>
          <w:numId w:val="2"/>
        </w:numPr>
      </w:pPr>
      <w:r>
        <w:lastRenderedPageBreak/>
        <w:t xml:space="preserve">Delayed certain </w:t>
      </w:r>
      <w:r>
        <w:rPr>
          <w:u w:val="single"/>
        </w:rPr>
        <w:t>Code of Iowa</w:t>
      </w:r>
      <w:r>
        <w:t xml:space="preserve"> changes regarding the First In the Nation in Education (FINE) Foundation from July 1, 1998, to December 31, 1998.</w:t>
      </w:r>
    </w:p>
    <w:p w:rsidR="00000000" w:rsidRDefault="00582B24" w:rsidP="00582B24">
      <w:pPr>
        <w:pStyle w:val="textup"/>
        <w:numPr>
          <w:ilvl w:val="0"/>
          <w:numId w:val="2"/>
        </w:numPr>
      </w:pPr>
      <w:r>
        <w:t xml:space="preserve">Added language that requires up to $2.0 million of the appropriation for the Vocational Rehabilitation Division of the Department of Education </w:t>
      </w:r>
      <w:r>
        <w:t>be used to provide services to persons without regard to an order of selection process and requires the Division to seek matching funds to avoid the loss of federal funds.</w:t>
      </w:r>
    </w:p>
    <w:p w:rsidR="00000000" w:rsidRDefault="00582B24" w:rsidP="00582B24">
      <w:pPr>
        <w:pStyle w:val="textup"/>
        <w:numPr>
          <w:ilvl w:val="0"/>
          <w:numId w:val="2"/>
        </w:numPr>
      </w:pPr>
      <w:r>
        <w:t>Eliminated language which required the College Student Aid Commission to utilize the Department of Revenue and Finance for 25.0% of its claims actions.</w:t>
      </w:r>
    </w:p>
    <w:p w:rsidR="00000000" w:rsidRDefault="00582B24">
      <w:pPr>
        <w:framePr w:w="497" w:h="425" w:hSpace="180" w:wrap="auto" w:vAnchor="text" w:hAnchor="page" w:x="1333" w:y="385"/>
        <w:pBdr>
          <w:top w:val="single" w:sz="12" w:space="5" w:color="auto" w:shadow="1"/>
          <w:left w:val="single" w:sz="12" w:space="5" w:color="auto" w:shadow="1"/>
          <w:bottom w:val="single" w:sz="12" w:space="5" w:color="auto" w:shadow="1"/>
          <w:right w:val="single" w:sz="12" w:space="5" w:color="auto" w:shadow="1"/>
        </w:pBdr>
        <w:rPr>
          <w:rFonts w:ascii="Tahoma" w:hAnsi="Tahoma"/>
          <w:b/>
          <w:sz w:val="16"/>
        </w:rPr>
      </w:pPr>
      <w:r>
        <w:rPr>
          <w:rFonts w:ascii="Tahoma" w:hAnsi="Tahoma"/>
          <w:b/>
          <w:sz w:val="16"/>
        </w:rPr>
        <w:t>NOBA</w:t>
      </w:r>
    </w:p>
    <w:p w:rsidR="00000000" w:rsidRDefault="00582B24">
      <w:pPr>
        <w:pStyle w:val="textup"/>
      </w:pPr>
      <w:r>
        <w:rPr>
          <w:b/>
        </w:rPr>
        <w:t>Bill Summary</w:t>
      </w:r>
      <w:r>
        <w:tab/>
        <w:t xml:space="preserve">Copies of the Notes on Bills and Amendments (NOBA) are available from the Legislative Fiscal Bureau. </w:t>
      </w:r>
    </w:p>
    <w:p w:rsidR="00000000" w:rsidRDefault="00582B24">
      <w:pPr>
        <w:pStyle w:val="Contactup"/>
      </w:pPr>
      <w:r>
        <w:t>STAFF CONTACT:  Sue Lerdal  (Ext. 17794)  Mary Shipman (Ext. 14617)</w:t>
      </w:r>
    </w:p>
    <w:p w:rsidR="00000000" w:rsidRDefault="00582B24">
      <w:pPr>
        <w:pStyle w:val="Blurbtitle"/>
      </w:pPr>
      <w:bookmarkStart w:id="2" w:name="FU3DPWB"/>
      <w:r>
        <w:t>Oversight and Communications Appropriations Subcommittee</w:t>
      </w:r>
      <w:bookmarkEnd w:id="2"/>
    </w:p>
    <w:p w:rsidR="00000000" w:rsidRDefault="00582B24">
      <w:pPr>
        <w:pStyle w:val="textup"/>
      </w:pPr>
      <w:r>
        <w:rPr>
          <w:b/>
        </w:rPr>
        <w:t>Oversight/Communication</w:t>
      </w:r>
      <w:r>
        <w:tab/>
        <w:t>The Oversight and Communications Appropriations Subcommittee met March 2 and approved proposed FY 1999 appropriations for agencies in the Subcommittee.</w:t>
      </w:r>
    </w:p>
    <w:p w:rsidR="00000000" w:rsidRDefault="00582B24">
      <w:pPr>
        <w:framePr w:w="501" w:h="1159" w:hSpace="180" w:wrap="around" w:vAnchor="text" w:hAnchor="page" w:x="1477" w:y="559"/>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4325" cy="4476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14325" cy="447675"/>
                    </a:xfrm>
                    <a:prstGeom prst="rect">
                      <a:avLst/>
                    </a:prstGeom>
                    <a:noFill/>
                    <a:ln w="9525">
                      <a:noFill/>
                      <a:miter lim="800000"/>
                      <a:headEnd/>
                      <a:tailEnd/>
                    </a:ln>
                  </pic:spPr>
                </pic:pic>
              </a:graphicData>
            </a:graphic>
          </wp:inline>
        </w:drawing>
      </w:r>
    </w:p>
    <w:p w:rsidR="00000000" w:rsidRDefault="00582B24">
      <w:pPr>
        <w:pStyle w:val="textup"/>
      </w:pPr>
      <w:r>
        <w:rPr>
          <w:b/>
        </w:rPr>
        <w:t>FY 1999 Appropriations</w:t>
      </w:r>
      <w:r>
        <w:tab/>
        <w:t xml:space="preserve">The Subcommittee approved LSB 3181JA, which appropriates $23.6 million from the General Fund and 267.0 FTE positions for FY 1999.  This is an increase of $1.0 million (4.6%) and 17.0 (6.8%) FTE positions compared to estimated FY1998.  This is a decrease </w:t>
      </w:r>
      <w:r>
        <w:t>of $292,000 (1.3%) and an increase of 4.0 (1.6%) positions compared to the Governor’s FY 1999 recommendation.  Significant changes compared to estimated FY 1998 include:</w:t>
      </w:r>
    </w:p>
    <w:p w:rsidR="00000000" w:rsidRDefault="00582B24">
      <w:pPr>
        <w:pStyle w:val="textup"/>
      </w:pPr>
      <w:r>
        <w:rPr>
          <w:b/>
        </w:rPr>
        <w:t xml:space="preserve">Treasurer </w:t>
      </w:r>
      <w:r>
        <w:tab/>
        <w:t>Treasurer of State - An increase of $267,000 for payment of debt service on Parts I and II of the Iowa Communications Network (ICN) due to a one-time reduction in FY 1997.</w:t>
      </w:r>
    </w:p>
    <w:p w:rsidR="00000000" w:rsidRDefault="00582B24">
      <w:pPr>
        <w:pStyle w:val="textup"/>
      </w:pPr>
      <w:r>
        <w:rPr>
          <w:b/>
        </w:rPr>
        <w:t>ITTC</w:t>
      </w:r>
      <w:r>
        <w:tab/>
        <w:t>Iowa Telecommunications and Technology Commission (ITTC)-</w:t>
      </w:r>
    </w:p>
    <w:p w:rsidR="00000000" w:rsidRDefault="00582B24">
      <w:pPr>
        <w:framePr w:w="1137" w:h="1117" w:hSpace="180" w:wrap="around" w:vAnchor="text" w:hAnchor="page" w:x="1377" w:y="519"/>
        <w:pBdr>
          <w:top w:val="single" w:sz="6" w:space="1" w:color="auto" w:shadow="1"/>
          <w:left w:val="single" w:sz="6" w:space="1" w:color="auto" w:shadow="1"/>
          <w:bottom w:val="single" w:sz="6" w:space="1" w:color="auto" w:shadow="1"/>
          <w:right w:val="single" w:sz="6" w:space="1" w:color="auto" w:shadow="1"/>
        </w:pBdr>
      </w:pPr>
      <w:r>
        <w:rPr>
          <w:noProof/>
        </w:rPr>
        <w:drawing>
          <wp:inline distT="0" distB="0" distL="0" distR="0">
            <wp:extent cx="714375" cy="5334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714375" cy="533400"/>
                    </a:xfrm>
                    <a:prstGeom prst="rect">
                      <a:avLst/>
                    </a:prstGeom>
                    <a:noFill/>
                    <a:ln w="9525">
                      <a:noFill/>
                      <a:miter lim="800000"/>
                      <a:headEnd/>
                      <a:tailEnd/>
                    </a:ln>
                  </pic:spPr>
                </pic:pic>
              </a:graphicData>
            </a:graphic>
          </wp:inline>
        </w:drawing>
      </w:r>
    </w:p>
    <w:p w:rsidR="00000000" w:rsidRDefault="00582B24" w:rsidP="00582B24">
      <w:pPr>
        <w:pStyle w:val="bulletup"/>
        <w:numPr>
          <w:ilvl w:val="0"/>
          <w:numId w:val="1"/>
        </w:numPr>
      </w:pPr>
      <w:r>
        <w:t>An increase of $725,000 for subsidization of operations of the ICN.  (NOTE:  This was appropri</w:t>
      </w:r>
      <w:r>
        <w:t>ated to the Department of Education in FY 1998.)</w:t>
      </w:r>
    </w:p>
    <w:p w:rsidR="00000000" w:rsidRDefault="00582B24" w:rsidP="00582B24">
      <w:pPr>
        <w:pStyle w:val="bulletup"/>
        <w:numPr>
          <w:ilvl w:val="0"/>
          <w:numId w:val="1"/>
        </w:numPr>
      </w:pPr>
      <w:r>
        <w:t>A new appropriation of $35,000 to the ITTC to transfer two staff from Iowa Public Television to the ITTC.</w:t>
      </w:r>
    </w:p>
    <w:p w:rsidR="00000000" w:rsidRDefault="00582B24" w:rsidP="00582B24">
      <w:pPr>
        <w:pStyle w:val="bulletup"/>
        <w:numPr>
          <w:ilvl w:val="0"/>
          <w:numId w:val="1"/>
        </w:numPr>
      </w:pPr>
      <w:r>
        <w:t>An increase in the FY 1999 Rebuild Iowa Infrastructure Fund (RIIF) appropriation by $1.2 million to the ITTC for Part III of the ICN build out made in the 1997 Oversight and Communications Appropriations Act, bringing the total RIIF appropriation to $18.9 million.</w:t>
      </w:r>
    </w:p>
    <w:p w:rsidR="00000000" w:rsidRDefault="00582B24">
      <w:pPr>
        <w:pStyle w:val="textup"/>
      </w:pPr>
      <w:r>
        <w:rPr>
          <w:b/>
        </w:rPr>
        <w:t>Legislative Council</w:t>
      </w:r>
      <w:r>
        <w:tab/>
        <w:t>Legislative Council - Appropriates $75,000 to the Legislative Council to</w:t>
      </w:r>
      <w:r>
        <w:t xml:space="preserve"> be used by the Legislative Oversight Committee to hire a consultant to </w:t>
      </w:r>
      <w:r>
        <w:lastRenderedPageBreak/>
        <w:t>study options related to the ICN after completion of the build out of Part III.</w:t>
      </w:r>
    </w:p>
    <w:p w:rsidR="00000000" w:rsidRDefault="00582B24">
      <w:pPr>
        <w:pStyle w:val="textup"/>
      </w:pPr>
      <w:r>
        <w:rPr>
          <w:b/>
        </w:rPr>
        <w:t>IPTV</w:t>
      </w:r>
      <w:r>
        <w:tab/>
        <w:t>Iowa Public Television (IPTV) - An increase in the General Fund appropriation to IPTV by $113,000 due to the increased number of Part III sites coming on line and needing support.</w:t>
      </w:r>
    </w:p>
    <w:p w:rsidR="00000000" w:rsidRDefault="00582B24">
      <w:pPr>
        <w:pStyle w:val="textup"/>
      </w:pPr>
      <w:r>
        <w:rPr>
          <w:b/>
        </w:rPr>
        <w:t>General Services</w:t>
      </w:r>
      <w:r>
        <w:tab/>
        <w:t>Department of General Services - A decrease of $192,000 for the Information Technology Services Division due to savings generated through better allocation of</w:t>
      </w:r>
      <w:r>
        <w:t xml:space="preserve"> staffing.</w:t>
      </w:r>
    </w:p>
    <w:p w:rsidR="00000000" w:rsidRDefault="00582B24">
      <w:pPr>
        <w:framePr w:w="501" w:h="1159" w:hSpace="180" w:wrap="around" w:vAnchor="text" w:hAnchor="page" w:x="1477" w:y="559"/>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4325" cy="4476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14325" cy="447675"/>
                    </a:xfrm>
                    <a:prstGeom prst="rect">
                      <a:avLst/>
                    </a:prstGeom>
                    <a:noFill/>
                    <a:ln w="9525">
                      <a:noFill/>
                      <a:miter lim="800000"/>
                      <a:headEnd/>
                      <a:tailEnd/>
                    </a:ln>
                  </pic:spPr>
                </pic:pic>
              </a:graphicData>
            </a:graphic>
          </wp:inline>
        </w:drawing>
      </w:r>
    </w:p>
    <w:p w:rsidR="00000000" w:rsidRDefault="00582B24">
      <w:pPr>
        <w:pStyle w:val="textup"/>
      </w:pPr>
      <w:r>
        <w:rPr>
          <w:b/>
        </w:rPr>
        <w:t xml:space="preserve">Changes to the </w:t>
      </w:r>
      <w:r>
        <w:rPr>
          <w:b/>
          <w:u w:val="single"/>
        </w:rPr>
        <w:t>Code</w:t>
      </w:r>
      <w:r>
        <w:tab/>
        <w:t xml:space="preserve">Significant changes to the </w:t>
      </w:r>
      <w:r>
        <w:rPr>
          <w:u w:val="single"/>
        </w:rPr>
        <w:t>Code of Iowa</w:t>
      </w:r>
      <w:r>
        <w:t>-</w:t>
      </w:r>
    </w:p>
    <w:p w:rsidR="00000000" w:rsidRDefault="00582B24" w:rsidP="00582B24">
      <w:pPr>
        <w:pStyle w:val="bulletup"/>
        <w:numPr>
          <w:ilvl w:val="0"/>
          <w:numId w:val="1"/>
        </w:numPr>
      </w:pPr>
      <w:r>
        <w:t xml:space="preserve">Reversion Technology Initiatives Account - Provides for the funding and expenditure of resources from a Reversion Technology Initiatives Account, for the purpose of supporting various technology programs.  Notwithstands Sections 8.33 and  8.62, </w:t>
      </w:r>
      <w:r>
        <w:rPr>
          <w:u w:val="single"/>
        </w:rPr>
        <w:t>Code of Iowa</w:t>
      </w:r>
      <w:r>
        <w:t>, to provide that 75.0% of the funds that would otherwise have reverted to the General Fund from operating accounts and 100.0% of funds that would otherwise have reverted from a non</w:t>
      </w:r>
      <w:r>
        <w:t>-operational account are appropriated to the Reversions Technology Initiatives Account.  The Bill specifies the projects that shall be funded if sufficient funds are available in the descending order that the projects are to be funded.</w:t>
      </w:r>
    </w:p>
    <w:p w:rsidR="00000000" w:rsidRDefault="00582B24" w:rsidP="00582B24">
      <w:pPr>
        <w:pStyle w:val="bulletup"/>
        <w:numPr>
          <w:ilvl w:val="0"/>
          <w:numId w:val="1"/>
        </w:numPr>
      </w:pPr>
      <w:r>
        <w:t>Specifies that funds appropriated for FY 1999 to the ITTC from the Rebuild Iowa Infrastructure Fund will not revert at the end of FY 1999, but remain available in FY 2000 to complete any authorized connections that were unable to be completed in FY 1999.</w:t>
      </w:r>
    </w:p>
    <w:p w:rsidR="00000000" w:rsidRDefault="00582B24" w:rsidP="00582B24">
      <w:pPr>
        <w:pStyle w:val="bulletup"/>
        <w:numPr>
          <w:ilvl w:val="0"/>
          <w:numId w:val="1"/>
        </w:numPr>
      </w:pPr>
      <w:r>
        <w:t>Authorizes the ITTC t</w:t>
      </w:r>
      <w:r>
        <w:t>o utilize funds appropriated for Part III connections to convert any leased analog circuit to a leased DS-3 circuit for a Part III site when the existing vendor agrees to upgrade the services.</w:t>
      </w:r>
    </w:p>
    <w:p w:rsidR="00000000" w:rsidRDefault="00582B24" w:rsidP="00582B24">
      <w:pPr>
        <w:pStyle w:val="bulletup"/>
        <w:numPr>
          <w:ilvl w:val="0"/>
          <w:numId w:val="1"/>
        </w:numPr>
      </w:pPr>
      <w:r>
        <w:t>Authorizes the ITTC to substitute a K - 12 classroom or a library that was not part of the original Part III contract to be connected to the ICN if a K - 12 classroom or library that was part of the original contract withdraws from the contract.</w:t>
      </w:r>
    </w:p>
    <w:p w:rsidR="00000000" w:rsidRDefault="00582B24">
      <w:pPr>
        <w:pStyle w:val="textup"/>
      </w:pPr>
      <w:r>
        <w:rPr>
          <w:b/>
        </w:rPr>
        <w:t>Intent Language</w:t>
      </w:r>
      <w:r>
        <w:tab/>
        <w:t>Intent Language - Specifies that 1.0 FTE position authori</w:t>
      </w:r>
      <w:r>
        <w:t>zed for the Information Technology Services Division of the Department of General Services and 15.0 FTE positions authorized for ITTC in FY 1999 relate to the transition from personnel services contractors to adding FTE positions.  Also specifies that the merit system and collective bargaining agreements do not apply to these positions until September 1, 1998.</w:t>
      </w:r>
    </w:p>
    <w:p w:rsidR="00000000" w:rsidRDefault="00582B24">
      <w:pPr>
        <w:pStyle w:val="Contactup"/>
      </w:pPr>
      <w:r>
        <w:t>STAFF CONTACT:  Douglas Wulf (Ext. 13250)  Glen Dickinson (Ext. 14616)</w:t>
      </w:r>
    </w:p>
    <w:p w:rsidR="00000000" w:rsidRDefault="00582B24">
      <w:pPr>
        <w:pStyle w:val="Blurbtitle"/>
      </w:pPr>
      <w:bookmarkStart w:id="3" w:name="FU3DLRB"/>
      <w:r>
        <w:t>Transportation Appropriations Bill</w:t>
      </w:r>
      <w:bookmarkEnd w:id="3"/>
      <w:r>
        <w:t xml:space="preserve"> - HF 2499 Passes House</w:t>
      </w:r>
    </w:p>
    <w:p w:rsidR="00000000" w:rsidRDefault="00582B24">
      <w:pPr>
        <w:pStyle w:val="textup"/>
      </w:pPr>
      <w:r>
        <w:rPr>
          <w:b/>
        </w:rPr>
        <w:t>Transportation Appro</w:t>
      </w:r>
      <w:r>
        <w:rPr>
          <w:b/>
        </w:rPr>
        <w:t xml:space="preserve">p. Bill </w:t>
      </w:r>
      <w:r>
        <w:tab/>
        <w:t xml:space="preserve">The House passed the Department of Transportation (DOT) Appropriations Bill.  The Bill appropriates a total of $249.3 million, which includes $4.0 million from the General Fund, $32.5 million from the Road Use Tax Fund, $212.8 million from the Primary Road Fund, and $25,000 </w:t>
      </w:r>
      <w:r>
        <w:lastRenderedPageBreak/>
        <w:t xml:space="preserve">from the Motorcycle Rider Education Fund.  This is an increase of $4.0 million (1.6%) compared to estimated FY 1998.  </w:t>
      </w:r>
    </w:p>
    <w:p w:rsidR="00000000" w:rsidRDefault="00582B24">
      <w:pPr>
        <w:pStyle w:val="textup"/>
      </w:pPr>
      <w:r>
        <w:rPr>
          <w:b/>
        </w:rPr>
        <w:t>Amendments</w:t>
      </w:r>
      <w:r>
        <w:tab/>
        <w:t>The House passed the following two amendments to the Bill:</w:t>
      </w:r>
    </w:p>
    <w:p w:rsidR="00000000" w:rsidRDefault="00582B24" w:rsidP="00582B24">
      <w:pPr>
        <w:pStyle w:val="bulletup"/>
        <w:numPr>
          <w:ilvl w:val="0"/>
          <w:numId w:val="1"/>
        </w:numPr>
      </w:pPr>
      <w:r>
        <w:t xml:space="preserve">Requires the DOT to provide electronic </w:t>
      </w:r>
      <w:r>
        <w:t xml:space="preserve">bid notices to the Department of Economic Development for distribution on the Targeted Small Business web page.  Requires the bid documents to be submitted 48 hours prior to the issuance of all bid notices.   </w:t>
      </w:r>
    </w:p>
    <w:p w:rsidR="00000000" w:rsidRDefault="00582B24" w:rsidP="00582B24">
      <w:pPr>
        <w:pStyle w:val="bulletup"/>
        <w:numPr>
          <w:ilvl w:val="0"/>
          <w:numId w:val="1"/>
        </w:numPr>
      </w:pPr>
      <w:r>
        <w:t>Restricts the DOT from mowing roadside vegetation on any primary or interstate highway beginning on January 1, 2003, except under the following circumstances:</w:t>
      </w:r>
    </w:p>
    <w:p w:rsidR="00000000" w:rsidRDefault="00582B24" w:rsidP="00582B24">
      <w:pPr>
        <w:pStyle w:val="bulletup2"/>
        <w:numPr>
          <w:ilvl w:val="0"/>
          <w:numId w:val="3"/>
        </w:numPr>
      </w:pPr>
      <w:r>
        <w:t>On rights-of-way within three miles of the corporate limits of a city.</w:t>
      </w:r>
    </w:p>
    <w:p w:rsidR="00000000" w:rsidRDefault="00582B24" w:rsidP="00582B24">
      <w:pPr>
        <w:pStyle w:val="bulletup2"/>
        <w:numPr>
          <w:ilvl w:val="0"/>
          <w:numId w:val="3"/>
        </w:numPr>
      </w:pPr>
      <w:r>
        <w:t>On rights-of-way which include drainage ditches.</w:t>
      </w:r>
    </w:p>
    <w:p w:rsidR="00000000" w:rsidRDefault="00582B24" w:rsidP="00582B24">
      <w:pPr>
        <w:pStyle w:val="bulletup2"/>
        <w:numPr>
          <w:ilvl w:val="0"/>
          <w:numId w:val="3"/>
        </w:numPr>
      </w:pPr>
      <w:r>
        <w:t>To promote native speci</w:t>
      </w:r>
      <w:r>
        <w:t>es of vegetation or other long-lived and adaptable vegetation.</w:t>
      </w:r>
    </w:p>
    <w:p w:rsidR="00000000" w:rsidRDefault="00582B24" w:rsidP="00582B24">
      <w:pPr>
        <w:pStyle w:val="bulletup2"/>
        <w:numPr>
          <w:ilvl w:val="0"/>
          <w:numId w:val="3"/>
        </w:numPr>
      </w:pPr>
      <w:r>
        <w:t>For establishing control of damaging insect populations, noxious weeds, and invader plant species.</w:t>
      </w:r>
    </w:p>
    <w:p w:rsidR="00000000" w:rsidRDefault="00582B24" w:rsidP="00582B24">
      <w:pPr>
        <w:pStyle w:val="bulletup2"/>
        <w:numPr>
          <w:ilvl w:val="0"/>
          <w:numId w:val="3"/>
        </w:numPr>
      </w:pPr>
      <w:r>
        <w:t>For visibility and safety reasons.</w:t>
      </w:r>
    </w:p>
    <w:p w:rsidR="00000000" w:rsidRDefault="00582B24">
      <w:pPr>
        <w:framePr w:w="497" w:h="425" w:hSpace="180" w:wrap="auto" w:vAnchor="text" w:hAnchor="page" w:x="1333" w:y="403"/>
        <w:pBdr>
          <w:top w:val="single" w:sz="12" w:space="5" w:color="auto" w:shadow="1"/>
          <w:left w:val="single" w:sz="12" w:space="5" w:color="auto" w:shadow="1"/>
          <w:bottom w:val="single" w:sz="12" w:space="5" w:color="auto" w:shadow="1"/>
          <w:right w:val="single" w:sz="12" w:space="5" w:color="auto" w:shadow="1"/>
        </w:pBdr>
        <w:rPr>
          <w:rFonts w:ascii="Tahoma" w:hAnsi="Tahoma"/>
          <w:b/>
          <w:sz w:val="16"/>
        </w:rPr>
      </w:pPr>
      <w:r>
        <w:rPr>
          <w:rFonts w:ascii="Tahoma" w:hAnsi="Tahoma"/>
          <w:b/>
          <w:sz w:val="16"/>
        </w:rPr>
        <w:t>NOBA</w:t>
      </w:r>
    </w:p>
    <w:p w:rsidR="00000000" w:rsidRDefault="00582B24">
      <w:pPr>
        <w:pStyle w:val="textup"/>
      </w:pPr>
      <w:r>
        <w:rPr>
          <w:b/>
        </w:rPr>
        <w:t>Bill Summary</w:t>
      </w:r>
      <w:r>
        <w:tab/>
        <w:t>Copies of the Notes on Bills and Amendments (NOBA) are available from the LFB.</w:t>
      </w:r>
    </w:p>
    <w:p w:rsidR="00000000" w:rsidRDefault="00582B24">
      <w:pPr>
        <w:pStyle w:val="Contactup"/>
      </w:pPr>
      <w:r>
        <w:t>STAFF CONTACT:  David Reynolds (Ext. 16934)</w:t>
      </w:r>
    </w:p>
    <w:p w:rsidR="00000000" w:rsidRDefault="00582B24">
      <w:pPr>
        <w:pStyle w:val="Blurbtitle"/>
      </w:pPr>
      <w:bookmarkStart w:id="4" w:name="FU3CIBA"/>
      <w:r>
        <w:t>FY 1998 Supplemental Appropriations Bill - HF 2395 Passes House</w:t>
      </w:r>
      <w:bookmarkEnd w:id="4"/>
    </w:p>
    <w:p w:rsidR="00000000" w:rsidRDefault="00582B24">
      <w:pPr>
        <w:pStyle w:val="textup"/>
      </w:pPr>
      <w:r>
        <w:rPr>
          <w:b/>
        </w:rPr>
        <w:t>FY 1998 Supplemental Bill</w:t>
      </w:r>
      <w:r>
        <w:tab/>
        <w:t xml:space="preserve">On March 2, the House passed HF 2395, the FY 1998 Supplemental Appropriations Bill. </w:t>
      </w:r>
      <w:r>
        <w:t xml:space="preserve"> The Bill appropriates General Fund and Other Funds money to various State agencies and programs for FY 1998.  The appropriations include:</w:t>
      </w:r>
    </w:p>
    <w:p w:rsidR="00000000" w:rsidRDefault="00582B24" w:rsidP="00582B24">
      <w:pPr>
        <w:pStyle w:val="bulletup"/>
        <w:numPr>
          <w:ilvl w:val="0"/>
          <w:numId w:val="1"/>
        </w:numPr>
      </w:pPr>
      <w:r>
        <w:t>$1.3 million from the General Fund for FY 1998 for the following purposes:</w:t>
      </w:r>
    </w:p>
    <w:p w:rsidR="00000000" w:rsidRDefault="00582B24" w:rsidP="00582B24">
      <w:pPr>
        <w:pStyle w:val="bulletup1"/>
        <w:numPr>
          <w:ilvl w:val="0"/>
          <w:numId w:val="3"/>
        </w:numPr>
      </w:pPr>
      <w:r>
        <w:t>$60,000 to the Department of General Services for utility costs exceeding estimates due to weather conditions.</w:t>
      </w:r>
    </w:p>
    <w:p w:rsidR="00000000" w:rsidRDefault="00582B24">
      <w:pPr>
        <w:framePr w:w="655" w:h="660" w:hSpace="180" w:wrap="around" w:vAnchor="text" w:hAnchor="page" w:x="1621" w:y="430"/>
        <w:pBdr>
          <w:top w:val="single" w:sz="12" w:space="5" w:color="auto" w:shadow="1"/>
          <w:left w:val="single" w:sz="12" w:space="5" w:color="auto" w:shadow="1"/>
          <w:bottom w:val="single" w:sz="12" w:space="5" w:color="auto" w:shadow="1"/>
          <w:right w:val="single" w:sz="12" w:space="5" w:color="auto" w:shadow="1"/>
        </w:pBdr>
      </w:pPr>
      <w:r>
        <w:object w:dxaOrig="621" w:dyaOrig="400">
          <v:shape id="_x0000_i1031" type="#_x0000_t75" style="width:31pt;height:20pt" o:ole="">
            <v:imagedata r:id="rId14" o:title=""/>
          </v:shape>
          <o:OLEObject Type="Embed" ProgID="Word.Document.8" ShapeID="_x0000_i1031" DrawAspect="Content" ObjectID="_1314614344" r:id="rId15"/>
        </w:object>
      </w:r>
    </w:p>
    <w:p w:rsidR="00000000" w:rsidRDefault="00582B24" w:rsidP="00582B24">
      <w:pPr>
        <w:pStyle w:val="bulletup1"/>
        <w:numPr>
          <w:ilvl w:val="0"/>
          <w:numId w:val="3"/>
        </w:numPr>
      </w:pPr>
      <w:r>
        <w:t>$720,000 to the Department of Education for subsidization of video rates.</w:t>
      </w:r>
    </w:p>
    <w:p w:rsidR="00000000" w:rsidRDefault="00582B24" w:rsidP="00582B24">
      <w:pPr>
        <w:pStyle w:val="bulletup1"/>
        <w:numPr>
          <w:ilvl w:val="0"/>
          <w:numId w:val="3"/>
        </w:numPr>
      </w:pPr>
      <w:r>
        <w:t>$150,000 to the Public Broadcasting Division of the Department of Education for a stu</w:t>
      </w:r>
      <w:r>
        <w:t>dy of the digital television conversion.</w:t>
      </w:r>
    </w:p>
    <w:p w:rsidR="00000000" w:rsidRDefault="00582B24" w:rsidP="00582B24">
      <w:pPr>
        <w:pStyle w:val="bulletup1"/>
        <w:numPr>
          <w:ilvl w:val="0"/>
          <w:numId w:val="3"/>
        </w:numPr>
      </w:pPr>
      <w:r>
        <w:t>$350,000 to the Parks and Preserves Division of the Department of Natural Resources for the sick leave payout due to the retirement of personnel in the Division.</w:t>
      </w:r>
    </w:p>
    <w:p w:rsidR="00000000" w:rsidRDefault="00582B24">
      <w:pPr>
        <w:framePr w:w="1066" w:h="1003" w:hSpace="180" w:wrap="around" w:vAnchor="text" w:hAnchor="page" w:x="1521" w:y="60"/>
        <w:pBdr>
          <w:top w:val="single" w:sz="6" w:space="1" w:color="auto" w:shadow="1"/>
          <w:left w:val="single" w:sz="6" w:space="1" w:color="auto" w:shadow="1"/>
          <w:bottom w:val="single" w:sz="6" w:space="1" w:color="auto" w:shadow="1"/>
          <w:right w:val="single" w:sz="6" w:space="1" w:color="auto" w:shadow="1"/>
        </w:pBdr>
      </w:pPr>
      <w:r>
        <w:rPr>
          <w:noProof/>
        </w:rPr>
        <w:drawing>
          <wp:inline distT="0" distB="0" distL="0" distR="0">
            <wp:extent cx="676275" cy="5048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676275" cy="504825"/>
                    </a:xfrm>
                    <a:prstGeom prst="rect">
                      <a:avLst/>
                    </a:prstGeom>
                    <a:noFill/>
                    <a:ln w="9525">
                      <a:noFill/>
                      <a:miter lim="800000"/>
                      <a:headEnd/>
                      <a:tailEnd/>
                    </a:ln>
                  </pic:spPr>
                </pic:pic>
              </a:graphicData>
            </a:graphic>
          </wp:inline>
        </w:drawing>
      </w:r>
    </w:p>
    <w:p w:rsidR="00000000" w:rsidRDefault="00582B24" w:rsidP="00582B24">
      <w:pPr>
        <w:pStyle w:val="bulletup"/>
        <w:numPr>
          <w:ilvl w:val="0"/>
          <w:numId w:val="1"/>
        </w:numPr>
      </w:pPr>
      <w:r>
        <w:t>$3.9 million from the Rebuild Iowa Infrastructure Fund for FY 1998 for the following purposes:</w:t>
      </w:r>
    </w:p>
    <w:p w:rsidR="00000000" w:rsidRDefault="00582B24" w:rsidP="00582B24">
      <w:pPr>
        <w:pStyle w:val="bulletup1"/>
        <w:numPr>
          <w:ilvl w:val="0"/>
          <w:numId w:val="3"/>
        </w:numPr>
      </w:pPr>
      <w:r>
        <w:t>$2.2 million to the Department of Corrections for the construction of two buildings to provide work space for prisoners.</w:t>
      </w:r>
    </w:p>
    <w:p w:rsidR="00000000" w:rsidRDefault="00582B24" w:rsidP="00582B24">
      <w:pPr>
        <w:pStyle w:val="bulletup1"/>
        <w:numPr>
          <w:ilvl w:val="0"/>
          <w:numId w:val="3"/>
        </w:numPr>
      </w:pPr>
      <w:r>
        <w:t>$1.7 million to the Judicial Department for design and development of a new judicial buildi</w:t>
      </w:r>
      <w:r>
        <w:t>ng.</w:t>
      </w:r>
    </w:p>
    <w:p w:rsidR="00000000" w:rsidRDefault="00582B24" w:rsidP="00582B24">
      <w:pPr>
        <w:pStyle w:val="bulletup"/>
        <w:numPr>
          <w:ilvl w:val="0"/>
          <w:numId w:val="1"/>
        </w:numPr>
      </w:pPr>
      <w:r>
        <w:lastRenderedPageBreak/>
        <w:t>$245,000 from the State Fish and Game Protection Fund for FY 1998 to the Fish and Wildlife Division of the Department of Natural Resources for the sick leave payout due to the retirement of personnel in the Division.</w:t>
      </w:r>
    </w:p>
    <w:p w:rsidR="00000000" w:rsidRDefault="00582B24">
      <w:pPr>
        <w:pStyle w:val="textup"/>
      </w:pPr>
      <w:r>
        <w:rPr>
          <w:b/>
        </w:rPr>
        <w:t>Enhanced Court Collections</w:t>
      </w:r>
      <w:r>
        <w:tab/>
        <w:t xml:space="preserve">The Bill provides a maximum deposit of $6.0 million for the Enhanced Court Collections Fund for FY 1998.  The Bill also amends Section 215.2(6 and 7), </w:t>
      </w:r>
      <w:r>
        <w:rPr>
          <w:u w:val="single"/>
        </w:rPr>
        <w:t>1997 Iowa Acts</w:t>
      </w:r>
      <w:r>
        <w:t>, to revise the specifications of the amount the Department of General Services may spend on the pa</w:t>
      </w:r>
      <w:r>
        <w:t>rking lots.</w:t>
      </w:r>
      <w:r>
        <w:rPr>
          <w:u w:val="single"/>
        </w:rPr>
        <w:t xml:space="preserve"> </w:t>
      </w:r>
    </w:p>
    <w:p w:rsidR="00000000" w:rsidRDefault="00582B24">
      <w:pPr>
        <w:framePr w:w="497" w:h="425" w:hSpace="180" w:wrap="auto" w:vAnchor="text" w:hAnchor="page" w:x="1333" w:y="417"/>
        <w:pBdr>
          <w:top w:val="single" w:sz="12" w:space="5" w:color="auto" w:shadow="1"/>
          <w:left w:val="single" w:sz="12" w:space="5" w:color="auto" w:shadow="1"/>
          <w:bottom w:val="single" w:sz="12" w:space="5" w:color="auto" w:shadow="1"/>
          <w:right w:val="single" w:sz="12" w:space="5" w:color="auto" w:shadow="1"/>
        </w:pBdr>
        <w:rPr>
          <w:rFonts w:ascii="Tahoma" w:hAnsi="Tahoma"/>
          <w:b/>
          <w:sz w:val="16"/>
        </w:rPr>
      </w:pPr>
      <w:r>
        <w:rPr>
          <w:rFonts w:ascii="Tahoma" w:hAnsi="Tahoma"/>
          <w:b/>
          <w:sz w:val="16"/>
        </w:rPr>
        <w:t>NOBA</w:t>
      </w:r>
    </w:p>
    <w:p w:rsidR="00000000" w:rsidRDefault="00582B24">
      <w:pPr>
        <w:pStyle w:val="textup"/>
      </w:pPr>
      <w:r>
        <w:rPr>
          <w:b/>
        </w:rPr>
        <w:t>Bill Summary</w:t>
      </w:r>
      <w:r>
        <w:tab/>
        <w:t>Copies of the Notes on Bills and Amendments (NOBA) are available from the LFB.</w:t>
      </w:r>
    </w:p>
    <w:p w:rsidR="00000000" w:rsidRDefault="00582B24">
      <w:pPr>
        <w:pStyle w:val="Contactup"/>
        <w:ind w:right="-270"/>
      </w:pPr>
      <w:r>
        <w:t>STAFF CONTACT:  Carolyn India Black (Ext. 16765)  Paige Piper/Bach (Ext. 14613)</w:t>
      </w:r>
    </w:p>
    <w:p w:rsidR="00000000" w:rsidRDefault="00582B24">
      <w:pPr>
        <w:pStyle w:val="Blurbtitle"/>
      </w:pPr>
      <w:bookmarkStart w:id="5" w:name="FU3RNRA"/>
      <w:r>
        <w:t>BLOCK GRANTS BILL - HF 2218 PASSES SENATE APPROPRIATIONS</w:t>
      </w:r>
      <w:bookmarkEnd w:id="5"/>
    </w:p>
    <w:p w:rsidR="00000000" w:rsidRDefault="00582B24">
      <w:pPr>
        <w:framePr w:hSpace="180" w:wrap="around" w:vAnchor="text" w:hAnchor="page" w:x="1297" w:y="971"/>
      </w:pPr>
      <w:r>
        <w:rPr>
          <w:noProof/>
        </w:rPr>
        <w:drawing>
          <wp:inline distT="0" distB="0" distL="0" distR="0">
            <wp:extent cx="1114425" cy="7429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114425" cy="742950"/>
                    </a:xfrm>
                    <a:prstGeom prst="rect">
                      <a:avLst/>
                    </a:prstGeom>
                    <a:noFill/>
                    <a:ln w="9525">
                      <a:noFill/>
                      <a:miter lim="800000"/>
                      <a:headEnd/>
                      <a:tailEnd/>
                    </a:ln>
                  </pic:spPr>
                </pic:pic>
              </a:graphicData>
            </a:graphic>
          </wp:inline>
        </w:drawing>
      </w:r>
    </w:p>
    <w:p w:rsidR="00000000" w:rsidRDefault="00582B24">
      <w:pPr>
        <w:pStyle w:val="textup"/>
      </w:pPr>
      <w:r>
        <w:rPr>
          <w:b/>
        </w:rPr>
        <w:t xml:space="preserve">Fed. Block Grants Bill </w:t>
      </w:r>
      <w:r>
        <w:tab/>
        <w:t>On March 5, the Senate Appropriations Committee passed HF 2218 (Federal Block Grants Bill).  The Bill appropriates $136.7 million of federal block grant funds, a decrease of $984,000 (0.7%) compared to SF 240 (1997 Federal Block Grants Act</w:t>
      </w:r>
      <w:r>
        <w:t>).  The Bill appropriates:</w:t>
      </w:r>
    </w:p>
    <w:p w:rsidR="00000000" w:rsidRDefault="00582B24" w:rsidP="00582B24">
      <w:pPr>
        <w:pStyle w:val="bulletup"/>
        <w:numPr>
          <w:ilvl w:val="0"/>
          <w:numId w:val="1"/>
        </w:numPr>
      </w:pPr>
      <w:r>
        <w:t>$11.9 million to the Department of Public Health for the Substance Abuse Block Grant.</w:t>
      </w:r>
    </w:p>
    <w:p w:rsidR="00000000" w:rsidRDefault="00582B24" w:rsidP="00582B24">
      <w:pPr>
        <w:pStyle w:val="bulletup"/>
        <w:numPr>
          <w:ilvl w:val="0"/>
          <w:numId w:val="1"/>
        </w:numPr>
      </w:pPr>
      <w:r>
        <w:t>$2.7 million to the Department of Human Services for the Community Mental Health Services Block Grant.</w:t>
      </w:r>
    </w:p>
    <w:p w:rsidR="00000000" w:rsidRDefault="00582B24" w:rsidP="00582B24">
      <w:pPr>
        <w:pStyle w:val="bulletup"/>
        <w:numPr>
          <w:ilvl w:val="0"/>
          <w:numId w:val="1"/>
        </w:numPr>
      </w:pPr>
      <w:r>
        <w:t>$6.9 million to the Department of Public Health for the Maternal and Child Health Services Block Grant.</w:t>
      </w:r>
    </w:p>
    <w:p w:rsidR="00000000" w:rsidRDefault="00582B24" w:rsidP="00582B24">
      <w:pPr>
        <w:pStyle w:val="bulletup"/>
        <w:numPr>
          <w:ilvl w:val="0"/>
          <w:numId w:val="1"/>
        </w:numPr>
      </w:pPr>
      <w:r>
        <w:t>$2.1 million to the Department of Public Health for the Preventive Health and Health Services Block Grant.</w:t>
      </w:r>
    </w:p>
    <w:p w:rsidR="00000000" w:rsidRDefault="00582B24" w:rsidP="00582B24">
      <w:pPr>
        <w:framePr w:w="501" w:h="1159" w:hSpace="180" w:wrap="auto" w:vAnchor="text" w:hAnchor="page" w:x="1630" w:y="342"/>
        <w:numPr>
          <w:ilvl w:val="12"/>
          <w:numId w:val="0"/>
        </w:numPr>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295275" cy="4191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295275" cy="419100"/>
                    </a:xfrm>
                    <a:prstGeom prst="rect">
                      <a:avLst/>
                    </a:prstGeom>
                    <a:noFill/>
                    <a:ln w="9525">
                      <a:noFill/>
                      <a:miter lim="800000"/>
                      <a:headEnd/>
                      <a:tailEnd/>
                    </a:ln>
                  </pic:spPr>
                </pic:pic>
              </a:graphicData>
            </a:graphic>
          </wp:inline>
        </w:drawing>
      </w:r>
    </w:p>
    <w:p w:rsidR="00000000" w:rsidRDefault="00582B24" w:rsidP="00582B24">
      <w:pPr>
        <w:pStyle w:val="bulletup"/>
        <w:numPr>
          <w:ilvl w:val="0"/>
          <w:numId w:val="1"/>
        </w:numPr>
      </w:pPr>
      <w:r>
        <w:t>$5.8 million to the Office of the Governor for the Drug Enforcement and Abuse Preve</w:t>
      </w:r>
      <w:r>
        <w:t xml:space="preserve">ntion Coordinator for the Drug Control and System Improvement Block Grant.  </w:t>
      </w:r>
    </w:p>
    <w:p w:rsidR="00000000" w:rsidRDefault="00582B24" w:rsidP="00582B24">
      <w:pPr>
        <w:pStyle w:val="bulletup"/>
        <w:numPr>
          <w:ilvl w:val="0"/>
          <w:numId w:val="1"/>
        </w:numPr>
      </w:pPr>
      <w:r>
        <w:t>$1.6 million to the Office of the Governor for the Drug Enforcement and Abuse Prevention Coordinator for the Stop Violence Against Women Block Grant.</w:t>
      </w:r>
    </w:p>
    <w:p w:rsidR="00000000" w:rsidRDefault="00582B24" w:rsidP="00582B24">
      <w:pPr>
        <w:pStyle w:val="bulletup"/>
        <w:numPr>
          <w:ilvl w:val="0"/>
          <w:numId w:val="1"/>
        </w:numPr>
      </w:pPr>
      <w:r>
        <w:t>$382,000 to the Office of the Governor for the Drug Enforcement and Abuse Prevention Coordinator for the Local Law Enforcement Grant Program.</w:t>
      </w:r>
    </w:p>
    <w:p w:rsidR="00000000" w:rsidRDefault="00582B24" w:rsidP="00582B24">
      <w:pPr>
        <w:pStyle w:val="bulletup"/>
        <w:numPr>
          <w:ilvl w:val="0"/>
          <w:numId w:val="1"/>
        </w:numPr>
      </w:pPr>
      <w:r>
        <w:t xml:space="preserve">$237,000 to the Office of the Governor for the Drug Enforcement and Abuse Prevention Coordinator for the Residential Substance Abuse Treatment </w:t>
      </w:r>
      <w:r>
        <w:t>for State Prisoners Formula Grant.</w:t>
      </w:r>
    </w:p>
    <w:p w:rsidR="00000000" w:rsidRDefault="00582B24" w:rsidP="00582B24">
      <w:pPr>
        <w:pStyle w:val="bulletup"/>
        <w:numPr>
          <w:ilvl w:val="0"/>
          <w:numId w:val="1"/>
        </w:numPr>
      </w:pPr>
      <w:r>
        <w:t>$5.3 million to the Department of Human Rights for the Community Services Block Grant.</w:t>
      </w:r>
    </w:p>
    <w:p w:rsidR="00000000" w:rsidRDefault="00582B24" w:rsidP="00582B24">
      <w:pPr>
        <w:pStyle w:val="bulletup"/>
        <w:numPr>
          <w:ilvl w:val="0"/>
          <w:numId w:val="1"/>
        </w:numPr>
      </w:pPr>
      <w:r>
        <w:t>$30.4 million to the Department of Economic Development for the Community Development Block Grant.</w:t>
      </w:r>
    </w:p>
    <w:p w:rsidR="00000000" w:rsidRDefault="00582B24" w:rsidP="00582B24">
      <w:pPr>
        <w:pStyle w:val="bulletup"/>
        <w:numPr>
          <w:ilvl w:val="0"/>
          <w:numId w:val="1"/>
        </w:numPr>
      </w:pPr>
      <w:r>
        <w:lastRenderedPageBreak/>
        <w:t>$18.1 million to the Department of Human Rights for the Low-Income Home Energy Assistance Block Grant.</w:t>
      </w:r>
    </w:p>
    <w:p w:rsidR="00000000" w:rsidRDefault="00582B24" w:rsidP="00582B24">
      <w:pPr>
        <w:pStyle w:val="bulletup"/>
        <w:numPr>
          <w:ilvl w:val="0"/>
          <w:numId w:val="1"/>
        </w:numPr>
      </w:pPr>
      <w:r>
        <w:t>$24.7 million to the Department of Human Services for the Social Services Block Grant.</w:t>
      </w:r>
    </w:p>
    <w:p w:rsidR="00000000" w:rsidRDefault="00582B24" w:rsidP="00582B24">
      <w:pPr>
        <w:pStyle w:val="bulletup"/>
        <w:numPr>
          <w:ilvl w:val="0"/>
          <w:numId w:val="1"/>
        </w:numPr>
      </w:pPr>
      <w:r>
        <w:t>$26.5 million to the Department of Human Services for the Child Care Development Block Grant.</w:t>
      </w:r>
    </w:p>
    <w:p w:rsidR="00000000" w:rsidRDefault="00582B24">
      <w:pPr>
        <w:pStyle w:val="textup"/>
      </w:pPr>
      <w:r>
        <w:rPr>
          <w:b/>
        </w:rPr>
        <w:t>Other P</w:t>
      </w:r>
      <w:r>
        <w:rPr>
          <w:b/>
        </w:rPr>
        <w:t>rovisions</w:t>
      </w:r>
      <w:r>
        <w:tab/>
        <w:t>House File 2218 also provides the mechanism for State agencies to receive $2.204 billion in federal and nonstate funds based upon the purposes set forth in the grants, receipts, or conditions accompanying the funds, unless otherwise provided by law.</w:t>
      </w:r>
    </w:p>
    <w:p w:rsidR="00000000" w:rsidRDefault="00582B24">
      <w:pPr>
        <w:framePr w:w="497" w:h="425" w:hSpace="180" w:wrap="auto" w:vAnchor="text" w:hAnchor="page" w:x="1333" w:y="502"/>
        <w:pBdr>
          <w:top w:val="single" w:sz="12" w:space="5" w:color="auto" w:shadow="1"/>
          <w:left w:val="single" w:sz="12" w:space="5" w:color="auto" w:shadow="1"/>
          <w:bottom w:val="single" w:sz="12" w:space="5" w:color="auto" w:shadow="1"/>
          <w:right w:val="single" w:sz="12" w:space="5" w:color="auto" w:shadow="1"/>
        </w:pBdr>
        <w:rPr>
          <w:rFonts w:ascii="Tahoma" w:hAnsi="Tahoma"/>
          <w:b/>
          <w:sz w:val="16"/>
        </w:rPr>
      </w:pPr>
      <w:r>
        <w:rPr>
          <w:rFonts w:ascii="Tahoma" w:hAnsi="Tahoma"/>
          <w:b/>
          <w:sz w:val="16"/>
        </w:rPr>
        <w:t>NOBA</w:t>
      </w:r>
    </w:p>
    <w:p w:rsidR="00000000" w:rsidRDefault="00582B24">
      <w:pPr>
        <w:pStyle w:val="textup"/>
      </w:pPr>
      <w:r>
        <w:rPr>
          <w:b/>
        </w:rPr>
        <w:t>Bill Summary</w:t>
      </w:r>
      <w:r>
        <w:tab/>
        <w:t>Copies of the Notes on Bills and Amendments (NOBA) are available from the LFB.</w:t>
      </w:r>
    </w:p>
    <w:p w:rsidR="00000000" w:rsidRDefault="00582B24">
      <w:pPr>
        <w:pStyle w:val="Contactup"/>
      </w:pPr>
      <w:r>
        <w:t>STAFF CONTACT:  Ron Robinson (Ext. 16256)  Valerie Thacker (Ext. 15270)</w:t>
      </w:r>
    </w:p>
    <w:p w:rsidR="00000000" w:rsidRDefault="00582B24">
      <w:pPr>
        <w:pStyle w:val="Blurbtitle"/>
      </w:pPr>
      <w:bookmarkStart w:id="6" w:name="FU3CIBB"/>
      <w:r>
        <w:t xml:space="preserve">Obsolete and Unnecessary Provisions of the </w:t>
      </w:r>
      <w:r>
        <w:rPr>
          <w:u w:val="single"/>
        </w:rPr>
        <w:t>Code of Iowa</w:t>
      </w:r>
      <w:r>
        <w:t xml:space="preserve"> - HF 2271 passes House</w:t>
      </w:r>
      <w:bookmarkEnd w:id="6"/>
    </w:p>
    <w:p w:rsidR="00000000" w:rsidRDefault="00582B24">
      <w:pPr>
        <w:pStyle w:val="textup"/>
      </w:pPr>
      <w:r>
        <w:rPr>
          <w:b/>
        </w:rPr>
        <w:t>HF 2</w:t>
      </w:r>
      <w:r>
        <w:rPr>
          <w:b/>
        </w:rPr>
        <w:t>271</w:t>
      </w:r>
      <w:r>
        <w:tab/>
        <w:t xml:space="preserve">On March 5, the House passed HF 2271, Obsolete and Unnecessary Provisions of the </w:t>
      </w:r>
      <w:r>
        <w:rPr>
          <w:u w:val="single"/>
        </w:rPr>
        <w:t>Code of Iowa</w:t>
      </w:r>
      <w:r>
        <w:t xml:space="preserve"> Bill.  The Bill amends and repeals sections of the </w:t>
      </w:r>
      <w:r>
        <w:rPr>
          <w:u w:val="single"/>
        </w:rPr>
        <w:t>Code of Iowa</w:t>
      </w:r>
      <w:r>
        <w:t xml:space="preserve"> for the following Departments:</w:t>
      </w:r>
    </w:p>
    <w:p w:rsidR="00000000" w:rsidRDefault="00582B24" w:rsidP="00582B24">
      <w:pPr>
        <w:pStyle w:val="bulletup"/>
        <w:numPr>
          <w:ilvl w:val="0"/>
          <w:numId w:val="1"/>
        </w:numPr>
        <w:spacing w:after="120"/>
      </w:pPr>
      <w:r>
        <w:t>Ethics and Campaign Disclosure Board</w:t>
      </w:r>
    </w:p>
    <w:p w:rsidR="00000000" w:rsidRDefault="00582B24" w:rsidP="00582B24">
      <w:pPr>
        <w:pStyle w:val="bulletup"/>
        <w:numPr>
          <w:ilvl w:val="0"/>
          <w:numId w:val="1"/>
        </w:numPr>
        <w:spacing w:after="120"/>
      </w:pPr>
      <w:r>
        <w:t>Department of Commerce</w:t>
      </w:r>
    </w:p>
    <w:p w:rsidR="00000000" w:rsidRDefault="00582B24" w:rsidP="00582B24">
      <w:pPr>
        <w:pStyle w:val="bulletup"/>
        <w:numPr>
          <w:ilvl w:val="0"/>
          <w:numId w:val="1"/>
        </w:numPr>
        <w:spacing w:after="120"/>
      </w:pPr>
      <w:r>
        <w:t>Department of General Services</w:t>
      </w:r>
    </w:p>
    <w:p w:rsidR="00000000" w:rsidRDefault="00582B24" w:rsidP="00582B24">
      <w:pPr>
        <w:pStyle w:val="bulletup"/>
        <w:numPr>
          <w:ilvl w:val="0"/>
          <w:numId w:val="1"/>
        </w:numPr>
        <w:spacing w:after="120"/>
      </w:pPr>
      <w:r>
        <w:t>Department of Inspections and Appeals</w:t>
      </w:r>
    </w:p>
    <w:p w:rsidR="00000000" w:rsidRDefault="00582B24" w:rsidP="00582B24">
      <w:pPr>
        <w:pStyle w:val="bulletup"/>
        <w:numPr>
          <w:ilvl w:val="0"/>
          <w:numId w:val="1"/>
        </w:numPr>
        <w:spacing w:after="120"/>
      </w:pPr>
      <w:r>
        <w:t>Department of Personnel</w:t>
      </w:r>
    </w:p>
    <w:p w:rsidR="00000000" w:rsidRDefault="00582B24" w:rsidP="00582B24">
      <w:pPr>
        <w:pStyle w:val="bulletup"/>
        <w:numPr>
          <w:ilvl w:val="0"/>
          <w:numId w:val="1"/>
        </w:numPr>
        <w:spacing w:after="120"/>
      </w:pPr>
      <w:r>
        <w:t>Department of Revenue and Finance</w:t>
      </w:r>
    </w:p>
    <w:p w:rsidR="00000000" w:rsidRDefault="00582B24" w:rsidP="00582B24">
      <w:pPr>
        <w:pStyle w:val="bulletup"/>
        <w:numPr>
          <w:ilvl w:val="0"/>
          <w:numId w:val="1"/>
        </w:numPr>
      </w:pPr>
      <w:r>
        <w:t>Secretary of State</w:t>
      </w:r>
    </w:p>
    <w:p w:rsidR="00000000" w:rsidRDefault="00582B24">
      <w:pPr>
        <w:framePr w:w="497" w:h="425" w:hSpace="180" w:wrap="auto" w:vAnchor="text" w:hAnchor="page" w:x="1333" w:y="401"/>
        <w:pBdr>
          <w:top w:val="single" w:sz="12" w:space="5" w:color="auto" w:shadow="1"/>
          <w:left w:val="single" w:sz="12" w:space="5" w:color="auto" w:shadow="1"/>
          <w:bottom w:val="single" w:sz="12" w:space="5" w:color="auto" w:shadow="1"/>
          <w:right w:val="single" w:sz="12" w:space="5" w:color="auto" w:shadow="1"/>
        </w:pBdr>
        <w:rPr>
          <w:rFonts w:ascii="Tahoma" w:hAnsi="Tahoma"/>
          <w:b/>
          <w:sz w:val="16"/>
        </w:rPr>
      </w:pPr>
      <w:r>
        <w:rPr>
          <w:rFonts w:ascii="Tahoma" w:hAnsi="Tahoma"/>
          <w:b/>
          <w:sz w:val="16"/>
        </w:rPr>
        <w:t>NOBA</w:t>
      </w:r>
    </w:p>
    <w:p w:rsidR="00000000" w:rsidRDefault="00582B24">
      <w:pPr>
        <w:pStyle w:val="textup"/>
      </w:pPr>
      <w:r>
        <w:rPr>
          <w:b/>
        </w:rPr>
        <w:t>Bill Summary</w:t>
      </w:r>
      <w:r>
        <w:tab/>
        <w:t>Copies of the Notes on Bills and Amendments (NOBA) are available from the LFB.</w:t>
      </w:r>
    </w:p>
    <w:p w:rsidR="00000000" w:rsidRDefault="00582B24">
      <w:pPr>
        <w:pStyle w:val="Contactup"/>
        <w:ind w:right="-360"/>
      </w:pPr>
      <w:r>
        <w:t xml:space="preserve">STAFF CONTACT:  </w:t>
      </w:r>
      <w:r>
        <w:t>Carolyn India Black (Ext. 16765)  Paige Piper/Bach (Ext. 14613)</w:t>
      </w:r>
    </w:p>
    <w:p w:rsidR="00000000" w:rsidRDefault="00582B24">
      <w:pPr>
        <w:pStyle w:val="Blurbtitle"/>
      </w:pPr>
      <w:bookmarkStart w:id="7" w:name="FU3MASA"/>
      <w:r>
        <w:t>School Ready Children Grant Program</w:t>
      </w:r>
      <w:bookmarkEnd w:id="7"/>
      <w:r>
        <w:t xml:space="preserve"> - SF 2406 Passes Senate</w:t>
      </w:r>
    </w:p>
    <w:p w:rsidR="00000000" w:rsidRDefault="00582B24">
      <w:pPr>
        <w:framePr w:w="796" w:h="865" w:hSpace="180" w:wrap="around" w:vAnchor="text" w:hAnchor="page" w:x="1477" w:y="870"/>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504825" cy="4857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504825" cy="485775"/>
                    </a:xfrm>
                    <a:prstGeom prst="rect">
                      <a:avLst/>
                    </a:prstGeom>
                    <a:noFill/>
                    <a:ln w="9525">
                      <a:noFill/>
                      <a:miter lim="800000"/>
                      <a:headEnd/>
                      <a:tailEnd/>
                    </a:ln>
                  </pic:spPr>
                </pic:pic>
              </a:graphicData>
            </a:graphic>
          </wp:inline>
        </w:drawing>
      </w:r>
    </w:p>
    <w:p w:rsidR="00000000" w:rsidRDefault="00582B24">
      <w:pPr>
        <w:pStyle w:val="textup"/>
      </w:pPr>
      <w:r>
        <w:rPr>
          <w:b/>
        </w:rPr>
        <w:t>School Ready Grt. Program</w:t>
      </w:r>
      <w:r>
        <w:tab/>
        <w:t>On March 4, the Senate approved SF 2406, which appropriates $5.2 million to establish a School Ready Children Grant Program.  The Bill does the following:</w:t>
      </w:r>
    </w:p>
    <w:p w:rsidR="00000000" w:rsidRDefault="00582B24" w:rsidP="00582B24">
      <w:pPr>
        <w:pStyle w:val="bulletup"/>
        <w:numPr>
          <w:ilvl w:val="0"/>
          <w:numId w:val="1"/>
        </w:numPr>
      </w:pPr>
      <w:r>
        <w:t xml:space="preserve">Creates and defines community empowerment areas and boards. </w:t>
      </w:r>
    </w:p>
    <w:p w:rsidR="00000000" w:rsidRDefault="00582B24" w:rsidP="00582B24">
      <w:pPr>
        <w:pStyle w:val="bulletup"/>
        <w:numPr>
          <w:ilvl w:val="0"/>
          <w:numId w:val="1"/>
        </w:numPr>
      </w:pPr>
      <w:r>
        <w:t xml:space="preserve">Requires the Departments of Education, Human Services, and Public Health to jointly develop and promote a School Ready Children Grant Program.  </w:t>
      </w:r>
    </w:p>
    <w:p w:rsidR="00000000" w:rsidRDefault="00582B24" w:rsidP="00582B24">
      <w:pPr>
        <w:pStyle w:val="bulletup"/>
        <w:numPr>
          <w:ilvl w:val="0"/>
          <w:numId w:val="1"/>
        </w:numPr>
      </w:pPr>
      <w:r>
        <w:lastRenderedPageBreak/>
        <w:t>Requires the Departments to identify core indicators of performance to be used to assess the effectiveness of the Program, including:</w:t>
      </w:r>
    </w:p>
    <w:p w:rsidR="00000000" w:rsidRDefault="00582B24" w:rsidP="00582B24">
      <w:pPr>
        <w:pStyle w:val="bulletup1"/>
        <w:numPr>
          <w:ilvl w:val="0"/>
          <w:numId w:val="3"/>
        </w:numPr>
      </w:pPr>
      <w:r>
        <w:t>Increasing the health status of children.</w:t>
      </w:r>
    </w:p>
    <w:p w:rsidR="00000000" w:rsidRDefault="00582B24" w:rsidP="00582B24">
      <w:pPr>
        <w:pStyle w:val="bulletup1"/>
        <w:numPr>
          <w:ilvl w:val="0"/>
          <w:numId w:val="3"/>
        </w:numPr>
      </w:pPr>
      <w:r>
        <w:t>Reducing the incidence of child abuse and neglect.</w:t>
      </w:r>
    </w:p>
    <w:p w:rsidR="00000000" w:rsidRDefault="00582B24" w:rsidP="00582B24">
      <w:pPr>
        <w:pStyle w:val="bulletup1"/>
        <w:numPr>
          <w:ilvl w:val="0"/>
          <w:numId w:val="3"/>
        </w:numPr>
      </w:pPr>
      <w:r>
        <w:t>Increasing the access of children to an adult mentor.</w:t>
      </w:r>
    </w:p>
    <w:p w:rsidR="00000000" w:rsidRDefault="00582B24" w:rsidP="00582B24">
      <w:pPr>
        <w:pStyle w:val="bulletup1"/>
        <w:numPr>
          <w:ilvl w:val="0"/>
          <w:numId w:val="3"/>
        </w:numPr>
      </w:pPr>
      <w:r>
        <w:t>Increasing parental involvement with children.</w:t>
      </w:r>
    </w:p>
    <w:p w:rsidR="00000000" w:rsidRDefault="00582B24" w:rsidP="00582B24">
      <w:pPr>
        <w:pStyle w:val="bulletup1"/>
        <w:numPr>
          <w:ilvl w:val="0"/>
          <w:numId w:val="3"/>
        </w:numPr>
      </w:pPr>
      <w:r>
        <w:t>Increasing the quality and accessibility of child care.</w:t>
      </w:r>
    </w:p>
    <w:p w:rsidR="00000000" w:rsidRDefault="00582B24" w:rsidP="00582B24">
      <w:pPr>
        <w:pStyle w:val="bulletup"/>
        <w:numPr>
          <w:ilvl w:val="0"/>
          <w:numId w:val="1"/>
        </w:numPr>
      </w:pPr>
      <w:r>
        <w:t>Specifies that a School Ready Children Grant shall, at a minimum, provide the following:</w:t>
      </w:r>
    </w:p>
    <w:p w:rsidR="00000000" w:rsidRDefault="00582B24" w:rsidP="00582B24">
      <w:pPr>
        <w:pStyle w:val="bulletup1"/>
        <w:numPr>
          <w:ilvl w:val="0"/>
          <w:numId w:val="3"/>
        </w:numPr>
      </w:pPr>
      <w:r>
        <w:t>Preschool services for children deemed</w:t>
      </w:r>
      <w:r>
        <w:t xml:space="preserve"> at risk of not succeeding in elementary school.</w:t>
      </w:r>
    </w:p>
    <w:p w:rsidR="00000000" w:rsidRDefault="00582B24" w:rsidP="00582B24">
      <w:pPr>
        <w:pStyle w:val="bulletup1"/>
        <w:numPr>
          <w:ilvl w:val="0"/>
          <w:numId w:val="3"/>
        </w:numPr>
      </w:pPr>
      <w:r>
        <w:t>Parent education programs for parents of children from birth through age five.</w:t>
      </w:r>
    </w:p>
    <w:p w:rsidR="00000000" w:rsidRDefault="00582B24" w:rsidP="00582B24">
      <w:pPr>
        <w:pStyle w:val="bulletup1"/>
        <w:numPr>
          <w:ilvl w:val="0"/>
          <w:numId w:val="3"/>
        </w:numPr>
      </w:pPr>
      <w:r>
        <w:t>A comprehensive School Ready Children Grant Plan developed by the community empowerment area board for providing services for children from birth through age five.</w:t>
      </w:r>
    </w:p>
    <w:p w:rsidR="00000000" w:rsidRDefault="00582B24" w:rsidP="00582B24">
      <w:pPr>
        <w:pStyle w:val="bulletup"/>
        <w:numPr>
          <w:ilvl w:val="0"/>
          <w:numId w:val="1"/>
        </w:numPr>
      </w:pPr>
      <w:r>
        <w:t xml:space="preserve">Requires grants be awarded for a five-year period with annual payments made on or before October 1.  Continued receipt of funds is contingent on filing an annual report.  </w:t>
      </w:r>
    </w:p>
    <w:p w:rsidR="00000000" w:rsidRDefault="00582B24" w:rsidP="00582B24">
      <w:pPr>
        <w:pStyle w:val="bulletup"/>
        <w:numPr>
          <w:ilvl w:val="0"/>
          <w:numId w:val="1"/>
        </w:numPr>
      </w:pPr>
      <w:r>
        <w:t xml:space="preserve">Funds appropriated are to be distributed to the </w:t>
      </w:r>
      <w:r>
        <w:t xml:space="preserve">community empowerment area boards based on each community area’s percentage share of the statewide total of students in grades one through six that qualify for the federal free and reduced price lunch program. </w:t>
      </w:r>
    </w:p>
    <w:p w:rsidR="00000000" w:rsidRDefault="00582B24">
      <w:pPr>
        <w:pStyle w:val="textup"/>
      </w:pPr>
      <w:r>
        <w:rPr>
          <w:b/>
        </w:rPr>
        <w:t>Effective Date</w:t>
      </w:r>
      <w:r>
        <w:tab/>
        <w:t>The Bill is effective upon enactment.</w:t>
      </w:r>
    </w:p>
    <w:p w:rsidR="00000000" w:rsidRDefault="00582B24">
      <w:pPr>
        <w:framePr w:w="497" w:h="425" w:hSpace="180" w:wrap="auto" w:vAnchor="text" w:hAnchor="page" w:x="1333" w:y="515"/>
        <w:pBdr>
          <w:top w:val="single" w:sz="12" w:space="5" w:color="auto" w:shadow="1"/>
          <w:left w:val="single" w:sz="12" w:space="5" w:color="auto" w:shadow="1"/>
          <w:bottom w:val="single" w:sz="12" w:space="5" w:color="auto" w:shadow="1"/>
          <w:right w:val="single" w:sz="12" w:space="5" w:color="auto" w:shadow="1"/>
        </w:pBdr>
        <w:rPr>
          <w:rFonts w:ascii="Tahoma" w:hAnsi="Tahoma"/>
          <w:b/>
          <w:sz w:val="16"/>
        </w:rPr>
      </w:pPr>
      <w:r>
        <w:rPr>
          <w:rFonts w:ascii="Tahoma" w:hAnsi="Tahoma"/>
          <w:b/>
          <w:sz w:val="16"/>
        </w:rPr>
        <w:t>NOBA</w:t>
      </w:r>
    </w:p>
    <w:p w:rsidR="00000000" w:rsidRDefault="00582B24">
      <w:pPr>
        <w:pStyle w:val="textup"/>
      </w:pPr>
      <w:r>
        <w:rPr>
          <w:b/>
        </w:rPr>
        <w:t>Bill Summary</w:t>
      </w:r>
      <w:r>
        <w:tab/>
        <w:t>Copies of the Notes on Bills and Amendments (NOBA) are available at the LFB.</w:t>
      </w:r>
    </w:p>
    <w:p w:rsidR="00000000" w:rsidRDefault="00582B24">
      <w:pPr>
        <w:pStyle w:val="Contactup"/>
      </w:pPr>
      <w:r>
        <w:t>STAFF CONTACT:  Mary Shipman (Ext. 14617)  Margaret Buckton (Ext. 17942)</w:t>
      </w:r>
    </w:p>
    <w:p w:rsidR="00000000" w:rsidRDefault="00582B24">
      <w:pPr>
        <w:pStyle w:val="Blurbtitle"/>
      </w:pPr>
      <w:bookmarkStart w:id="8" w:name="FU3DHKA"/>
      <w:r>
        <w:t>Number of Supreme Court Justices - HF 2471 passes the House</w:t>
      </w:r>
      <w:bookmarkEnd w:id="8"/>
    </w:p>
    <w:p w:rsidR="00000000" w:rsidRDefault="00582B24">
      <w:pPr>
        <w:framePr w:w="505" w:h="868" w:hSpace="180" w:wrap="around" w:vAnchor="text" w:hAnchor="page" w:x="1477" w:y="649"/>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23850" cy="3238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323850" cy="323850"/>
                    </a:xfrm>
                    <a:prstGeom prst="rect">
                      <a:avLst/>
                    </a:prstGeom>
                    <a:noFill/>
                    <a:ln w="9525">
                      <a:noFill/>
                      <a:miter lim="800000"/>
                      <a:headEnd/>
                      <a:tailEnd/>
                    </a:ln>
                  </pic:spPr>
                </pic:pic>
              </a:graphicData>
            </a:graphic>
          </wp:inline>
        </w:drawing>
      </w:r>
    </w:p>
    <w:p w:rsidR="00000000" w:rsidRDefault="00582B24">
      <w:pPr>
        <w:pStyle w:val="textup"/>
      </w:pPr>
      <w:r>
        <w:rPr>
          <w:b/>
        </w:rPr>
        <w:t>HF 2471</w:t>
      </w:r>
      <w:r>
        <w:tab/>
        <w:t>House File</w:t>
      </w:r>
      <w:r>
        <w:t xml:space="preserve"> 2471 passed the House on March 5.  The Bill changes the number of Supreme Court Justices from nine to seven, and the number of Court of Appeals Judges from six to nine.  It is estimated that the Bill will increase expenditures for the Judicial Department by $359,000 in FY 2000 and decrease expenditures by $208,000 for FY 2001.</w:t>
      </w:r>
    </w:p>
    <w:p w:rsidR="00000000" w:rsidRDefault="00582B24">
      <w:pPr>
        <w:pStyle w:val="Contactup"/>
      </w:pPr>
      <w:r>
        <w:t>STAFF CONTACT:  Darlene Kruse (Ext. 16301)</w:t>
      </w:r>
    </w:p>
    <w:p w:rsidR="00000000" w:rsidRDefault="00582B24">
      <w:pPr>
        <w:pStyle w:val="Blurbtitle"/>
      </w:pPr>
      <w:bookmarkStart w:id="9" w:name="FU3DHKB"/>
      <w:r>
        <w:t>Sex Offender Registry - SF 2292 passes the Senate</w:t>
      </w:r>
      <w:bookmarkEnd w:id="9"/>
    </w:p>
    <w:p w:rsidR="00000000" w:rsidRDefault="00582B24">
      <w:pPr>
        <w:pStyle w:val="textup"/>
      </w:pPr>
      <w:r>
        <w:rPr>
          <w:b/>
        </w:rPr>
        <w:t>SF 2292</w:t>
      </w:r>
      <w:r>
        <w:tab/>
        <w:t xml:space="preserve">Senate File 2292 passed the Senate on March 5.  The Bill amends the Sex Offender </w:t>
      </w:r>
      <w:r>
        <w:t xml:space="preserve">Registry chapter and makes provisions for notification and </w:t>
      </w:r>
      <w:r>
        <w:lastRenderedPageBreak/>
        <w:t>offender risk assessments.  It is estimated that the Bill will increase expenditures by the Department of Public Safety by $83,000 in FY 1999.</w:t>
      </w:r>
    </w:p>
    <w:p w:rsidR="00000000" w:rsidRDefault="00582B24">
      <w:pPr>
        <w:pStyle w:val="Contactup"/>
      </w:pPr>
      <w:r>
        <w:t>STAFF CONTACT:  Darlene Kruse (Ext. 16301)</w:t>
      </w:r>
    </w:p>
    <w:p w:rsidR="00000000" w:rsidRDefault="00582B24">
      <w:pPr>
        <w:pStyle w:val="Blurbtitle"/>
      </w:pPr>
      <w:bookmarkStart w:id="10" w:name="FU3MDFA"/>
      <w:r>
        <w:t>Hormonal Therapy for Sex Offenders - SF 2398  Passes Senate</w:t>
      </w:r>
      <w:bookmarkEnd w:id="10"/>
    </w:p>
    <w:p w:rsidR="00000000" w:rsidRDefault="00582B24">
      <w:pPr>
        <w:pStyle w:val="textup"/>
      </w:pPr>
      <w:r>
        <w:rPr>
          <w:b/>
        </w:rPr>
        <w:t>SF 2398</w:t>
      </w:r>
      <w:r>
        <w:tab/>
        <w:t xml:space="preserve">The Senate passed SF 2398, which deals with repeat sex offenders and provides for hormonal intervention therapy for sex offenders on probation or parole.  </w:t>
      </w:r>
    </w:p>
    <w:p w:rsidR="00000000" w:rsidRDefault="00582B24">
      <w:pPr>
        <w:pStyle w:val="textup"/>
      </w:pPr>
      <w:r>
        <w:rPr>
          <w:b/>
        </w:rPr>
        <w:t>Provides For Life Sentence</w:t>
      </w:r>
      <w:r>
        <w:tab/>
        <w:t>The Bill provide</w:t>
      </w:r>
      <w:r>
        <w:t>s for imposition of a life sentence for an offender who commits repeat acts of sexual abuse against children age 12 and younger.  Under current sentencing practices, there will be no significant impact on the prison system.</w:t>
      </w:r>
    </w:p>
    <w:p w:rsidR="00000000" w:rsidRDefault="00582B24">
      <w:pPr>
        <w:pStyle w:val="textup"/>
      </w:pPr>
      <w:r>
        <w:rPr>
          <w:b/>
        </w:rPr>
        <w:t>Hormonal Therapy</w:t>
      </w:r>
      <w:r>
        <w:tab/>
        <w:t>The hormonal therapy for sex offenders could be required of first-time offenders placed on probation and is mandatory for second offenders upon their release from prison.  It is estimated that there will be 176 probationers annually who will be eligible for the treatment</w:t>
      </w:r>
      <w:r>
        <w:t xml:space="preserve">.  It is not known how many probationers the Courts will sentence to the treatment.  No parolees are expected to be released from prison during the projection period.  </w:t>
      </w:r>
    </w:p>
    <w:p w:rsidR="00000000" w:rsidRDefault="00582B24">
      <w:pPr>
        <w:pStyle w:val="textup"/>
      </w:pPr>
      <w:r>
        <w:rPr>
          <w:b/>
        </w:rPr>
        <w:t>Fiscal Impact</w:t>
      </w:r>
      <w:r>
        <w:tab/>
        <w:t>The average weekly cost of the program is projected to be $72 per offender.  If all eligible offenders were sentenced to the treatment (i.e., the maximum cost), the FY 1999 costs would be $662,000; the FY 2000 costs would be $1.3 million; and the FY 2003 costs would be $3.8 million.  Since the Bill provides for charging the off</w:t>
      </w:r>
      <w:r>
        <w:t>enders a fee for participating in the program, some of the program costs would be recovered.</w:t>
      </w:r>
    </w:p>
    <w:p w:rsidR="00000000" w:rsidRDefault="00582B24">
      <w:pPr>
        <w:pStyle w:val="Contactup"/>
      </w:pPr>
      <w:r>
        <w:t>STAFF CONTACT:  Dwayne Ferguson (Ext. 16561)  Darlene Kruse (Ext. 16301)</w:t>
      </w:r>
    </w:p>
    <w:p w:rsidR="00000000" w:rsidRDefault="00582B24">
      <w:pPr>
        <w:pStyle w:val="Blurbtitle"/>
      </w:pPr>
      <w:bookmarkStart w:id="11" w:name="FU3MMBD"/>
      <w:r>
        <w:t xml:space="preserve">Electronic Benefits Transfer Bill </w:t>
      </w:r>
      <w:bookmarkEnd w:id="11"/>
      <w:r>
        <w:t>- HF 2468 Passes House</w:t>
      </w:r>
    </w:p>
    <w:p w:rsidR="00000000" w:rsidRDefault="00582B24">
      <w:pPr>
        <w:pStyle w:val="textup"/>
      </w:pPr>
      <w:r>
        <w:rPr>
          <w:b/>
        </w:rPr>
        <w:t>HF 2468</w:t>
      </w:r>
      <w:r>
        <w:tab/>
        <w:t>On March 5, the House passed the Electronic Benefits Transfer Bill, (HF 2468), which establishes an Electronic Benefits Transfer Program (EBT) and provides benefits, including food stamps to eligible individuals through the use of an EBT card, similar to a “Shazam” or cash station</w:t>
      </w:r>
      <w:r>
        <w:t xml:space="preserve"> card at retailers.</w:t>
      </w:r>
    </w:p>
    <w:p w:rsidR="00000000" w:rsidRDefault="00582B24">
      <w:pPr>
        <w:pStyle w:val="textup"/>
      </w:pPr>
      <w:r>
        <w:rPr>
          <w:b/>
        </w:rPr>
        <w:t>Background</w:t>
      </w:r>
      <w:r>
        <w:tab/>
        <w:t>There are approximately 419,000 food stamp transactions monthly in the State of Iowa, for an estimated total of $114.6 million in food expenditures in FY 1998.  House File 2468 includes a $0.15 transaction fee paid to retailers providing electronic funds transfer equipment, or provides equipment for retailers participating in food stamp redemption without equipment.  A pilot project in Linn County has provided EBT cards to recipients, with approximately 85.0% of transactions o</w:t>
      </w:r>
      <w:r>
        <w:t xml:space="preserve">ccurring </w:t>
      </w:r>
      <w:r>
        <w:lastRenderedPageBreak/>
        <w:t>on retailer-owned equipment.  With the additional cost per transaction of $0.15, the total annual cost of EBT statewide is approximately $641,000.  The $0.15 transaction fee is the difference between current food stamps administrative costs experienced by retailers and retailers’ estimates of administrative costs of handling electronic benefits transfers.  According to data compiled by the U. S. Department of Agriculture, of the 28 states with operative EBT programs, 19 do not pay a retailer transa</w:t>
      </w:r>
      <w:r>
        <w:t>ction fee.  Of the seven paying a fee, the highest transaction fee is $0.05 per transaction.  Federal funds for food stamps administration will cover 40.0% of the costs, resulting in a net State funding obligation of $192,000 in FY 1999 and $385,000 in FY 2000 (the EBT program is scheduled to be phased into effect January 1, 1999, with only six months of cost realized in the first year of operation).</w:t>
      </w:r>
    </w:p>
    <w:p w:rsidR="00000000" w:rsidRDefault="00582B24">
      <w:pPr>
        <w:framePr w:w="501" w:h="1159" w:hSpace="180" w:wrap="around" w:vAnchor="text" w:hAnchor="page" w:x="1333" w:y="657"/>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4325" cy="4476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314325" cy="447675"/>
                    </a:xfrm>
                    <a:prstGeom prst="rect">
                      <a:avLst/>
                    </a:prstGeom>
                    <a:noFill/>
                    <a:ln w="9525">
                      <a:noFill/>
                      <a:miter lim="800000"/>
                      <a:headEnd/>
                      <a:tailEnd/>
                    </a:ln>
                  </pic:spPr>
                </pic:pic>
              </a:graphicData>
            </a:graphic>
          </wp:inline>
        </w:drawing>
      </w:r>
    </w:p>
    <w:p w:rsidR="00000000" w:rsidRDefault="00582B24">
      <w:pPr>
        <w:pStyle w:val="textup"/>
      </w:pPr>
      <w:r>
        <w:rPr>
          <w:b/>
        </w:rPr>
        <w:t>Fiscal Impact</w:t>
      </w:r>
      <w:r>
        <w:tab/>
        <w:t>Costs for providing equipment to retailers forgoing the transaction fee and requiring equipm</w:t>
      </w:r>
      <w:r>
        <w:t>ent are included in the Department of Human Services budget for FY 1999.  State funds of $193,000 fund a contract for equipment, training of retailers and recipients, maintenance of equipment, and staff to verify benefits if retailers experience any equipment failures.  The Bill does not specify a mechanism for paying transaction fees to retailers.  The Request for Proposals for the equipment and training contractor could be altered to include a payment and transaction verification mechanism.</w:t>
      </w:r>
    </w:p>
    <w:p w:rsidR="00000000" w:rsidRDefault="00582B24">
      <w:pPr>
        <w:pStyle w:val="textup"/>
      </w:pPr>
      <w:r>
        <w:rPr>
          <w:b/>
        </w:rPr>
        <w:t>Potential Savi</w:t>
      </w:r>
      <w:r>
        <w:rPr>
          <w:b/>
        </w:rPr>
        <w:t>ngs</w:t>
      </w:r>
      <w:r>
        <w:tab/>
        <w:t>An EBT system is likely to reduce fraud associated with food stamps, including black market sales of food stamps for cash or attempts to maximize change back from food stamps to spend on nonfood items.  Savings from reductions in fraud would have no effect on State expenditures, but would insure proper use of food stamps and potential savings to the federal government.</w:t>
      </w:r>
    </w:p>
    <w:p w:rsidR="00000000" w:rsidRDefault="00582B24">
      <w:pPr>
        <w:pStyle w:val="Contactup"/>
      </w:pPr>
      <w:r>
        <w:t>STAFF CONTACT:  Margaret Buckton (Ext. 17942)</w:t>
      </w:r>
    </w:p>
    <w:p w:rsidR="00000000" w:rsidRDefault="00582B24">
      <w:pPr>
        <w:pStyle w:val="Blurbtitle"/>
      </w:pPr>
      <w:bookmarkStart w:id="12" w:name="FU3DLRA"/>
      <w:r>
        <w:t>ROAD Use Tax Fund Revenues</w:t>
      </w:r>
      <w:bookmarkEnd w:id="12"/>
    </w:p>
    <w:p w:rsidR="00000000" w:rsidRDefault="00582B24">
      <w:pPr>
        <w:pStyle w:val="textup"/>
      </w:pPr>
      <w:r>
        <w:rPr>
          <w:b/>
        </w:rPr>
        <w:t>Road Use Tax Fund Receipts</w:t>
      </w:r>
      <w:r>
        <w:tab/>
        <w:t>Road Use Tax Fund receipts through F</w:t>
      </w:r>
      <w:r>
        <w:t xml:space="preserve">ebruary are $19.2 million (3.4%) higher than the same period a year ago.  Of the $19.2 million increase, $17.4 million is attributed to increased Motor Vehicle Use Tax collections and fees collected relating to the issuance of vehicle registrations and certificates of title.  </w:t>
      </w:r>
    </w:p>
    <w:p w:rsidR="00000000" w:rsidRDefault="00582B24">
      <w:pPr>
        <w:pStyle w:val="textup"/>
      </w:pPr>
      <w:r>
        <w:rPr>
          <w:b/>
        </w:rPr>
        <w:t>Motor Vehicle Use Tax</w:t>
      </w:r>
      <w:r>
        <w:tab/>
        <w:t>Year-to-date Motor Vehicle Use Tax receipts are up $8.3 million (8.6%) compared to the same period for FY 1997.  The increase in these receipts is primarily attributed to the increase in car and truck sales in Io</w:t>
      </w:r>
      <w:r>
        <w:t xml:space="preserve">wa.  The most recent information available shows that for the first six months of FY 1998, sales were 12.2% higher than the same period of FY 1997. </w:t>
      </w:r>
    </w:p>
    <w:p w:rsidR="00000000" w:rsidRDefault="00582B24">
      <w:pPr>
        <w:pStyle w:val="textup"/>
      </w:pPr>
      <w:r>
        <w:rPr>
          <w:b/>
        </w:rPr>
        <w:t>Registration &amp; Title Fees</w:t>
      </w:r>
      <w:r>
        <w:tab/>
        <w:t>Registration and title fees have increased $9.2 million (5.3%) compared to the same period for FY 1997.  The increase in vehicle registration fees is largely attributed to the increase in the price of vehicles being registered.  This also corresponds with the increase in new car and truck sales being experienced this fiscal year.</w:t>
      </w:r>
    </w:p>
    <w:p w:rsidR="00000000" w:rsidRDefault="00582B24">
      <w:pPr>
        <w:framePr w:w="501" w:h="997" w:hSpace="180" w:wrap="around" w:vAnchor="text" w:hAnchor="page" w:x="1477" w:y="1359"/>
        <w:pBdr>
          <w:top w:val="single" w:sz="12" w:space="5" w:color="auto" w:shadow="1"/>
          <w:left w:val="single" w:sz="12" w:space="5" w:color="auto" w:shadow="1"/>
          <w:bottom w:val="single" w:sz="12" w:space="5" w:color="auto" w:shadow="1"/>
          <w:right w:val="single" w:sz="12" w:space="5" w:color="auto" w:shadow="1"/>
        </w:pBdr>
      </w:pPr>
      <w:r>
        <w:rPr>
          <w:noProof/>
        </w:rPr>
        <w:lastRenderedPageBreak/>
        <w:drawing>
          <wp:inline distT="0" distB="0" distL="0" distR="0">
            <wp:extent cx="314325" cy="49530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314325" cy="495300"/>
                    </a:xfrm>
                    <a:prstGeom prst="rect">
                      <a:avLst/>
                    </a:prstGeom>
                    <a:noFill/>
                    <a:ln w="9525">
                      <a:noFill/>
                      <a:miter lim="800000"/>
                      <a:headEnd/>
                      <a:tailEnd/>
                    </a:ln>
                  </pic:spPr>
                </pic:pic>
              </a:graphicData>
            </a:graphic>
          </wp:inline>
        </w:drawing>
      </w:r>
    </w:p>
    <w:p w:rsidR="00000000" w:rsidRDefault="00582B24">
      <w:pPr>
        <w:pStyle w:val="textup"/>
      </w:pPr>
      <w:r>
        <w:rPr>
          <w:b/>
        </w:rPr>
        <w:t>Mot</w:t>
      </w:r>
      <w:r>
        <w:rPr>
          <w:b/>
        </w:rPr>
        <w:t>or Vehicle Fuel Tax</w:t>
      </w:r>
      <w:r>
        <w:tab/>
        <w:t xml:space="preserve">Motor Vehicle Fuel Tax revenues experienced an increase of $3.1 million (1.2%) compared to the same period for FY 1997.  </w:t>
      </w:r>
    </w:p>
    <w:p w:rsidR="00000000" w:rsidRDefault="00582B24">
      <w:pPr>
        <w:pStyle w:val="textup"/>
      </w:pPr>
      <w:r>
        <w:rPr>
          <w:b/>
        </w:rPr>
        <w:t>Driver License Fees</w:t>
      </w:r>
      <w:r>
        <w:tab/>
        <w:t>Driver License Fees are down $2.7 million (32.1%) compared to the same six-month period in FY 1997.  This decrease is due to the normal license issuance cycle.  Total driver license receipts for FY 1998 are estimated to be approximately $5.0 million (40.0%) less than FY 1997 due to fewer anticipated license renewals.  Changes in other revenue sourc</w:t>
      </w:r>
      <w:r>
        <w:t xml:space="preserve">es were relatively insignificant.  </w:t>
      </w:r>
    </w:p>
    <w:p w:rsidR="00000000" w:rsidRDefault="00582B24">
      <w:pPr>
        <w:pStyle w:val="textup"/>
      </w:pPr>
      <w:r>
        <w:rPr>
          <w:b/>
        </w:rPr>
        <w:t>Comparison to FY 1997</w:t>
      </w:r>
      <w:r>
        <w:tab/>
        <w:t>The following table compares the Road Use Tax Fund receipts for the first seven months of FY 1997 and FY 1998 by revenue source.  Totals may not add due to rounding.</w:t>
      </w:r>
    </w:p>
    <w:tbl>
      <w:tblPr>
        <w:tblW w:w="0" w:type="auto"/>
        <w:jc w:val="right"/>
        <w:tblLayout w:type="fixed"/>
        <w:tblCellMar>
          <w:left w:w="30" w:type="dxa"/>
          <w:right w:w="30" w:type="dxa"/>
        </w:tblCellMar>
        <w:tblLook w:val="0000"/>
      </w:tblPr>
      <w:tblGrid>
        <w:gridCol w:w="425"/>
        <w:gridCol w:w="1970"/>
        <w:gridCol w:w="173"/>
        <w:gridCol w:w="835"/>
        <w:gridCol w:w="142"/>
        <w:gridCol w:w="835"/>
        <w:gridCol w:w="190"/>
        <w:gridCol w:w="852"/>
        <w:gridCol w:w="189"/>
        <w:gridCol w:w="773"/>
      </w:tblGrid>
      <w:tr w:rsidR="00582B24" w:rsidTr="00582B24">
        <w:tblPrEx>
          <w:tblCellMar>
            <w:top w:w="0" w:type="dxa"/>
            <w:bottom w:w="0" w:type="dxa"/>
          </w:tblCellMar>
        </w:tblPrEx>
        <w:trPr>
          <w:trHeight w:val="218"/>
          <w:jc w:val="right"/>
        </w:trPr>
        <w:tc>
          <w:tcPr>
            <w:tcW w:w="6384" w:type="dxa"/>
            <w:gridSpan w:val="10"/>
          </w:tcPr>
          <w:p w:rsidR="00000000" w:rsidRDefault="00582B24">
            <w:pPr>
              <w:jc w:val="center"/>
              <w:rPr>
                <w:b/>
                <w:color w:val="000000"/>
                <w:sz w:val="16"/>
              </w:rPr>
            </w:pPr>
            <w:r>
              <w:rPr>
                <w:b/>
                <w:color w:val="000000"/>
                <w:sz w:val="16"/>
              </w:rPr>
              <w:t>ROAD USE TAX FUND RECEIPTS</w:t>
            </w:r>
          </w:p>
        </w:tc>
      </w:tr>
      <w:tr w:rsidR="00582B24" w:rsidTr="00582B24">
        <w:tblPrEx>
          <w:tblCellMar>
            <w:top w:w="0" w:type="dxa"/>
            <w:bottom w:w="0" w:type="dxa"/>
          </w:tblCellMar>
        </w:tblPrEx>
        <w:trPr>
          <w:trHeight w:val="218"/>
          <w:jc w:val="right"/>
        </w:trPr>
        <w:tc>
          <w:tcPr>
            <w:tcW w:w="6384" w:type="dxa"/>
            <w:gridSpan w:val="10"/>
          </w:tcPr>
          <w:p w:rsidR="00000000" w:rsidRDefault="00582B24">
            <w:pPr>
              <w:jc w:val="center"/>
              <w:rPr>
                <w:b/>
                <w:color w:val="000000"/>
                <w:sz w:val="16"/>
              </w:rPr>
            </w:pPr>
            <w:r>
              <w:rPr>
                <w:b/>
                <w:color w:val="000000"/>
                <w:sz w:val="16"/>
              </w:rPr>
              <w:t>(Dollars in Millions)</w:t>
            </w:r>
          </w:p>
        </w:tc>
      </w:tr>
      <w:tr w:rsidR="00582B24" w:rsidTr="00582B24">
        <w:tblPrEx>
          <w:tblCellMar>
            <w:top w:w="0" w:type="dxa"/>
            <w:bottom w:w="0" w:type="dxa"/>
          </w:tblCellMar>
        </w:tblPrEx>
        <w:trPr>
          <w:trHeight w:val="218"/>
          <w:jc w:val="right"/>
        </w:trPr>
        <w:tc>
          <w:tcPr>
            <w:tcW w:w="6384" w:type="dxa"/>
            <w:gridSpan w:val="10"/>
          </w:tcPr>
          <w:p w:rsidR="00000000" w:rsidRDefault="00582B24">
            <w:pPr>
              <w:jc w:val="center"/>
              <w:rPr>
                <w:color w:val="000000"/>
                <w:sz w:val="16"/>
              </w:rPr>
            </w:pPr>
            <w:r>
              <w:rPr>
                <w:color w:val="000000"/>
                <w:sz w:val="16"/>
              </w:rPr>
              <w:t>July - February</w:t>
            </w:r>
          </w:p>
        </w:tc>
      </w:tr>
      <w:tr w:rsidR="00000000">
        <w:tblPrEx>
          <w:tblCellMar>
            <w:top w:w="0" w:type="dxa"/>
            <w:bottom w:w="0" w:type="dxa"/>
          </w:tblCellMar>
        </w:tblPrEx>
        <w:trPr>
          <w:trHeight w:val="101"/>
          <w:jc w:val="right"/>
        </w:trPr>
        <w:tc>
          <w:tcPr>
            <w:tcW w:w="425" w:type="dxa"/>
          </w:tcPr>
          <w:p w:rsidR="00000000" w:rsidRDefault="00582B24">
            <w:pPr>
              <w:rPr>
                <w:color w:val="000000"/>
                <w:sz w:val="16"/>
              </w:rPr>
            </w:pPr>
          </w:p>
        </w:tc>
        <w:tc>
          <w:tcPr>
            <w:tcW w:w="1970" w:type="dxa"/>
          </w:tcPr>
          <w:p w:rsidR="00000000" w:rsidRDefault="00582B24">
            <w:pPr>
              <w:jc w:val="center"/>
              <w:rPr>
                <w:color w:val="000000"/>
                <w:sz w:val="16"/>
              </w:rPr>
            </w:pPr>
          </w:p>
        </w:tc>
        <w:tc>
          <w:tcPr>
            <w:tcW w:w="173" w:type="dxa"/>
          </w:tcPr>
          <w:p w:rsidR="00000000" w:rsidRDefault="00582B24">
            <w:pPr>
              <w:jc w:val="center"/>
              <w:rPr>
                <w:color w:val="000000"/>
                <w:sz w:val="16"/>
              </w:rPr>
            </w:pPr>
          </w:p>
        </w:tc>
        <w:tc>
          <w:tcPr>
            <w:tcW w:w="835" w:type="dxa"/>
          </w:tcPr>
          <w:p w:rsidR="00000000" w:rsidRDefault="00582B24">
            <w:pPr>
              <w:jc w:val="center"/>
              <w:rPr>
                <w:color w:val="000000"/>
                <w:sz w:val="16"/>
              </w:rPr>
            </w:pPr>
          </w:p>
        </w:tc>
        <w:tc>
          <w:tcPr>
            <w:tcW w:w="142" w:type="dxa"/>
          </w:tcPr>
          <w:p w:rsidR="00000000" w:rsidRDefault="00582B24">
            <w:pPr>
              <w:jc w:val="center"/>
              <w:rPr>
                <w:color w:val="000000"/>
                <w:sz w:val="16"/>
              </w:rPr>
            </w:pPr>
          </w:p>
        </w:tc>
        <w:tc>
          <w:tcPr>
            <w:tcW w:w="835" w:type="dxa"/>
          </w:tcPr>
          <w:p w:rsidR="00000000" w:rsidRDefault="00582B24">
            <w:pPr>
              <w:jc w:val="center"/>
              <w:rPr>
                <w:color w:val="000000"/>
                <w:sz w:val="16"/>
              </w:rPr>
            </w:pPr>
          </w:p>
        </w:tc>
        <w:tc>
          <w:tcPr>
            <w:tcW w:w="190" w:type="dxa"/>
          </w:tcPr>
          <w:p w:rsidR="00000000" w:rsidRDefault="00582B24">
            <w:pPr>
              <w:jc w:val="center"/>
              <w:rPr>
                <w:color w:val="000000"/>
                <w:sz w:val="16"/>
              </w:rPr>
            </w:pPr>
          </w:p>
        </w:tc>
        <w:tc>
          <w:tcPr>
            <w:tcW w:w="852" w:type="dxa"/>
          </w:tcPr>
          <w:p w:rsidR="00000000" w:rsidRDefault="00582B24">
            <w:pPr>
              <w:jc w:val="center"/>
              <w:rPr>
                <w:color w:val="000000"/>
                <w:sz w:val="16"/>
              </w:rPr>
            </w:pPr>
          </w:p>
        </w:tc>
        <w:tc>
          <w:tcPr>
            <w:tcW w:w="189" w:type="dxa"/>
          </w:tcPr>
          <w:p w:rsidR="00000000" w:rsidRDefault="00582B24">
            <w:pPr>
              <w:jc w:val="center"/>
              <w:rPr>
                <w:color w:val="000000"/>
                <w:sz w:val="16"/>
              </w:rPr>
            </w:pPr>
          </w:p>
        </w:tc>
        <w:tc>
          <w:tcPr>
            <w:tcW w:w="773" w:type="dxa"/>
          </w:tcPr>
          <w:p w:rsidR="00000000" w:rsidRDefault="00582B24">
            <w:pPr>
              <w:jc w:val="center"/>
              <w:rPr>
                <w:color w:val="000000"/>
                <w:sz w:val="16"/>
              </w:rPr>
            </w:pPr>
          </w:p>
        </w:tc>
      </w:tr>
      <w:tr w:rsidR="00000000">
        <w:tblPrEx>
          <w:tblCellMar>
            <w:top w:w="0" w:type="dxa"/>
            <w:bottom w:w="0" w:type="dxa"/>
          </w:tblCellMar>
        </w:tblPrEx>
        <w:trPr>
          <w:trHeight w:val="218"/>
          <w:jc w:val="right"/>
        </w:trPr>
        <w:tc>
          <w:tcPr>
            <w:tcW w:w="425" w:type="dxa"/>
          </w:tcPr>
          <w:p w:rsidR="00000000" w:rsidRDefault="00582B24">
            <w:pPr>
              <w:jc w:val="center"/>
              <w:rPr>
                <w:color w:val="000000"/>
                <w:sz w:val="16"/>
              </w:rPr>
            </w:pPr>
          </w:p>
        </w:tc>
        <w:tc>
          <w:tcPr>
            <w:tcW w:w="1970" w:type="dxa"/>
          </w:tcPr>
          <w:p w:rsidR="00000000" w:rsidRDefault="00582B24">
            <w:pPr>
              <w:jc w:val="center"/>
              <w:rPr>
                <w:color w:val="000000"/>
                <w:sz w:val="16"/>
              </w:rPr>
            </w:pPr>
          </w:p>
        </w:tc>
        <w:tc>
          <w:tcPr>
            <w:tcW w:w="173" w:type="dxa"/>
          </w:tcPr>
          <w:p w:rsidR="00000000" w:rsidRDefault="00582B24">
            <w:pPr>
              <w:jc w:val="center"/>
              <w:rPr>
                <w:color w:val="000000"/>
                <w:sz w:val="16"/>
              </w:rPr>
            </w:pPr>
          </w:p>
        </w:tc>
        <w:tc>
          <w:tcPr>
            <w:tcW w:w="835" w:type="dxa"/>
          </w:tcPr>
          <w:p w:rsidR="00000000" w:rsidRDefault="00582B24">
            <w:pPr>
              <w:jc w:val="center"/>
              <w:rPr>
                <w:color w:val="000000"/>
                <w:sz w:val="16"/>
              </w:rPr>
            </w:pPr>
          </w:p>
        </w:tc>
        <w:tc>
          <w:tcPr>
            <w:tcW w:w="142" w:type="dxa"/>
          </w:tcPr>
          <w:p w:rsidR="00000000" w:rsidRDefault="00582B24">
            <w:pPr>
              <w:jc w:val="center"/>
              <w:rPr>
                <w:color w:val="000000"/>
                <w:sz w:val="16"/>
              </w:rPr>
            </w:pPr>
          </w:p>
        </w:tc>
        <w:tc>
          <w:tcPr>
            <w:tcW w:w="835" w:type="dxa"/>
          </w:tcPr>
          <w:p w:rsidR="00000000" w:rsidRDefault="00582B24">
            <w:pPr>
              <w:jc w:val="center"/>
              <w:rPr>
                <w:color w:val="000000"/>
                <w:sz w:val="16"/>
              </w:rPr>
            </w:pPr>
          </w:p>
        </w:tc>
        <w:tc>
          <w:tcPr>
            <w:tcW w:w="190" w:type="dxa"/>
          </w:tcPr>
          <w:p w:rsidR="00000000" w:rsidRDefault="00582B24">
            <w:pPr>
              <w:jc w:val="center"/>
              <w:rPr>
                <w:color w:val="000000"/>
                <w:sz w:val="16"/>
              </w:rPr>
            </w:pPr>
          </w:p>
        </w:tc>
        <w:tc>
          <w:tcPr>
            <w:tcW w:w="852" w:type="dxa"/>
          </w:tcPr>
          <w:p w:rsidR="00000000" w:rsidRDefault="00582B24">
            <w:pPr>
              <w:jc w:val="center"/>
              <w:rPr>
                <w:color w:val="000000"/>
                <w:sz w:val="16"/>
              </w:rPr>
            </w:pPr>
            <w:r>
              <w:rPr>
                <w:color w:val="000000"/>
                <w:sz w:val="16"/>
              </w:rPr>
              <w:t>Increase/</w:t>
            </w:r>
          </w:p>
        </w:tc>
        <w:tc>
          <w:tcPr>
            <w:tcW w:w="189" w:type="dxa"/>
          </w:tcPr>
          <w:p w:rsidR="00000000" w:rsidRDefault="00582B24">
            <w:pPr>
              <w:jc w:val="center"/>
              <w:rPr>
                <w:color w:val="000000"/>
                <w:sz w:val="16"/>
              </w:rPr>
            </w:pPr>
          </w:p>
        </w:tc>
        <w:tc>
          <w:tcPr>
            <w:tcW w:w="773" w:type="dxa"/>
          </w:tcPr>
          <w:p w:rsidR="00000000" w:rsidRDefault="00582B24">
            <w:pPr>
              <w:jc w:val="center"/>
              <w:rPr>
                <w:color w:val="000000"/>
                <w:sz w:val="16"/>
              </w:rPr>
            </w:pPr>
            <w:r>
              <w:rPr>
                <w:color w:val="000000"/>
                <w:sz w:val="16"/>
              </w:rPr>
              <w:t>Percent</w:t>
            </w:r>
          </w:p>
        </w:tc>
      </w:tr>
      <w:tr w:rsidR="00000000">
        <w:tblPrEx>
          <w:tblCellMar>
            <w:top w:w="0" w:type="dxa"/>
            <w:bottom w:w="0" w:type="dxa"/>
          </w:tblCellMar>
        </w:tblPrEx>
        <w:trPr>
          <w:trHeight w:val="218"/>
          <w:jc w:val="right"/>
        </w:trPr>
        <w:tc>
          <w:tcPr>
            <w:tcW w:w="425" w:type="dxa"/>
          </w:tcPr>
          <w:p w:rsidR="00000000" w:rsidRDefault="00582B24">
            <w:pPr>
              <w:jc w:val="center"/>
              <w:rPr>
                <w:color w:val="000000"/>
                <w:sz w:val="16"/>
              </w:rPr>
            </w:pPr>
          </w:p>
        </w:tc>
        <w:tc>
          <w:tcPr>
            <w:tcW w:w="1970" w:type="dxa"/>
          </w:tcPr>
          <w:p w:rsidR="00000000" w:rsidRDefault="00582B24">
            <w:pPr>
              <w:jc w:val="center"/>
              <w:rPr>
                <w:color w:val="000000"/>
                <w:sz w:val="16"/>
              </w:rPr>
            </w:pPr>
          </w:p>
        </w:tc>
        <w:tc>
          <w:tcPr>
            <w:tcW w:w="173" w:type="dxa"/>
          </w:tcPr>
          <w:p w:rsidR="00000000" w:rsidRDefault="00582B24">
            <w:pPr>
              <w:jc w:val="center"/>
              <w:rPr>
                <w:color w:val="000000"/>
                <w:sz w:val="16"/>
              </w:rPr>
            </w:pPr>
          </w:p>
        </w:tc>
        <w:tc>
          <w:tcPr>
            <w:tcW w:w="835" w:type="dxa"/>
            <w:tcBorders>
              <w:bottom w:val="single" w:sz="6" w:space="0" w:color="000000"/>
            </w:tcBorders>
          </w:tcPr>
          <w:p w:rsidR="00000000" w:rsidRDefault="00582B24">
            <w:pPr>
              <w:jc w:val="center"/>
              <w:rPr>
                <w:color w:val="000000"/>
                <w:sz w:val="16"/>
              </w:rPr>
            </w:pPr>
            <w:r>
              <w:rPr>
                <w:color w:val="000000"/>
                <w:sz w:val="16"/>
              </w:rPr>
              <w:t>FY 1997</w:t>
            </w:r>
          </w:p>
        </w:tc>
        <w:tc>
          <w:tcPr>
            <w:tcW w:w="142" w:type="dxa"/>
          </w:tcPr>
          <w:p w:rsidR="00000000" w:rsidRDefault="00582B24">
            <w:pPr>
              <w:jc w:val="center"/>
              <w:rPr>
                <w:color w:val="000000"/>
                <w:sz w:val="16"/>
              </w:rPr>
            </w:pPr>
          </w:p>
        </w:tc>
        <w:tc>
          <w:tcPr>
            <w:tcW w:w="835" w:type="dxa"/>
            <w:tcBorders>
              <w:bottom w:val="single" w:sz="6" w:space="0" w:color="000000"/>
            </w:tcBorders>
          </w:tcPr>
          <w:p w:rsidR="00000000" w:rsidRDefault="00582B24">
            <w:pPr>
              <w:jc w:val="center"/>
              <w:rPr>
                <w:color w:val="000000"/>
                <w:sz w:val="16"/>
              </w:rPr>
            </w:pPr>
            <w:r>
              <w:rPr>
                <w:color w:val="000000"/>
                <w:sz w:val="16"/>
              </w:rPr>
              <w:t>FY 1998</w:t>
            </w:r>
          </w:p>
        </w:tc>
        <w:tc>
          <w:tcPr>
            <w:tcW w:w="190" w:type="dxa"/>
          </w:tcPr>
          <w:p w:rsidR="00000000" w:rsidRDefault="00582B24">
            <w:pPr>
              <w:jc w:val="center"/>
              <w:rPr>
                <w:color w:val="000000"/>
                <w:sz w:val="16"/>
              </w:rPr>
            </w:pPr>
          </w:p>
        </w:tc>
        <w:tc>
          <w:tcPr>
            <w:tcW w:w="852" w:type="dxa"/>
            <w:tcBorders>
              <w:bottom w:val="single" w:sz="6" w:space="0" w:color="000000"/>
            </w:tcBorders>
          </w:tcPr>
          <w:p w:rsidR="00000000" w:rsidRDefault="00582B24">
            <w:pPr>
              <w:jc w:val="center"/>
              <w:rPr>
                <w:color w:val="000000"/>
                <w:sz w:val="16"/>
              </w:rPr>
            </w:pPr>
            <w:r>
              <w:rPr>
                <w:color w:val="000000"/>
                <w:sz w:val="16"/>
              </w:rPr>
              <w:t>Decrease</w:t>
            </w:r>
          </w:p>
        </w:tc>
        <w:tc>
          <w:tcPr>
            <w:tcW w:w="189" w:type="dxa"/>
          </w:tcPr>
          <w:p w:rsidR="00000000" w:rsidRDefault="00582B24">
            <w:pPr>
              <w:jc w:val="center"/>
              <w:rPr>
                <w:color w:val="000000"/>
                <w:sz w:val="16"/>
              </w:rPr>
            </w:pPr>
          </w:p>
        </w:tc>
        <w:tc>
          <w:tcPr>
            <w:tcW w:w="773" w:type="dxa"/>
            <w:tcBorders>
              <w:bottom w:val="single" w:sz="6" w:space="0" w:color="000000"/>
            </w:tcBorders>
          </w:tcPr>
          <w:p w:rsidR="00000000" w:rsidRDefault="00582B24">
            <w:pPr>
              <w:jc w:val="center"/>
              <w:rPr>
                <w:color w:val="000000"/>
                <w:sz w:val="16"/>
              </w:rPr>
            </w:pPr>
            <w:r>
              <w:rPr>
                <w:color w:val="000000"/>
                <w:sz w:val="16"/>
              </w:rPr>
              <w:t>Change</w:t>
            </w:r>
          </w:p>
        </w:tc>
      </w:tr>
      <w:tr w:rsidR="00582B24" w:rsidTr="00582B24">
        <w:tblPrEx>
          <w:tblCellMar>
            <w:top w:w="0" w:type="dxa"/>
            <w:bottom w:w="0" w:type="dxa"/>
          </w:tblCellMar>
        </w:tblPrEx>
        <w:trPr>
          <w:trHeight w:val="218"/>
          <w:jc w:val="right"/>
        </w:trPr>
        <w:tc>
          <w:tcPr>
            <w:tcW w:w="2395" w:type="dxa"/>
            <w:gridSpan w:val="2"/>
          </w:tcPr>
          <w:p w:rsidR="00000000" w:rsidRDefault="00582B24">
            <w:pPr>
              <w:rPr>
                <w:color w:val="000000"/>
                <w:sz w:val="16"/>
              </w:rPr>
            </w:pPr>
            <w:r>
              <w:rPr>
                <w:color w:val="000000"/>
                <w:sz w:val="16"/>
              </w:rPr>
              <w:t>Motor Vehicle Use Tax</w:t>
            </w:r>
          </w:p>
        </w:tc>
        <w:tc>
          <w:tcPr>
            <w:tcW w:w="173" w:type="dxa"/>
          </w:tcPr>
          <w:p w:rsidR="00000000" w:rsidRDefault="00582B24">
            <w:pPr>
              <w:jc w:val="right"/>
              <w:rPr>
                <w:color w:val="000000"/>
                <w:sz w:val="16"/>
              </w:rPr>
            </w:pPr>
          </w:p>
        </w:tc>
        <w:tc>
          <w:tcPr>
            <w:tcW w:w="835" w:type="dxa"/>
          </w:tcPr>
          <w:p w:rsidR="00000000" w:rsidRDefault="00582B24">
            <w:pPr>
              <w:jc w:val="right"/>
              <w:rPr>
                <w:color w:val="000000"/>
                <w:sz w:val="16"/>
              </w:rPr>
            </w:pPr>
            <w:r>
              <w:rPr>
                <w:color w:val="000000"/>
                <w:sz w:val="16"/>
              </w:rPr>
              <w:t>$       96.1</w:t>
            </w:r>
          </w:p>
        </w:tc>
        <w:tc>
          <w:tcPr>
            <w:tcW w:w="142" w:type="dxa"/>
          </w:tcPr>
          <w:p w:rsidR="00000000" w:rsidRDefault="00582B24">
            <w:pPr>
              <w:jc w:val="right"/>
              <w:rPr>
                <w:color w:val="000000"/>
                <w:sz w:val="16"/>
              </w:rPr>
            </w:pPr>
          </w:p>
        </w:tc>
        <w:tc>
          <w:tcPr>
            <w:tcW w:w="835" w:type="dxa"/>
          </w:tcPr>
          <w:p w:rsidR="00000000" w:rsidRDefault="00582B24">
            <w:pPr>
              <w:jc w:val="right"/>
              <w:rPr>
                <w:color w:val="000000"/>
                <w:sz w:val="16"/>
              </w:rPr>
            </w:pPr>
            <w:r>
              <w:rPr>
                <w:color w:val="000000"/>
                <w:sz w:val="16"/>
              </w:rPr>
              <w:t>$     104.4</w:t>
            </w:r>
          </w:p>
        </w:tc>
        <w:tc>
          <w:tcPr>
            <w:tcW w:w="190" w:type="dxa"/>
          </w:tcPr>
          <w:p w:rsidR="00000000" w:rsidRDefault="00582B24">
            <w:pPr>
              <w:jc w:val="right"/>
              <w:rPr>
                <w:color w:val="000000"/>
                <w:sz w:val="16"/>
              </w:rPr>
            </w:pPr>
          </w:p>
        </w:tc>
        <w:tc>
          <w:tcPr>
            <w:tcW w:w="852" w:type="dxa"/>
          </w:tcPr>
          <w:p w:rsidR="00000000" w:rsidRDefault="00582B24">
            <w:pPr>
              <w:jc w:val="right"/>
              <w:rPr>
                <w:color w:val="000000"/>
                <w:sz w:val="16"/>
              </w:rPr>
            </w:pPr>
            <w:r>
              <w:rPr>
                <w:color w:val="000000"/>
                <w:sz w:val="16"/>
              </w:rPr>
              <w:t>$         8.3</w:t>
            </w:r>
          </w:p>
        </w:tc>
        <w:tc>
          <w:tcPr>
            <w:tcW w:w="189" w:type="dxa"/>
          </w:tcPr>
          <w:p w:rsidR="00000000" w:rsidRDefault="00582B24">
            <w:pPr>
              <w:jc w:val="right"/>
              <w:rPr>
                <w:color w:val="000000"/>
                <w:sz w:val="16"/>
              </w:rPr>
            </w:pPr>
          </w:p>
        </w:tc>
        <w:tc>
          <w:tcPr>
            <w:tcW w:w="773" w:type="dxa"/>
          </w:tcPr>
          <w:p w:rsidR="00000000" w:rsidRDefault="00582B24">
            <w:pPr>
              <w:jc w:val="right"/>
              <w:rPr>
                <w:color w:val="000000"/>
                <w:sz w:val="16"/>
              </w:rPr>
            </w:pPr>
            <w:r>
              <w:rPr>
                <w:color w:val="000000"/>
                <w:sz w:val="16"/>
              </w:rPr>
              <w:t>8.6%</w:t>
            </w:r>
          </w:p>
        </w:tc>
      </w:tr>
      <w:tr w:rsidR="00582B24" w:rsidTr="00582B24">
        <w:tblPrEx>
          <w:tblCellMar>
            <w:top w:w="0" w:type="dxa"/>
            <w:bottom w:w="0" w:type="dxa"/>
          </w:tblCellMar>
        </w:tblPrEx>
        <w:trPr>
          <w:trHeight w:val="218"/>
          <w:jc w:val="right"/>
        </w:trPr>
        <w:tc>
          <w:tcPr>
            <w:tcW w:w="2395" w:type="dxa"/>
            <w:gridSpan w:val="2"/>
          </w:tcPr>
          <w:p w:rsidR="00000000" w:rsidRDefault="00582B24">
            <w:pPr>
              <w:rPr>
                <w:color w:val="000000"/>
                <w:sz w:val="16"/>
              </w:rPr>
            </w:pPr>
            <w:r>
              <w:rPr>
                <w:color w:val="000000"/>
                <w:sz w:val="16"/>
              </w:rPr>
              <w:t>Motor Vehicle Fuel Tax</w:t>
            </w:r>
          </w:p>
        </w:tc>
        <w:tc>
          <w:tcPr>
            <w:tcW w:w="173" w:type="dxa"/>
          </w:tcPr>
          <w:p w:rsidR="00000000" w:rsidRDefault="00582B24">
            <w:pPr>
              <w:jc w:val="right"/>
              <w:rPr>
                <w:color w:val="000000"/>
                <w:sz w:val="16"/>
              </w:rPr>
            </w:pPr>
          </w:p>
        </w:tc>
        <w:tc>
          <w:tcPr>
            <w:tcW w:w="835" w:type="dxa"/>
          </w:tcPr>
          <w:p w:rsidR="00000000" w:rsidRDefault="00582B24">
            <w:pPr>
              <w:jc w:val="right"/>
              <w:rPr>
                <w:color w:val="000000"/>
                <w:sz w:val="16"/>
              </w:rPr>
            </w:pPr>
            <w:r>
              <w:rPr>
                <w:color w:val="000000"/>
                <w:sz w:val="16"/>
              </w:rPr>
              <w:t>257.9</w:t>
            </w:r>
          </w:p>
        </w:tc>
        <w:tc>
          <w:tcPr>
            <w:tcW w:w="142" w:type="dxa"/>
          </w:tcPr>
          <w:p w:rsidR="00000000" w:rsidRDefault="00582B24">
            <w:pPr>
              <w:jc w:val="right"/>
              <w:rPr>
                <w:color w:val="000000"/>
                <w:sz w:val="16"/>
              </w:rPr>
            </w:pPr>
          </w:p>
        </w:tc>
        <w:tc>
          <w:tcPr>
            <w:tcW w:w="835" w:type="dxa"/>
          </w:tcPr>
          <w:p w:rsidR="00000000" w:rsidRDefault="00582B24">
            <w:pPr>
              <w:jc w:val="right"/>
              <w:rPr>
                <w:color w:val="000000"/>
                <w:sz w:val="16"/>
              </w:rPr>
            </w:pPr>
            <w:r>
              <w:rPr>
                <w:color w:val="000000"/>
                <w:sz w:val="16"/>
              </w:rPr>
              <w:t>261.0</w:t>
            </w:r>
          </w:p>
        </w:tc>
        <w:tc>
          <w:tcPr>
            <w:tcW w:w="190" w:type="dxa"/>
          </w:tcPr>
          <w:p w:rsidR="00000000" w:rsidRDefault="00582B24">
            <w:pPr>
              <w:jc w:val="right"/>
              <w:rPr>
                <w:color w:val="000000"/>
                <w:sz w:val="16"/>
              </w:rPr>
            </w:pPr>
          </w:p>
        </w:tc>
        <w:tc>
          <w:tcPr>
            <w:tcW w:w="852" w:type="dxa"/>
          </w:tcPr>
          <w:p w:rsidR="00000000" w:rsidRDefault="00582B24">
            <w:pPr>
              <w:jc w:val="right"/>
              <w:rPr>
                <w:color w:val="000000"/>
                <w:sz w:val="16"/>
              </w:rPr>
            </w:pPr>
            <w:r>
              <w:rPr>
                <w:color w:val="000000"/>
                <w:sz w:val="16"/>
              </w:rPr>
              <w:t>3.1</w:t>
            </w:r>
          </w:p>
        </w:tc>
        <w:tc>
          <w:tcPr>
            <w:tcW w:w="189" w:type="dxa"/>
          </w:tcPr>
          <w:p w:rsidR="00000000" w:rsidRDefault="00582B24">
            <w:pPr>
              <w:jc w:val="right"/>
              <w:rPr>
                <w:color w:val="000000"/>
                <w:sz w:val="16"/>
              </w:rPr>
            </w:pPr>
          </w:p>
        </w:tc>
        <w:tc>
          <w:tcPr>
            <w:tcW w:w="773" w:type="dxa"/>
          </w:tcPr>
          <w:p w:rsidR="00000000" w:rsidRDefault="00582B24">
            <w:pPr>
              <w:jc w:val="right"/>
              <w:rPr>
                <w:color w:val="000000"/>
                <w:sz w:val="16"/>
              </w:rPr>
            </w:pPr>
            <w:r>
              <w:rPr>
                <w:color w:val="000000"/>
                <w:sz w:val="16"/>
              </w:rPr>
              <w:t>1.2%</w:t>
            </w:r>
          </w:p>
        </w:tc>
      </w:tr>
      <w:tr w:rsidR="00582B24" w:rsidTr="00582B24">
        <w:tblPrEx>
          <w:tblCellMar>
            <w:top w:w="0" w:type="dxa"/>
            <w:bottom w:w="0" w:type="dxa"/>
          </w:tblCellMar>
        </w:tblPrEx>
        <w:trPr>
          <w:trHeight w:val="218"/>
          <w:jc w:val="right"/>
        </w:trPr>
        <w:tc>
          <w:tcPr>
            <w:tcW w:w="2395" w:type="dxa"/>
            <w:gridSpan w:val="2"/>
          </w:tcPr>
          <w:p w:rsidR="00000000" w:rsidRDefault="00582B24">
            <w:pPr>
              <w:rPr>
                <w:color w:val="000000"/>
                <w:sz w:val="16"/>
              </w:rPr>
            </w:pPr>
            <w:r>
              <w:rPr>
                <w:color w:val="000000"/>
                <w:sz w:val="16"/>
              </w:rPr>
              <w:t>Registration/Title Fees &amp; Misc.</w:t>
            </w:r>
          </w:p>
        </w:tc>
        <w:tc>
          <w:tcPr>
            <w:tcW w:w="173" w:type="dxa"/>
          </w:tcPr>
          <w:p w:rsidR="00000000" w:rsidRDefault="00582B24">
            <w:pPr>
              <w:jc w:val="right"/>
              <w:rPr>
                <w:color w:val="000000"/>
                <w:sz w:val="16"/>
              </w:rPr>
            </w:pPr>
          </w:p>
        </w:tc>
        <w:tc>
          <w:tcPr>
            <w:tcW w:w="835" w:type="dxa"/>
          </w:tcPr>
          <w:p w:rsidR="00000000" w:rsidRDefault="00582B24">
            <w:pPr>
              <w:jc w:val="right"/>
              <w:rPr>
                <w:color w:val="000000"/>
                <w:sz w:val="16"/>
              </w:rPr>
            </w:pPr>
            <w:r>
              <w:rPr>
                <w:color w:val="000000"/>
                <w:sz w:val="16"/>
              </w:rPr>
              <w:t>171.2</w:t>
            </w:r>
          </w:p>
        </w:tc>
        <w:tc>
          <w:tcPr>
            <w:tcW w:w="142" w:type="dxa"/>
          </w:tcPr>
          <w:p w:rsidR="00000000" w:rsidRDefault="00582B24">
            <w:pPr>
              <w:jc w:val="right"/>
              <w:rPr>
                <w:color w:val="000000"/>
                <w:sz w:val="16"/>
              </w:rPr>
            </w:pPr>
          </w:p>
        </w:tc>
        <w:tc>
          <w:tcPr>
            <w:tcW w:w="835" w:type="dxa"/>
          </w:tcPr>
          <w:p w:rsidR="00000000" w:rsidRDefault="00582B24">
            <w:pPr>
              <w:jc w:val="right"/>
              <w:rPr>
                <w:color w:val="000000"/>
                <w:sz w:val="16"/>
              </w:rPr>
            </w:pPr>
            <w:r>
              <w:rPr>
                <w:color w:val="000000"/>
                <w:sz w:val="16"/>
              </w:rPr>
              <w:t>180.4</w:t>
            </w:r>
          </w:p>
        </w:tc>
        <w:tc>
          <w:tcPr>
            <w:tcW w:w="190" w:type="dxa"/>
          </w:tcPr>
          <w:p w:rsidR="00000000" w:rsidRDefault="00582B24">
            <w:pPr>
              <w:jc w:val="right"/>
              <w:rPr>
                <w:color w:val="000000"/>
                <w:sz w:val="16"/>
              </w:rPr>
            </w:pPr>
          </w:p>
        </w:tc>
        <w:tc>
          <w:tcPr>
            <w:tcW w:w="852" w:type="dxa"/>
          </w:tcPr>
          <w:p w:rsidR="00000000" w:rsidRDefault="00582B24">
            <w:pPr>
              <w:jc w:val="right"/>
              <w:rPr>
                <w:color w:val="000000"/>
                <w:sz w:val="16"/>
              </w:rPr>
            </w:pPr>
            <w:r>
              <w:rPr>
                <w:color w:val="000000"/>
                <w:sz w:val="16"/>
              </w:rPr>
              <w:t>9.2</w:t>
            </w:r>
          </w:p>
        </w:tc>
        <w:tc>
          <w:tcPr>
            <w:tcW w:w="189" w:type="dxa"/>
          </w:tcPr>
          <w:p w:rsidR="00000000" w:rsidRDefault="00582B24">
            <w:pPr>
              <w:jc w:val="right"/>
              <w:rPr>
                <w:color w:val="000000"/>
                <w:sz w:val="16"/>
              </w:rPr>
            </w:pPr>
          </w:p>
        </w:tc>
        <w:tc>
          <w:tcPr>
            <w:tcW w:w="773" w:type="dxa"/>
          </w:tcPr>
          <w:p w:rsidR="00000000" w:rsidRDefault="00582B24">
            <w:pPr>
              <w:jc w:val="right"/>
              <w:rPr>
                <w:color w:val="000000"/>
                <w:sz w:val="16"/>
              </w:rPr>
            </w:pPr>
            <w:r>
              <w:rPr>
                <w:color w:val="000000"/>
                <w:sz w:val="16"/>
              </w:rPr>
              <w:t>5.3%</w:t>
            </w:r>
          </w:p>
        </w:tc>
      </w:tr>
      <w:tr w:rsidR="00582B24" w:rsidTr="00582B24">
        <w:tblPrEx>
          <w:tblCellMar>
            <w:top w:w="0" w:type="dxa"/>
            <w:bottom w:w="0" w:type="dxa"/>
          </w:tblCellMar>
        </w:tblPrEx>
        <w:trPr>
          <w:trHeight w:val="218"/>
          <w:jc w:val="right"/>
        </w:trPr>
        <w:tc>
          <w:tcPr>
            <w:tcW w:w="2395" w:type="dxa"/>
            <w:gridSpan w:val="2"/>
          </w:tcPr>
          <w:p w:rsidR="00000000" w:rsidRDefault="00582B24">
            <w:pPr>
              <w:rPr>
                <w:color w:val="000000"/>
                <w:sz w:val="16"/>
              </w:rPr>
            </w:pPr>
            <w:r>
              <w:rPr>
                <w:color w:val="000000"/>
                <w:sz w:val="16"/>
              </w:rPr>
              <w:t>Underground Tank Fees</w:t>
            </w:r>
          </w:p>
        </w:tc>
        <w:tc>
          <w:tcPr>
            <w:tcW w:w="173" w:type="dxa"/>
          </w:tcPr>
          <w:p w:rsidR="00000000" w:rsidRDefault="00582B24">
            <w:pPr>
              <w:jc w:val="right"/>
              <w:rPr>
                <w:color w:val="000000"/>
                <w:sz w:val="16"/>
              </w:rPr>
            </w:pPr>
          </w:p>
        </w:tc>
        <w:tc>
          <w:tcPr>
            <w:tcW w:w="835" w:type="dxa"/>
          </w:tcPr>
          <w:p w:rsidR="00000000" w:rsidRDefault="00582B24">
            <w:pPr>
              <w:jc w:val="right"/>
              <w:rPr>
                <w:color w:val="000000"/>
                <w:sz w:val="16"/>
              </w:rPr>
            </w:pPr>
            <w:r>
              <w:rPr>
                <w:color w:val="000000"/>
                <w:sz w:val="16"/>
              </w:rPr>
              <w:t>10.2</w:t>
            </w:r>
          </w:p>
        </w:tc>
        <w:tc>
          <w:tcPr>
            <w:tcW w:w="142" w:type="dxa"/>
          </w:tcPr>
          <w:p w:rsidR="00000000" w:rsidRDefault="00582B24">
            <w:pPr>
              <w:jc w:val="right"/>
              <w:rPr>
                <w:color w:val="000000"/>
                <w:sz w:val="16"/>
              </w:rPr>
            </w:pPr>
          </w:p>
        </w:tc>
        <w:tc>
          <w:tcPr>
            <w:tcW w:w="835" w:type="dxa"/>
          </w:tcPr>
          <w:p w:rsidR="00000000" w:rsidRDefault="00582B24">
            <w:pPr>
              <w:jc w:val="right"/>
              <w:rPr>
                <w:color w:val="000000"/>
                <w:sz w:val="16"/>
              </w:rPr>
            </w:pPr>
            <w:r>
              <w:rPr>
                <w:color w:val="000000"/>
                <w:sz w:val="16"/>
              </w:rPr>
              <w:t>10.8</w:t>
            </w:r>
          </w:p>
        </w:tc>
        <w:tc>
          <w:tcPr>
            <w:tcW w:w="190" w:type="dxa"/>
          </w:tcPr>
          <w:p w:rsidR="00000000" w:rsidRDefault="00582B24">
            <w:pPr>
              <w:jc w:val="right"/>
              <w:rPr>
                <w:color w:val="000000"/>
                <w:sz w:val="16"/>
              </w:rPr>
            </w:pPr>
          </w:p>
        </w:tc>
        <w:tc>
          <w:tcPr>
            <w:tcW w:w="852" w:type="dxa"/>
          </w:tcPr>
          <w:p w:rsidR="00000000" w:rsidRDefault="00582B24">
            <w:pPr>
              <w:jc w:val="right"/>
              <w:rPr>
                <w:color w:val="000000"/>
                <w:sz w:val="16"/>
              </w:rPr>
            </w:pPr>
            <w:r>
              <w:rPr>
                <w:color w:val="000000"/>
                <w:sz w:val="16"/>
              </w:rPr>
              <w:t>0.6</w:t>
            </w:r>
          </w:p>
        </w:tc>
        <w:tc>
          <w:tcPr>
            <w:tcW w:w="189" w:type="dxa"/>
          </w:tcPr>
          <w:p w:rsidR="00000000" w:rsidRDefault="00582B24">
            <w:pPr>
              <w:jc w:val="right"/>
              <w:rPr>
                <w:color w:val="000000"/>
                <w:sz w:val="16"/>
              </w:rPr>
            </w:pPr>
          </w:p>
        </w:tc>
        <w:tc>
          <w:tcPr>
            <w:tcW w:w="773" w:type="dxa"/>
          </w:tcPr>
          <w:p w:rsidR="00000000" w:rsidRDefault="00582B24">
            <w:pPr>
              <w:jc w:val="right"/>
              <w:rPr>
                <w:color w:val="000000"/>
                <w:sz w:val="16"/>
              </w:rPr>
            </w:pPr>
            <w:r>
              <w:rPr>
                <w:color w:val="000000"/>
                <w:sz w:val="16"/>
              </w:rPr>
              <w:t>5.5%</w:t>
            </w:r>
          </w:p>
        </w:tc>
      </w:tr>
      <w:tr w:rsidR="00582B24" w:rsidTr="00582B24">
        <w:tblPrEx>
          <w:tblCellMar>
            <w:top w:w="0" w:type="dxa"/>
            <w:bottom w:w="0" w:type="dxa"/>
          </w:tblCellMar>
        </w:tblPrEx>
        <w:trPr>
          <w:trHeight w:val="218"/>
          <w:jc w:val="right"/>
        </w:trPr>
        <w:tc>
          <w:tcPr>
            <w:tcW w:w="2395" w:type="dxa"/>
            <w:gridSpan w:val="2"/>
          </w:tcPr>
          <w:p w:rsidR="00000000" w:rsidRDefault="00582B24">
            <w:pPr>
              <w:rPr>
                <w:color w:val="000000"/>
                <w:sz w:val="16"/>
              </w:rPr>
            </w:pPr>
            <w:r>
              <w:rPr>
                <w:color w:val="000000"/>
                <w:sz w:val="16"/>
              </w:rPr>
              <w:t>Driver License Fees</w:t>
            </w:r>
          </w:p>
        </w:tc>
        <w:tc>
          <w:tcPr>
            <w:tcW w:w="173" w:type="dxa"/>
          </w:tcPr>
          <w:p w:rsidR="00000000" w:rsidRDefault="00582B24">
            <w:pPr>
              <w:jc w:val="right"/>
              <w:rPr>
                <w:color w:val="000000"/>
                <w:sz w:val="16"/>
              </w:rPr>
            </w:pPr>
          </w:p>
        </w:tc>
        <w:tc>
          <w:tcPr>
            <w:tcW w:w="835" w:type="dxa"/>
          </w:tcPr>
          <w:p w:rsidR="00000000" w:rsidRDefault="00582B24">
            <w:pPr>
              <w:jc w:val="right"/>
              <w:rPr>
                <w:color w:val="000000"/>
                <w:sz w:val="16"/>
              </w:rPr>
            </w:pPr>
            <w:r>
              <w:rPr>
                <w:color w:val="000000"/>
                <w:sz w:val="16"/>
              </w:rPr>
              <w:t>8.4</w:t>
            </w:r>
          </w:p>
        </w:tc>
        <w:tc>
          <w:tcPr>
            <w:tcW w:w="142" w:type="dxa"/>
          </w:tcPr>
          <w:p w:rsidR="00000000" w:rsidRDefault="00582B24">
            <w:pPr>
              <w:jc w:val="right"/>
              <w:rPr>
                <w:color w:val="000000"/>
                <w:sz w:val="16"/>
              </w:rPr>
            </w:pPr>
          </w:p>
        </w:tc>
        <w:tc>
          <w:tcPr>
            <w:tcW w:w="835" w:type="dxa"/>
          </w:tcPr>
          <w:p w:rsidR="00000000" w:rsidRDefault="00582B24">
            <w:pPr>
              <w:jc w:val="right"/>
              <w:rPr>
                <w:color w:val="000000"/>
                <w:sz w:val="16"/>
              </w:rPr>
            </w:pPr>
            <w:r>
              <w:rPr>
                <w:color w:val="000000"/>
                <w:sz w:val="16"/>
              </w:rPr>
              <w:t>5.7</w:t>
            </w:r>
          </w:p>
        </w:tc>
        <w:tc>
          <w:tcPr>
            <w:tcW w:w="190" w:type="dxa"/>
          </w:tcPr>
          <w:p w:rsidR="00000000" w:rsidRDefault="00582B24">
            <w:pPr>
              <w:jc w:val="right"/>
              <w:rPr>
                <w:color w:val="000000"/>
                <w:sz w:val="16"/>
              </w:rPr>
            </w:pPr>
          </w:p>
        </w:tc>
        <w:tc>
          <w:tcPr>
            <w:tcW w:w="852" w:type="dxa"/>
          </w:tcPr>
          <w:p w:rsidR="00000000" w:rsidRDefault="00582B24">
            <w:pPr>
              <w:jc w:val="right"/>
              <w:rPr>
                <w:color w:val="000000"/>
                <w:sz w:val="16"/>
              </w:rPr>
            </w:pPr>
            <w:r>
              <w:rPr>
                <w:color w:val="000000"/>
                <w:sz w:val="16"/>
              </w:rPr>
              <w:t>-2.7</w:t>
            </w:r>
          </w:p>
        </w:tc>
        <w:tc>
          <w:tcPr>
            <w:tcW w:w="189" w:type="dxa"/>
          </w:tcPr>
          <w:p w:rsidR="00000000" w:rsidRDefault="00582B24">
            <w:pPr>
              <w:jc w:val="right"/>
              <w:rPr>
                <w:color w:val="000000"/>
                <w:sz w:val="16"/>
              </w:rPr>
            </w:pPr>
          </w:p>
        </w:tc>
        <w:tc>
          <w:tcPr>
            <w:tcW w:w="773" w:type="dxa"/>
          </w:tcPr>
          <w:p w:rsidR="00000000" w:rsidRDefault="00582B24">
            <w:pPr>
              <w:jc w:val="right"/>
              <w:rPr>
                <w:color w:val="000000"/>
                <w:sz w:val="16"/>
              </w:rPr>
            </w:pPr>
            <w:r>
              <w:rPr>
                <w:color w:val="000000"/>
                <w:sz w:val="16"/>
              </w:rPr>
              <w:t>-32.1%</w:t>
            </w:r>
          </w:p>
        </w:tc>
      </w:tr>
      <w:tr w:rsidR="00582B24" w:rsidTr="00582B24">
        <w:tblPrEx>
          <w:tblCellMar>
            <w:top w:w="0" w:type="dxa"/>
            <w:bottom w:w="0" w:type="dxa"/>
          </w:tblCellMar>
        </w:tblPrEx>
        <w:trPr>
          <w:trHeight w:val="218"/>
          <w:jc w:val="right"/>
        </w:trPr>
        <w:tc>
          <w:tcPr>
            <w:tcW w:w="2395" w:type="dxa"/>
            <w:gridSpan w:val="2"/>
          </w:tcPr>
          <w:p w:rsidR="00000000" w:rsidRDefault="00582B24">
            <w:pPr>
              <w:rPr>
                <w:color w:val="000000"/>
                <w:sz w:val="16"/>
              </w:rPr>
            </w:pPr>
            <w:r>
              <w:rPr>
                <w:color w:val="000000"/>
                <w:sz w:val="16"/>
              </w:rPr>
              <w:t>Interest</w:t>
            </w:r>
          </w:p>
        </w:tc>
        <w:tc>
          <w:tcPr>
            <w:tcW w:w="173" w:type="dxa"/>
          </w:tcPr>
          <w:p w:rsidR="00000000" w:rsidRDefault="00582B24">
            <w:pPr>
              <w:jc w:val="right"/>
              <w:rPr>
                <w:color w:val="000000"/>
                <w:sz w:val="16"/>
              </w:rPr>
            </w:pPr>
          </w:p>
        </w:tc>
        <w:tc>
          <w:tcPr>
            <w:tcW w:w="835" w:type="dxa"/>
          </w:tcPr>
          <w:p w:rsidR="00000000" w:rsidRDefault="00582B24">
            <w:pPr>
              <w:jc w:val="right"/>
              <w:rPr>
                <w:color w:val="000000"/>
                <w:sz w:val="16"/>
              </w:rPr>
            </w:pPr>
            <w:r>
              <w:rPr>
                <w:color w:val="000000"/>
                <w:sz w:val="16"/>
              </w:rPr>
              <w:t>8.3</w:t>
            </w:r>
          </w:p>
        </w:tc>
        <w:tc>
          <w:tcPr>
            <w:tcW w:w="142" w:type="dxa"/>
          </w:tcPr>
          <w:p w:rsidR="00000000" w:rsidRDefault="00582B24">
            <w:pPr>
              <w:jc w:val="right"/>
              <w:rPr>
                <w:color w:val="000000"/>
                <w:sz w:val="16"/>
              </w:rPr>
            </w:pPr>
          </w:p>
        </w:tc>
        <w:tc>
          <w:tcPr>
            <w:tcW w:w="835" w:type="dxa"/>
          </w:tcPr>
          <w:p w:rsidR="00000000" w:rsidRDefault="00582B24">
            <w:pPr>
              <w:jc w:val="right"/>
              <w:rPr>
                <w:color w:val="000000"/>
                <w:sz w:val="16"/>
              </w:rPr>
            </w:pPr>
            <w:r>
              <w:rPr>
                <w:color w:val="000000"/>
                <w:sz w:val="16"/>
              </w:rPr>
              <w:t>9.2</w:t>
            </w:r>
          </w:p>
        </w:tc>
        <w:tc>
          <w:tcPr>
            <w:tcW w:w="190" w:type="dxa"/>
          </w:tcPr>
          <w:p w:rsidR="00000000" w:rsidRDefault="00582B24">
            <w:pPr>
              <w:jc w:val="right"/>
              <w:rPr>
                <w:color w:val="000000"/>
                <w:sz w:val="16"/>
              </w:rPr>
            </w:pPr>
          </w:p>
        </w:tc>
        <w:tc>
          <w:tcPr>
            <w:tcW w:w="852" w:type="dxa"/>
          </w:tcPr>
          <w:p w:rsidR="00000000" w:rsidRDefault="00582B24">
            <w:pPr>
              <w:jc w:val="right"/>
              <w:rPr>
                <w:color w:val="000000"/>
                <w:sz w:val="16"/>
              </w:rPr>
            </w:pPr>
            <w:r>
              <w:rPr>
                <w:color w:val="000000"/>
                <w:sz w:val="16"/>
              </w:rPr>
              <w:t>0.8</w:t>
            </w:r>
          </w:p>
        </w:tc>
        <w:tc>
          <w:tcPr>
            <w:tcW w:w="189" w:type="dxa"/>
          </w:tcPr>
          <w:p w:rsidR="00000000" w:rsidRDefault="00582B24">
            <w:pPr>
              <w:jc w:val="right"/>
              <w:rPr>
                <w:color w:val="000000"/>
                <w:sz w:val="16"/>
              </w:rPr>
            </w:pPr>
          </w:p>
        </w:tc>
        <w:tc>
          <w:tcPr>
            <w:tcW w:w="773" w:type="dxa"/>
          </w:tcPr>
          <w:p w:rsidR="00000000" w:rsidRDefault="00582B24">
            <w:pPr>
              <w:jc w:val="right"/>
              <w:rPr>
                <w:color w:val="000000"/>
                <w:sz w:val="16"/>
              </w:rPr>
            </w:pPr>
            <w:r>
              <w:rPr>
                <w:color w:val="000000"/>
                <w:sz w:val="16"/>
              </w:rPr>
              <w:t>9.9%</w:t>
            </w:r>
          </w:p>
        </w:tc>
      </w:tr>
      <w:tr w:rsidR="00582B24" w:rsidTr="00582B24">
        <w:tblPrEx>
          <w:tblCellMar>
            <w:top w:w="0" w:type="dxa"/>
            <w:bottom w:w="0" w:type="dxa"/>
          </w:tblCellMar>
        </w:tblPrEx>
        <w:trPr>
          <w:trHeight w:val="218"/>
          <w:jc w:val="right"/>
        </w:trPr>
        <w:tc>
          <w:tcPr>
            <w:tcW w:w="2395" w:type="dxa"/>
            <w:gridSpan w:val="2"/>
          </w:tcPr>
          <w:p w:rsidR="00000000" w:rsidRDefault="00582B24">
            <w:pPr>
              <w:rPr>
                <w:color w:val="000000"/>
                <w:sz w:val="16"/>
              </w:rPr>
            </w:pPr>
            <w:r>
              <w:rPr>
                <w:color w:val="000000"/>
                <w:sz w:val="16"/>
              </w:rPr>
              <w:t>Other Fees</w:t>
            </w:r>
          </w:p>
        </w:tc>
        <w:tc>
          <w:tcPr>
            <w:tcW w:w="173" w:type="dxa"/>
          </w:tcPr>
          <w:p w:rsidR="00000000" w:rsidRDefault="00582B24">
            <w:pPr>
              <w:jc w:val="right"/>
              <w:rPr>
                <w:color w:val="000000"/>
                <w:sz w:val="16"/>
              </w:rPr>
            </w:pPr>
          </w:p>
        </w:tc>
        <w:tc>
          <w:tcPr>
            <w:tcW w:w="835" w:type="dxa"/>
          </w:tcPr>
          <w:p w:rsidR="00000000" w:rsidRDefault="00582B24">
            <w:pPr>
              <w:jc w:val="right"/>
              <w:rPr>
                <w:color w:val="000000"/>
                <w:sz w:val="16"/>
              </w:rPr>
            </w:pPr>
            <w:r>
              <w:rPr>
                <w:color w:val="000000"/>
                <w:sz w:val="16"/>
              </w:rPr>
              <w:t>4.5</w:t>
            </w:r>
          </w:p>
        </w:tc>
        <w:tc>
          <w:tcPr>
            <w:tcW w:w="142" w:type="dxa"/>
          </w:tcPr>
          <w:p w:rsidR="00000000" w:rsidRDefault="00582B24">
            <w:pPr>
              <w:jc w:val="right"/>
              <w:rPr>
                <w:color w:val="000000"/>
                <w:sz w:val="16"/>
              </w:rPr>
            </w:pPr>
          </w:p>
        </w:tc>
        <w:tc>
          <w:tcPr>
            <w:tcW w:w="835" w:type="dxa"/>
          </w:tcPr>
          <w:p w:rsidR="00000000" w:rsidRDefault="00582B24">
            <w:pPr>
              <w:jc w:val="right"/>
              <w:rPr>
                <w:color w:val="000000"/>
                <w:sz w:val="16"/>
              </w:rPr>
            </w:pPr>
            <w:r>
              <w:rPr>
                <w:color w:val="000000"/>
                <w:sz w:val="16"/>
              </w:rPr>
              <w:t>3.8</w:t>
            </w:r>
          </w:p>
        </w:tc>
        <w:tc>
          <w:tcPr>
            <w:tcW w:w="190" w:type="dxa"/>
          </w:tcPr>
          <w:p w:rsidR="00000000" w:rsidRDefault="00582B24">
            <w:pPr>
              <w:jc w:val="right"/>
              <w:rPr>
                <w:color w:val="000000"/>
                <w:sz w:val="16"/>
              </w:rPr>
            </w:pPr>
          </w:p>
        </w:tc>
        <w:tc>
          <w:tcPr>
            <w:tcW w:w="852" w:type="dxa"/>
          </w:tcPr>
          <w:p w:rsidR="00000000" w:rsidRDefault="00582B24">
            <w:pPr>
              <w:jc w:val="right"/>
              <w:rPr>
                <w:color w:val="000000"/>
                <w:sz w:val="16"/>
              </w:rPr>
            </w:pPr>
            <w:r>
              <w:rPr>
                <w:color w:val="000000"/>
                <w:sz w:val="16"/>
              </w:rPr>
              <w:t>-0.7</w:t>
            </w:r>
          </w:p>
        </w:tc>
        <w:tc>
          <w:tcPr>
            <w:tcW w:w="189" w:type="dxa"/>
          </w:tcPr>
          <w:p w:rsidR="00000000" w:rsidRDefault="00582B24">
            <w:pPr>
              <w:jc w:val="right"/>
              <w:rPr>
                <w:color w:val="000000"/>
                <w:sz w:val="16"/>
              </w:rPr>
            </w:pPr>
          </w:p>
        </w:tc>
        <w:tc>
          <w:tcPr>
            <w:tcW w:w="773" w:type="dxa"/>
          </w:tcPr>
          <w:p w:rsidR="00000000" w:rsidRDefault="00582B24">
            <w:pPr>
              <w:jc w:val="right"/>
              <w:rPr>
                <w:color w:val="000000"/>
                <w:sz w:val="16"/>
              </w:rPr>
            </w:pPr>
            <w:r>
              <w:rPr>
                <w:color w:val="000000"/>
                <w:sz w:val="16"/>
              </w:rPr>
              <w:t>-16.2%</w:t>
            </w:r>
          </w:p>
        </w:tc>
      </w:tr>
      <w:tr w:rsidR="00582B24" w:rsidTr="00582B24">
        <w:tblPrEx>
          <w:tblCellMar>
            <w:top w:w="0" w:type="dxa"/>
            <w:bottom w:w="0" w:type="dxa"/>
          </w:tblCellMar>
        </w:tblPrEx>
        <w:trPr>
          <w:trHeight w:val="233"/>
          <w:jc w:val="right"/>
        </w:trPr>
        <w:tc>
          <w:tcPr>
            <w:tcW w:w="2395" w:type="dxa"/>
            <w:gridSpan w:val="2"/>
          </w:tcPr>
          <w:p w:rsidR="00000000" w:rsidRDefault="00582B24">
            <w:pPr>
              <w:rPr>
                <w:color w:val="000000"/>
                <w:sz w:val="16"/>
              </w:rPr>
            </w:pPr>
            <w:r>
              <w:rPr>
                <w:color w:val="000000"/>
                <w:sz w:val="16"/>
              </w:rPr>
              <w:t>Motor Carrier Fines</w:t>
            </w:r>
          </w:p>
        </w:tc>
        <w:tc>
          <w:tcPr>
            <w:tcW w:w="173" w:type="dxa"/>
          </w:tcPr>
          <w:p w:rsidR="00000000" w:rsidRDefault="00582B24">
            <w:pPr>
              <w:jc w:val="right"/>
              <w:rPr>
                <w:color w:val="000000"/>
                <w:sz w:val="16"/>
              </w:rPr>
            </w:pPr>
          </w:p>
        </w:tc>
        <w:tc>
          <w:tcPr>
            <w:tcW w:w="835" w:type="dxa"/>
          </w:tcPr>
          <w:p w:rsidR="00000000" w:rsidRDefault="00582B24">
            <w:pPr>
              <w:jc w:val="right"/>
              <w:rPr>
                <w:color w:val="000000"/>
                <w:sz w:val="16"/>
              </w:rPr>
            </w:pPr>
            <w:r>
              <w:rPr>
                <w:color w:val="000000"/>
                <w:sz w:val="16"/>
              </w:rPr>
              <w:t>0.0</w:t>
            </w:r>
          </w:p>
        </w:tc>
        <w:tc>
          <w:tcPr>
            <w:tcW w:w="142" w:type="dxa"/>
          </w:tcPr>
          <w:p w:rsidR="00000000" w:rsidRDefault="00582B24">
            <w:pPr>
              <w:jc w:val="right"/>
              <w:rPr>
                <w:color w:val="000000"/>
                <w:sz w:val="16"/>
              </w:rPr>
            </w:pPr>
          </w:p>
        </w:tc>
        <w:tc>
          <w:tcPr>
            <w:tcW w:w="835" w:type="dxa"/>
          </w:tcPr>
          <w:p w:rsidR="00000000" w:rsidRDefault="00582B24">
            <w:pPr>
              <w:jc w:val="right"/>
              <w:rPr>
                <w:color w:val="000000"/>
                <w:sz w:val="16"/>
              </w:rPr>
            </w:pPr>
            <w:r>
              <w:rPr>
                <w:color w:val="000000"/>
                <w:sz w:val="16"/>
              </w:rPr>
              <w:t>0.7</w:t>
            </w:r>
          </w:p>
        </w:tc>
        <w:tc>
          <w:tcPr>
            <w:tcW w:w="190" w:type="dxa"/>
          </w:tcPr>
          <w:p w:rsidR="00000000" w:rsidRDefault="00582B24">
            <w:pPr>
              <w:jc w:val="right"/>
              <w:rPr>
                <w:color w:val="000000"/>
                <w:sz w:val="16"/>
              </w:rPr>
            </w:pPr>
          </w:p>
        </w:tc>
        <w:tc>
          <w:tcPr>
            <w:tcW w:w="852" w:type="dxa"/>
          </w:tcPr>
          <w:p w:rsidR="00000000" w:rsidRDefault="00582B24">
            <w:pPr>
              <w:jc w:val="right"/>
              <w:rPr>
                <w:color w:val="000000"/>
                <w:sz w:val="16"/>
              </w:rPr>
            </w:pPr>
            <w:r>
              <w:rPr>
                <w:color w:val="000000"/>
                <w:sz w:val="16"/>
              </w:rPr>
              <w:t>0.7</w:t>
            </w:r>
          </w:p>
        </w:tc>
        <w:tc>
          <w:tcPr>
            <w:tcW w:w="189" w:type="dxa"/>
          </w:tcPr>
          <w:p w:rsidR="00000000" w:rsidRDefault="00582B24">
            <w:pPr>
              <w:jc w:val="right"/>
              <w:rPr>
                <w:color w:val="000000"/>
                <w:sz w:val="16"/>
              </w:rPr>
            </w:pPr>
          </w:p>
        </w:tc>
        <w:tc>
          <w:tcPr>
            <w:tcW w:w="773" w:type="dxa"/>
          </w:tcPr>
          <w:p w:rsidR="00000000" w:rsidRDefault="00582B24">
            <w:pPr>
              <w:jc w:val="right"/>
              <w:rPr>
                <w:color w:val="000000"/>
                <w:sz w:val="16"/>
              </w:rPr>
            </w:pPr>
          </w:p>
        </w:tc>
      </w:tr>
      <w:tr w:rsidR="00000000">
        <w:tblPrEx>
          <w:tblCellMar>
            <w:top w:w="0" w:type="dxa"/>
            <w:bottom w:w="0" w:type="dxa"/>
          </w:tblCellMar>
        </w:tblPrEx>
        <w:trPr>
          <w:trHeight w:val="101"/>
          <w:jc w:val="right"/>
        </w:trPr>
        <w:tc>
          <w:tcPr>
            <w:tcW w:w="425" w:type="dxa"/>
          </w:tcPr>
          <w:p w:rsidR="00000000" w:rsidRDefault="00582B24">
            <w:pPr>
              <w:jc w:val="right"/>
              <w:rPr>
                <w:color w:val="000000"/>
                <w:sz w:val="16"/>
              </w:rPr>
            </w:pPr>
          </w:p>
        </w:tc>
        <w:tc>
          <w:tcPr>
            <w:tcW w:w="1970" w:type="dxa"/>
          </w:tcPr>
          <w:p w:rsidR="00000000" w:rsidRDefault="00582B24">
            <w:pPr>
              <w:jc w:val="right"/>
              <w:rPr>
                <w:color w:val="000000"/>
                <w:sz w:val="16"/>
              </w:rPr>
            </w:pPr>
          </w:p>
        </w:tc>
        <w:tc>
          <w:tcPr>
            <w:tcW w:w="173" w:type="dxa"/>
          </w:tcPr>
          <w:p w:rsidR="00000000" w:rsidRDefault="00582B24">
            <w:pPr>
              <w:jc w:val="right"/>
              <w:rPr>
                <w:color w:val="000000"/>
                <w:sz w:val="16"/>
              </w:rPr>
            </w:pPr>
          </w:p>
        </w:tc>
        <w:tc>
          <w:tcPr>
            <w:tcW w:w="835" w:type="dxa"/>
          </w:tcPr>
          <w:p w:rsidR="00000000" w:rsidRDefault="00582B24">
            <w:pPr>
              <w:jc w:val="right"/>
              <w:rPr>
                <w:color w:val="000000"/>
                <w:sz w:val="16"/>
              </w:rPr>
            </w:pPr>
          </w:p>
        </w:tc>
        <w:tc>
          <w:tcPr>
            <w:tcW w:w="142" w:type="dxa"/>
          </w:tcPr>
          <w:p w:rsidR="00000000" w:rsidRDefault="00582B24">
            <w:pPr>
              <w:jc w:val="right"/>
              <w:rPr>
                <w:color w:val="000000"/>
                <w:sz w:val="16"/>
              </w:rPr>
            </w:pPr>
          </w:p>
        </w:tc>
        <w:tc>
          <w:tcPr>
            <w:tcW w:w="835" w:type="dxa"/>
          </w:tcPr>
          <w:p w:rsidR="00000000" w:rsidRDefault="00582B24">
            <w:pPr>
              <w:jc w:val="right"/>
              <w:rPr>
                <w:color w:val="000000"/>
                <w:sz w:val="16"/>
              </w:rPr>
            </w:pPr>
          </w:p>
        </w:tc>
        <w:tc>
          <w:tcPr>
            <w:tcW w:w="190" w:type="dxa"/>
          </w:tcPr>
          <w:p w:rsidR="00000000" w:rsidRDefault="00582B24">
            <w:pPr>
              <w:jc w:val="right"/>
              <w:rPr>
                <w:color w:val="000000"/>
                <w:sz w:val="16"/>
              </w:rPr>
            </w:pPr>
          </w:p>
        </w:tc>
        <w:tc>
          <w:tcPr>
            <w:tcW w:w="852" w:type="dxa"/>
          </w:tcPr>
          <w:p w:rsidR="00000000" w:rsidRDefault="00582B24">
            <w:pPr>
              <w:jc w:val="right"/>
              <w:rPr>
                <w:color w:val="000000"/>
                <w:sz w:val="16"/>
              </w:rPr>
            </w:pPr>
          </w:p>
        </w:tc>
        <w:tc>
          <w:tcPr>
            <w:tcW w:w="189" w:type="dxa"/>
          </w:tcPr>
          <w:p w:rsidR="00000000" w:rsidRDefault="00582B24">
            <w:pPr>
              <w:jc w:val="right"/>
              <w:rPr>
                <w:color w:val="000000"/>
                <w:sz w:val="16"/>
              </w:rPr>
            </w:pPr>
          </w:p>
        </w:tc>
        <w:tc>
          <w:tcPr>
            <w:tcW w:w="773" w:type="dxa"/>
          </w:tcPr>
          <w:p w:rsidR="00000000" w:rsidRDefault="00582B24">
            <w:pPr>
              <w:jc w:val="right"/>
              <w:rPr>
                <w:color w:val="000000"/>
                <w:sz w:val="16"/>
              </w:rPr>
            </w:pPr>
          </w:p>
        </w:tc>
      </w:tr>
      <w:tr w:rsidR="00582B24" w:rsidTr="00582B24">
        <w:tblPrEx>
          <w:tblCellMar>
            <w:top w:w="0" w:type="dxa"/>
            <w:bottom w:w="0" w:type="dxa"/>
          </w:tblCellMar>
        </w:tblPrEx>
        <w:trPr>
          <w:trHeight w:val="233"/>
          <w:jc w:val="right"/>
        </w:trPr>
        <w:tc>
          <w:tcPr>
            <w:tcW w:w="2395" w:type="dxa"/>
            <w:gridSpan w:val="2"/>
          </w:tcPr>
          <w:p w:rsidR="00000000" w:rsidRDefault="00582B24">
            <w:pPr>
              <w:rPr>
                <w:color w:val="000000"/>
                <w:sz w:val="16"/>
              </w:rPr>
            </w:pPr>
            <w:r>
              <w:rPr>
                <w:color w:val="000000"/>
                <w:sz w:val="16"/>
              </w:rPr>
              <w:t>TOTAL RECEIPTS</w:t>
            </w:r>
          </w:p>
        </w:tc>
        <w:tc>
          <w:tcPr>
            <w:tcW w:w="173" w:type="dxa"/>
          </w:tcPr>
          <w:p w:rsidR="00000000" w:rsidRDefault="00582B24">
            <w:pPr>
              <w:jc w:val="right"/>
              <w:rPr>
                <w:color w:val="000000"/>
                <w:sz w:val="16"/>
              </w:rPr>
            </w:pPr>
          </w:p>
        </w:tc>
        <w:tc>
          <w:tcPr>
            <w:tcW w:w="835" w:type="dxa"/>
            <w:tcBorders>
              <w:top w:val="single" w:sz="6" w:space="0" w:color="000000"/>
              <w:bottom w:val="double" w:sz="6" w:space="0" w:color="000000"/>
            </w:tcBorders>
          </w:tcPr>
          <w:p w:rsidR="00000000" w:rsidRDefault="00582B24">
            <w:pPr>
              <w:jc w:val="right"/>
              <w:rPr>
                <w:color w:val="000000"/>
                <w:sz w:val="16"/>
              </w:rPr>
            </w:pPr>
            <w:r>
              <w:rPr>
                <w:color w:val="000000"/>
                <w:sz w:val="16"/>
              </w:rPr>
              <w:t>$     556.7</w:t>
            </w:r>
          </w:p>
        </w:tc>
        <w:tc>
          <w:tcPr>
            <w:tcW w:w="142" w:type="dxa"/>
          </w:tcPr>
          <w:p w:rsidR="00000000" w:rsidRDefault="00582B24">
            <w:pPr>
              <w:jc w:val="right"/>
              <w:rPr>
                <w:color w:val="000000"/>
                <w:sz w:val="16"/>
              </w:rPr>
            </w:pPr>
          </w:p>
        </w:tc>
        <w:tc>
          <w:tcPr>
            <w:tcW w:w="835" w:type="dxa"/>
            <w:tcBorders>
              <w:top w:val="single" w:sz="6" w:space="0" w:color="000000"/>
              <w:bottom w:val="double" w:sz="6" w:space="0" w:color="000000"/>
            </w:tcBorders>
          </w:tcPr>
          <w:p w:rsidR="00000000" w:rsidRDefault="00582B24">
            <w:pPr>
              <w:jc w:val="right"/>
              <w:rPr>
                <w:color w:val="000000"/>
                <w:sz w:val="16"/>
              </w:rPr>
            </w:pPr>
            <w:r>
              <w:rPr>
                <w:color w:val="000000"/>
                <w:sz w:val="16"/>
              </w:rPr>
              <w:t>$     575.8</w:t>
            </w:r>
          </w:p>
        </w:tc>
        <w:tc>
          <w:tcPr>
            <w:tcW w:w="190" w:type="dxa"/>
          </w:tcPr>
          <w:p w:rsidR="00000000" w:rsidRDefault="00582B24">
            <w:pPr>
              <w:jc w:val="right"/>
              <w:rPr>
                <w:color w:val="000000"/>
                <w:sz w:val="16"/>
              </w:rPr>
            </w:pPr>
          </w:p>
        </w:tc>
        <w:tc>
          <w:tcPr>
            <w:tcW w:w="852" w:type="dxa"/>
            <w:tcBorders>
              <w:top w:val="single" w:sz="6" w:space="0" w:color="000000"/>
              <w:bottom w:val="double" w:sz="6" w:space="0" w:color="000000"/>
            </w:tcBorders>
          </w:tcPr>
          <w:p w:rsidR="00000000" w:rsidRDefault="00582B24">
            <w:pPr>
              <w:jc w:val="right"/>
              <w:rPr>
                <w:color w:val="000000"/>
                <w:sz w:val="16"/>
              </w:rPr>
            </w:pPr>
            <w:r>
              <w:rPr>
                <w:color w:val="000000"/>
                <w:sz w:val="16"/>
              </w:rPr>
              <w:t>$       19.2</w:t>
            </w:r>
          </w:p>
        </w:tc>
        <w:tc>
          <w:tcPr>
            <w:tcW w:w="189" w:type="dxa"/>
          </w:tcPr>
          <w:p w:rsidR="00000000" w:rsidRDefault="00582B24">
            <w:pPr>
              <w:jc w:val="right"/>
              <w:rPr>
                <w:color w:val="000000"/>
                <w:sz w:val="16"/>
              </w:rPr>
            </w:pPr>
          </w:p>
        </w:tc>
        <w:tc>
          <w:tcPr>
            <w:tcW w:w="773" w:type="dxa"/>
            <w:tcBorders>
              <w:top w:val="single" w:sz="6" w:space="0" w:color="000000"/>
            </w:tcBorders>
          </w:tcPr>
          <w:p w:rsidR="00000000" w:rsidRDefault="00582B24">
            <w:pPr>
              <w:jc w:val="right"/>
              <w:rPr>
                <w:color w:val="000000"/>
                <w:sz w:val="16"/>
              </w:rPr>
            </w:pPr>
            <w:r>
              <w:rPr>
                <w:color w:val="000000"/>
                <w:sz w:val="16"/>
              </w:rPr>
              <w:t>3.4%</w:t>
            </w:r>
          </w:p>
        </w:tc>
      </w:tr>
    </w:tbl>
    <w:p w:rsidR="00000000" w:rsidRDefault="00582B24">
      <w:pPr>
        <w:pStyle w:val="textup"/>
        <w:rPr>
          <w:i/>
          <w:sz w:val="16"/>
        </w:rPr>
      </w:pPr>
      <w:r>
        <w:rPr>
          <w:i/>
          <w:sz w:val="16"/>
        </w:rPr>
        <w:tab/>
        <w:t>Note: For Road Use Tax Fund reporting, receipts are considered in the month for which they are distributed by formula rather than the month in which they are collected.  F</w:t>
      </w:r>
      <w:r>
        <w:rPr>
          <w:i/>
          <w:sz w:val="16"/>
        </w:rPr>
        <w:t>or example, September revenues were collected in August but distributed to the various State and local road funds in September.</w:t>
      </w:r>
    </w:p>
    <w:p w:rsidR="00000000" w:rsidRDefault="00582B24">
      <w:pPr>
        <w:pStyle w:val="Contactup"/>
      </w:pPr>
      <w:r>
        <w:t>STAFF CONTACT:  David Reynolds (Ext. 16934)</w:t>
      </w:r>
    </w:p>
    <w:p w:rsidR="00000000" w:rsidRDefault="00582B24">
      <w:pPr>
        <w:pStyle w:val="Blurbtitle"/>
      </w:pPr>
      <w:bookmarkStart w:id="13" w:name="FU3DPWA"/>
      <w:r>
        <w:t>Iowa Communications Network (ICN) Video Classrooms</w:t>
      </w:r>
      <w:bookmarkEnd w:id="13"/>
    </w:p>
    <w:p w:rsidR="00000000" w:rsidRDefault="00582B24">
      <w:pPr>
        <w:framePr w:w="1137" w:h="1117" w:hSpace="180" w:wrap="around" w:vAnchor="text" w:hAnchor="page" w:x="1377" w:y="1108"/>
        <w:pBdr>
          <w:top w:val="single" w:sz="6" w:space="1" w:color="auto" w:shadow="1"/>
          <w:left w:val="single" w:sz="6" w:space="1" w:color="auto" w:shadow="1"/>
          <w:bottom w:val="single" w:sz="6" w:space="1" w:color="auto" w:shadow="1"/>
          <w:right w:val="single" w:sz="6" w:space="1" w:color="auto" w:shadow="1"/>
        </w:pBdr>
      </w:pPr>
      <w:r>
        <w:rPr>
          <w:noProof/>
        </w:rPr>
        <w:drawing>
          <wp:inline distT="0" distB="0" distL="0" distR="0">
            <wp:extent cx="714375" cy="53340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714375" cy="533400"/>
                    </a:xfrm>
                    <a:prstGeom prst="rect">
                      <a:avLst/>
                    </a:prstGeom>
                    <a:noFill/>
                    <a:ln w="9525">
                      <a:noFill/>
                      <a:miter lim="800000"/>
                      <a:headEnd/>
                      <a:tailEnd/>
                    </a:ln>
                  </pic:spPr>
                </pic:pic>
              </a:graphicData>
            </a:graphic>
          </wp:inline>
        </w:drawing>
      </w:r>
    </w:p>
    <w:p w:rsidR="00000000" w:rsidRDefault="00582B24">
      <w:pPr>
        <w:pStyle w:val="textup"/>
      </w:pPr>
      <w:r>
        <w:rPr>
          <w:b/>
        </w:rPr>
        <w:t>Three Classrooms Added</w:t>
      </w:r>
      <w:r>
        <w:tab/>
        <w:t>The ICN added three additional interactive video classrooms during the last half of February.  Two of the classrooms were at Indian Hills Community College in Bloomfield and one at Newman Catholic High School in Mason City.  The table below presents the current di</w:t>
      </w:r>
      <w:r>
        <w:t>stribution of sites by type of authorized user.</w:t>
      </w:r>
    </w:p>
    <w:p w:rsidR="00000000" w:rsidRDefault="00582B24">
      <w:pPr>
        <w:jc w:val="center"/>
        <w:rPr>
          <w:sz w:val="18"/>
        </w:rPr>
      </w:pPr>
      <w:r>
        <w:rPr>
          <w:rFonts w:ascii="Univers" w:hAnsi="Univers"/>
          <w:b/>
          <w:sz w:val="18"/>
        </w:rPr>
        <w:t>IOWA COMMUNICATIONS NETWORK</w:t>
      </w:r>
    </w:p>
    <w:p w:rsidR="00000000" w:rsidRDefault="00582B24">
      <w:pPr>
        <w:pStyle w:val="Heading1"/>
        <w:jc w:val="center"/>
        <w:rPr>
          <w:sz w:val="32"/>
        </w:rPr>
      </w:pPr>
      <w:r>
        <w:rPr>
          <w:sz w:val="18"/>
        </w:rPr>
        <w:t>Full-Motion Interactive Video Classrooms</w:t>
      </w:r>
    </w:p>
    <w:tbl>
      <w:tblPr>
        <w:tblW w:w="0" w:type="auto"/>
        <w:jc w:val="center"/>
        <w:tblLayout w:type="fixed"/>
        <w:tblLook w:val="0000"/>
      </w:tblPr>
      <w:tblGrid>
        <w:gridCol w:w="2119"/>
        <w:gridCol w:w="810"/>
      </w:tblGrid>
      <w:tr w:rsidR="00000000">
        <w:tblPrEx>
          <w:tblCellMar>
            <w:top w:w="0" w:type="dxa"/>
            <w:bottom w:w="0" w:type="dxa"/>
          </w:tblCellMar>
        </w:tblPrEx>
        <w:trPr>
          <w:jc w:val="center"/>
        </w:trPr>
        <w:tc>
          <w:tcPr>
            <w:tcW w:w="2119" w:type="dxa"/>
          </w:tcPr>
          <w:p w:rsidR="00000000" w:rsidRDefault="00582B24">
            <w:pPr>
              <w:rPr>
                <w:rFonts w:ascii="Univers" w:hAnsi="Univers"/>
                <w:sz w:val="16"/>
              </w:rPr>
            </w:pPr>
            <w:r>
              <w:rPr>
                <w:rFonts w:ascii="Univers" w:hAnsi="Univers"/>
                <w:sz w:val="16"/>
              </w:rPr>
              <w:t>Area Education Agencies</w:t>
            </w:r>
          </w:p>
        </w:tc>
        <w:tc>
          <w:tcPr>
            <w:tcW w:w="810" w:type="dxa"/>
          </w:tcPr>
          <w:p w:rsidR="00000000" w:rsidRDefault="00582B24">
            <w:pPr>
              <w:jc w:val="right"/>
              <w:rPr>
                <w:rFonts w:ascii="Univers" w:hAnsi="Univers"/>
                <w:sz w:val="16"/>
              </w:rPr>
            </w:pPr>
            <w:r>
              <w:rPr>
                <w:rFonts w:ascii="Univers" w:hAnsi="Univers"/>
                <w:sz w:val="16"/>
              </w:rPr>
              <w:t>16</w:t>
            </w:r>
          </w:p>
        </w:tc>
      </w:tr>
      <w:tr w:rsidR="00000000">
        <w:tblPrEx>
          <w:tblCellMar>
            <w:top w:w="0" w:type="dxa"/>
            <w:bottom w:w="0" w:type="dxa"/>
          </w:tblCellMar>
        </w:tblPrEx>
        <w:trPr>
          <w:jc w:val="center"/>
        </w:trPr>
        <w:tc>
          <w:tcPr>
            <w:tcW w:w="2119" w:type="dxa"/>
          </w:tcPr>
          <w:p w:rsidR="00000000" w:rsidRDefault="00582B24">
            <w:pPr>
              <w:rPr>
                <w:rFonts w:ascii="Univers" w:hAnsi="Univers"/>
                <w:sz w:val="16"/>
              </w:rPr>
            </w:pPr>
            <w:r>
              <w:rPr>
                <w:rFonts w:ascii="Univers" w:hAnsi="Univers"/>
                <w:sz w:val="16"/>
              </w:rPr>
              <w:t>Community Colleges</w:t>
            </w:r>
          </w:p>
        </w:tc>
        <w:tc>
          <w:tcPr>
            <w:tcW w:w="810" w:type="dxa"/>
          </w:tcPr>
          <w:p w:rsidR="00000000" w:rsidRDefault="00582B24">
            <w:pPr>
              <w:jc w:val="right"/>
              <w:rPr>
                <w:rFonts w:ascii="Univers" w:hAnsi="Univers"/>
                <w:sz w:val="16"/>
              </w:rPr>
            </w:pPr>
            <w:r>
              <w:rPr>
                <w:rFonts w:ascii="Univers" w:hAnsi="Univers"/>
                <w:sz w:val="16"/>
              </w:rPr>
              <w:t>88</w:t>
            </w:r>
          </w:p>
        </w:tc>
      </w:tr>
      <w:tr w:rsidR="00000000">
        <w:tblPrEx>
          <w:tblCellMar>
            <w:top w:w="0" w:type="dxa"/>
            <w:bottom w:w="0" w:type="dxa"/>
          </w:tblCellMar>
        </w:tblPrEx>
        <w:trPr>
          <w:jc w:val="center"/>
        </w:trPr>
        <w:tc>
          <w:tcPr>
            <w:tcW w:w="2119" w:type="dxa"/>
          </w:tcPr>
          <w:p w:rsidR="00000000" w:rsidRDefault="00582B24">
            <w:pPr>
              <w:rPr>
                <w:rFonts w:ascii="Univers" w:hAnsi="Univers"/>
                <w:sz w:val="16"/>
              </w:rPr>
            </w:pPr>
            <w:r>
              <w:rPr>
                <w:rFonts w:ascii="Univers" w:hAnsi="Univers"/>
                <w:sz w:val="16"/>
              </w:rPr>
              <w:t>K-12 School Districts</w:t>
            </w:r>
          </w:p>
        </w:tc>
        <w:tc>
          <w:tcPr>
            <w:tcW w:w="810" w:type="dxa"/>
          </w:tcPr>
          <w:p w:rsidR="00000000" w:rsidRDefault="00582B24">
            <w:pPr>
              <w:jc w:val="right"/>
              <w:rPr>
                <w:rFonts w:ascii="Univers" w:hAnsi="Univers"/>
                <w:sz w:val="16"/>
              </w:rPr>
            </w:pPr>
            <w:r>
              <w:rPr>
                <w:rFonts w:ascii="Univers" w:hAnsi="Univers"/>
                <w:sz w:val="16"/>
              </w:rPr>
              <w:t>279</w:t>
            </w:r>
          </w:p>
        </w:tc>
      </w:tr>
      <w:tr w:rsidR="00000000">
        <w:tblPrEx>
          <w:tblCellMar>
            <w:top w:w="0" w:type="dxa"/>
            <w:bottom w:w="0" w:type="dxa"/>
          </w:tblCellMar>
        </w:tblPrEx>
        <w:trPr>
          <w:jc w:val="center"/>
        </w:trPr>
        <w:tc>
          <w:tcPr>
            <w:tcW w:w="2119" w:type="dxa"/>
          </w:tcPr>
          <w:p w:rsidR="00000000" w:rsidRDefault="00582B24">
            <w:pPr>
              <w:rPr>
                <w:rFonts w:ascii="Univers" w:hAnsi="Univers"/>
                <w:sz w:val="16"/>
              </w:rPr>
            </w:pPr>
            <w:r>
              <w:rPr>
                <w:rFonts w:ascii="Univers" w:hAnsi="Univers"/>
                <w:sz w:val="16"/>
              </w:rPr>
              <w:t>Other Education</w:t>
            </w:r>
          </w:p>
        </w:tc>
        <w:tc>
          <w:tcPr>
            <w:tcW w:w="810" w:type="dxa"/>
          </w:tcPr>
          <w:p w:rsidR="00000000" w:rsidRDefault="00582B24">
            <w:pPr>
              <w:jc w:val="right"/>
              <w:rPr>
                <w:rFonts w:ascii="Univers" w:hAnsi="Univers"/>
                <w:sz w:val="16"/>
              </w:rPr>
            </w:pPr>
            <w:r>
              <w:rPr>
                <w:rFonts w:ascii="Univers" w:hAnsi="Univers"/>
                <w:sz w:val="16"/>
              </w:rPr>
              <w:t>2</w:t>
            </w:r>
          </w:p>
        </w:tc>
      </w:tr>
      <w:tr w:rsidR="00000000">
        <w:tblPrEx>
          <w:tblCellMar>
            <w:top w:w="0" w:type="dxa"/>
            <w:bottom w:w="0" w:type="dxa"/>
          </w:tblCellMar>
        </w:tblPrEx>
        <w:trPr>
          <w:jc w:val="center"/>
        </w:trPr>
        <w:tc>
          <w:tcPr>
            <w:tcW w:w="2119" w:type="dxa"/>
          </w:tcPr>
          <w:p w:rsidR="00000000" w:rsidRDefault="00582B24">
            <w:pPr>
              <w:rPr>
                <w:rFonts w:ascii="Univers" w:hAnsi="Univers"/>
                <w:sz w:val="16"/>
              </w:rPr>
            </w:pPr>
            <w:r>
              <w:rPr>
                <w:rFonts w:ascii="Univers" w:hAnsi="Univers"/>
                <w:sz w:val="16"/>
              </w:rPr>
              <w:t>Libraries</w:t>
            </w:r>
          </w:p>
        </w:tc>
        <w:tc>
          <w:tcPr>
            <w:tcW w:w="810" w:type="dxa"/>
          </w:tcPr>
          <w:p w:rsidR="00000000" w:rsidRDefault="00582B24">
            <w:pPr>
              <w:jc w:val="right"/>
              <w:rPr>
                <w:rFonts w:ascii="Univers" w:hAnsi="Univers"/>
                <w:sz w:val="16"/>
              </w:rPr>
            </w:pPr>
            <w:r>
              <w:rPr>
                <w:rFonts w:ascii="Univers" w:hAnsi="Univers"/>
                <w:sz w:val="16"/>
              </w:rPr>
              <w:t>9</w:t>
            </w:r>
          </w:p>
        </w:tc>
      </w:tr>
      <w:tr w:rsidR="00000000">
        <w:tblPrEx>
          <w:tblCellMar>
            <w:top w:w="0" w:type="dxa"/>
            <w:bottom w:w="0" w:type="dxa"/>
          </w:tblCellMar>
        </w:tblPrEx>
        <w:trPr>
          <w:jc w:val="center"/>
        </w:trPr>
        <w:tc>
          <w:tcPr>
            <w:tcW w:w="2119" w:type="dxa"/>
          </w:tcPr>
          <w:p w:rsidR="00000000" w:rsidRDefault="00582B24">
            <w:pPr>
              <w:rPr>
                <w:rFonts w:ascii="Univers" w:hAnsi="Univers"/>
                <w:sz w:val="16"/>
              </w:rPr>
            </w:pPr>
            <w:r>
              <w:rPr>
                <w:rFonts w:ascii="Univers" w:hAnsi="Univers"/>
                <w:sz w:val="16"/>
              </w:rPr>
              <w:t>Medical Facilities</w:t>
            </w:r>
          </w:p>
        </w:tc>
        <w:tc>
          <w:tcPr>
            <w:tcW w:w="810" w:type="dxa"/>
          </w:tcPr>
          <w:p w:rsidR="00000000" w:rsidRDefault="00582B24">
            <w:pPr>
              <w:jc w:val="right"/>
              <w:rPr>
                <w:rFonts w:ascii="Univers" w:hAnsi="Univers"/>
                <w:sz w:val="16"/>
              </w:rPr>
            </w:pPr>
            <w:r>
              <w:rPr>
                <w:rFonts w:ascii="Univers" w:hAnsi="Univers"/>
                <w:sz w:val="16"/>
              </w:rPr>
              <w:t>8</w:t>
            </w:r>
          </w:p>
        </w:tc>
      </w:tr>
      <w:tr w:rsidR="00000000">
        <w:tblPrEx>
          <w:tblCellMar>
            <w:top w:w="0" w:type="dxa"/>
            <w:bottom w:w="0" w:type="dxa"/>
          </w:tblCellMar>
        </w:tblPrEx>
        <w:trPr>
          <w:jc w:val="center"/>
        </w:trPr>
        <w:tc>
          <w:tcPr>
            <w:tcW w:w="2119" w:type="dxa"/>
          </w:tcPr>
          <w:p w:rsidR="00000000" w:rsidRDefault="00582B24">
            <w:pPr>
              <w:rPr>
                <w:rFonts w:ascii="Univers" w:hAnsi="Univers"/>
                <w:sz w:val="16"/>
              </w:rPr>
            </w:pPr>
            <w:r>
              <w:rPr>
                <w:rFonts w:ascii="Univers" w:hAnsi="Univers"/>
                <w:sz w:val="16"/>
              </w:rPr>
              <w:t>Private Colleges</w:t>
            </w:r>
          </w:p>
        </w:tc>
        <w:tc>
          <w:tcPr>
            <w:tcW w:w="810" w:type="dxa"/>
          </w:tcPr>
          <w:p w:rsidR="00000000" w:rsidRDefault="00582B24">
            <w:pPr>
              <w:jc w:val="right"/>
              <w:rPr>
                <w:rFonts w:ascii="Univers" w:hAnsi="Univers"/>
                <w:sz w:val="16"/>
              </w:rPr>
            </w:pPr>
            <w:r>
              <w:rPr>
                <w:rFonts w:ascii="Univers" w:hAnsi="Univers"/>
                <w:sz w:val="16"/>
              </w:rPr>
              <w:t>14</w:t>
            </w:r>
          </w:p>
        </w:tc>
      </w:tr>
      <w:tr w:rsidR="00000000">
        <w:tblPrEx>
          <w:tblCellMar>
            <w:top w:w="0" w:type="dxa"/>
            <w:bottom w:w="0" w:type="dxa"/>
          </w:tblCellMar>
        </w:tblPrEx>
        <w:trPr>
          <w:jc w:val="center"/>
        </w:trPr>
        <w:tc>
          <w:tcPr>
            <w:tcW w:w="2119" w:type="dxa"/>
          </w:tcPr>
          <w:p w:rsidR="00000000" w:rsidRDefault="00582B24">
            <w:pPr>
              <w:rPr>
                <w:rFonts w:ascii="Univers" w:hAnsi="Univers"/>
                <w:sz w:val="16"/>
              </w:rPr>
            </w:pPr>
            <w:r>
              <w:rPr>
                <w:rFonts w:ascii="Univers" w:hAnsi="Univers"/>
                <w:sz w:val="16"/>
              </w:rPr>
              <w:t>Regents Institutions</w:t>
            </w:r>
          </w:p>
        </w:tc>
        <w:tc>
          <w:tcPr>
            <w:tcW w:w="810" w:type="dxa"/>
          </w:tcPr>
          <w:p w:rsidR="00000000" w:rsidRDefault="00582B24">
            <w:pPr>
              <w:jc w:val="right"/>
              <w:rPr>
                <w:rFonts w:ascii="Univers" w:hAnsi="Univers"/>
                <w:sz w:val="16"/>
              </w:rPr>
            </w:pPr>
            <w:r>
              <w:rPr>
                <w:rFonts w:ascii="Univers" w:hAnsi="Univers"/>
                <w:sz w:val="16"/>
              </w:rPr>
              <w:t>24</w:t>
            </w:r>
          </w:p>
        </w:tc>
      </w:tr>
      <w:tr w:rsidR="00000000">
        <w:tblPrEx>
          <w:tblCellMar>
            <w:top w:w="0" w:type="dxa"/>
            <w:bottom w:w="0" w:type="dxa"/>
          </w:tblCellMar>
        </w:tblPrEx>
        <w:trPr>
          <w:jc w:val="center"/>
        </w:trPr>
        <w:tc>
          <w:tcPr>
            <w:tcW w:w="2119" w:type="dxa"/>
          </w:tcPr>
          <w:p w:rsidR="00000000" w:rsidRDefault="00582B24">
            <w:pPr>
              <w:rPr>
                <w:rFonts w:ascii="Univers" w:hAnsi="Univers"/>
                <w:sz w:val="16"/>
              </w:rPr>
            </w:pPr>
            <w:r>
              <w:rPr>
                <w:rFonts w:ascii="Univers" w:hAnsi="Univers"/>
                <w:sz w:val="16"/>
              </w:rPr>
              <w:t>National Guard</w:t>
            </w:r>
          </w:p>
        </w:tc>
        <w:tc>
          <w:tcPr>
            <w:tcW w:w="810" w:type="dxa"/>
          </w:tcPr>
          <w:p w:rsidR="00000000" w:rsidRDefault="00582B24">
            <w:pPr>
              <w:jc w:val="right"/>
              <w:rPr>
                <w:rFonts w:ascii="Univers" w:hAnsi="Univers"/>
                <w:sz w:val="16"/>
              </w:rPr>
            </w:pPr>
            <w:r>
              <w:rPr>
                <w:rFonts w:ascii="Univers" w:hAnsi="Univers"/>
                <w:sz w:val="16"/>
              </w:rPr>
              <w:t>57</w:t>
            </w:r>
          </w:p>
        </w:tc>
      </w:tr>
      <w:tr w:rsidR="00000000">
        <w:tblPrEx>
          <w:tblCellMar>
            <w:top w:w="0" w:type="dxa"/>
            <w:bottom w:w="0" w:type="dxa"/>
          </w:tblCellMar>
        </w:tblPrEx>
        <w:trPr>
          <w:jc w:val="center"/>
        </w:trPr>
        <w:tc>
          <w:tcPr>
            <w:tcW w:w="2119" w:type="dxa"/>
          </w:tcPr>
          <w:p w:rsidR="00000000" w:rsidRDefault="00582B24">
            <w:pPr>
              <w:rPr>
                <w:rFonts w:ascii="Univers" w:hAnsi="Univers"/>
                <w:sz w:val="16"/>
              </w:rPr>
            </w:pPr>
            <w:r>
              <w:rPr>
                <w:rFonts w:ascii="Univers" w:hAnsi="Univers"/>
                <w:sz w:val="16"/>
              </w:rPr>
              <w:lastRenderedPageBreak/>
              <w:t>State Agencies</w:t>
            </w:r>
          </w:p>
        </w:tc>
        <w:tc>
          <w:tcPr>
            <w:tcW w:w="810" w:type="dxa"/>
          </w:tcPr>
          <w:p w:rsidR="00000000" w:rsidRDefault="00582B24">
            <w:pPr>
              <w:jc w:val="right"/>
              <w:rPr>
                <w:rFonts w:ascii="Univers" w:hAnsi="Univers"/>
                <w:sz w:val="16"/>
              </w:rPr>
            </w:pPr>
            <w:r>
              <w:rPr>
                <w:rFonts w:ascii="Univers" w:hAnsi="Univers"/>
                <w:sz w:val="16"/>
              </w:rPr>
              <w:t>37</w:t>
            </w:r>
          </w:p>
        </w:tc>
      </w:tr>
      <w:tr w:rsidR="00000000">
        <w:tblPrEx>
          <w:tblCellMar>
            <w:top w:w="0" w:type="dxa"/>
            <w:bottom w:w="0" w:type="dxa"/>
          </w:tblCellMar>
        </w:tblPrEx>
        <w:trPr>
          <w:jc w:val="center"/>
        </w:trPr>
        <w:tc>
          <w:tcPr>
            <w:tcW w:w="2119" w:type="dxa"/>
          </w:tcPr>
          <w:p w:rsidR="00000000" w:rsidRDefault="00582B24">
            <w:pPr>
              <w:rPr>
                <w:rFonts w:ascii="Univers" w:hAnsi="Univers"/>
                <w:sz w:val="16"/>
              </w:rPr>
            </w:pPr>
            <w:r>
              <w:rPr>
                <w:rFonts w:ascii="Univers" w:hAnsi="Univers"/>
                <w:sz w:val="16"/>
              </w:rPr>
              <w:t>Federal</w:t>
            </w:r>
          </w:p>
        </w:tc>
        <w:tc>
          <w:tcPr>
            <w:tcW w:w="810" w:type="dxa"/>
          </w:tcPr>
          <w:p w:rsidR="00000000" w:rsidRDefault="00582B24">
            <w:pPr>
              <w:jc w:val="right"/>
              <w:rPr>
                <w:rFonts w:ascii="Univers" w:hAnsi="Univers"/>
                <w:sz w:val="16"/>
              </w:rPr>
            </w:pPr>
            <w:r>
              <w:rPr>
                <w:rFonts w:ascii="Univers" w:hAnsi="Univers"/>
                <w:sz w:val="16"/>
              </w:rPr>
              <w:t>10</w:t>
            </w:r>
          </w:p>
        </w:tc>
      </w:tr>
      <w:tr w:rsidR="00000000">
        <w:tblPrEx>
          <w:tblCellMar>
            <w:top w:w="0" w:type="dxa"/>
            <w:bottom w:w="0" w:type="dxa"/>
          </w:tblCellMar>
        </w:tblPrEx>
        <w:trPr>
          <w:jc w:val="center"/>
        </w:trPr>
        <w:tc>
          <w:tcPr>
            <w:tcW w:w="2119" w:type="dxa"/>
          </w:tcPr>
          <w:p w:rsidR="00000000" w:rsidRDefault="00582B24">
            <w:pPr>
              <w:rPr>
                <w:rFonts w:ascii="Univers" w:hAnsi="Univers"/>
                <w:sz w:val="16"/>
              </w:rPr>
            </w:pPr>
            <w:r>
              <w:rPr>
                <w:rFonts w:ascii="Univers" w:hAnsi="Univers"/>
                <w:sz w:val="16"/>
              </w:rPr>
              <w:t>Miscellaneous</w:t>
            </w:r>
          </w:p>
        </w:tc>
        <w:tc>
          <w:tcPr>
            <w:tcW w:w="810" w:type="dxa"/>
            <w:tcBorders>
              <w:bottom w:val="single" w:sz="6" w:space="0" w:color="auto"/>
            </w:tcBorders>
          </w:tcPr>
          <w:p w:rsidR="00000000" w:rsidRDefault="00582B24">
            <w:pPr>
              <w:jc w:val="right"/>
              <w:rPr>
                <w:rFonts w:ascii="Univers" w:hAnsi="Univers"/>
                <w:sz w:val="16"/>
              </w:rPr>
            </w:pPr>
            <w:r>
              <w:rPr>
                <w:rFonts w:ascii="Univers" w:hAnsi="Univers"/>
                <w:sz w:val="16"/>
              </w:rPr>
              <w:t>2</w:t>
            </w:r>
          </w:p>
        </w:tc>
      </w:tr>
      <w:tr w:rsidR="00000000">
        <w:tblPrEx>
          <w:tblCellMar>
            <w:top w:w="0" w:type="dxa"/>
            <w:bottom w:w="0" w:type="dxa"/>
          </w:tblCellMar>
        </w:tblPrEx>
        <w:trPr>
          <w:jc w:val="center"/>
        </w:trPr>
        <w:tc>
          <w:tcPr>
            <w:tcW w:w="2119" w:type="dxa"/>
          </w:tcPr>
          <w:p w:rsidR="00000000" w:rsidRDefault="00582B24">
            <w:pPr>
              <w:rPr>
                <w:rFonts w:ascii="Univers" w:hAnsi="Univers"/>
                <w:sz w:val="16"/>
              </w:rPr>
            </w:pPr>
            <w:r>
              <w:rPr>
                <w:rFonts w:ascii="Univers" w:hAnsi="Univers"/>
                <w:sz w:val="16"/>
              </w:rPr>
              <w:t xml:space="preserve"> Classrooms Total</w:t>
            </w:r>
          </w:p>
        </w:tc>
        <w:tc>
          <w:tcPr>
            <w:tcW w:w="810" w:type="dxa"/>
            <w:tcBorders>
              <w:bottom w:val="double" w:sz="6" w:space="0" w:color="auto"/>
            </w:tcBorders>
          </w:tcPr>
          <w:p w:rsidR="00000000" w:rsidRDefault="00582B24">
            <w:pPr>
              <w:jc w:val="right"/>
              <w:rPr>
                <w:rFonts w:ascii="Univers" w:hAnsi="Univers"/>
                <w:sz w:val="16"/>
              </w:rPr>
            </w:pPr>
            <w:r>
              <w:rPr>
                <w:rFonts w:ascii="Univers" w:hAnsi="Univers"/>
                <w:sz w:val="16"/>
              </w:rPr>
              <w:t>546</w:t>
            </w:r>
          </w:p>
        </w:tc>
      </w:tr>
    </w:tbl>
    <w:p w:rsidR="00000000" w:rsidRDefault="00582B24">
      <w:pPr>
        <w:pStyle w:val="textup"/>
      </w:pPr>
      <w:r>
        <w:rPr>
          <w:b/>
        </w:rPr>
        <w:t>Information on Internet</w:t>
      </w:r>
      <w:r>
        <w:tab/>
        <w:t xml:space="preserve">This information is updated weekly and is available on the Internet at </w:t>
      </w:r>
      <w:r>
        <w:rPr>
          <w:b/>
        </w:rPr>
        <w:t>http://www.icn.state.ia.us/icn/h</w:t>
      </w:r>
      <w:r>
        <w:rPr>
          <w:b/>
        </w:rPr>
        <w:t xml:space="preserve">tml/map_form.htm.  </w:t>
      </w:r>
      <w:r>
        <w:t>If you would like a copy of the full list of sites and do not have access to the Internet, you may contact the LFB and request a copy.</w:t>
      </w:r>
    </w:p>
    <w:p w:rsidR="00000000" w:rsidRDefault="00582B24">
      <w:pPr>
        <w:pStyle w:val="Contactup"/>
      </w:pPr>
      <w:r>
        <w:t>STAFF CONTACT:  Douglas Wulf (Ext. 13250)</w:t>
      </w:r>
    </w:p>
    <w:p w:rsidR="00000000" w:rsidRDefault="00582B24">
      <w:pPr>
        <w:pStyle w:val="Blurbtitle"/>
      </w:pPr>
      <w:bookmarkStart w:id="14" w:name="FU3MMBA"/>
    </w:p>
    <w:p w:rsidR="00000000" w:rsidRDefault="00582B24">
      <w:pPr>
        <w:pStyle w:val="Blurbtitle"/>
      </w:pPr>
      <w:r>
        <w:t>U. S. Department of Health and Human Services Releases 1998 Poverty Guidelines</w:t>
      </w:r>
      <w:bookmarkEnd w:id="14"/>
    </w:p>
    <w:p w:rsidR="00000000" w:rsidRDefault="00582B24">
      <w:pPr>
        <w:framePr w:w="1526" w:h="864" w:hSpace="187" w:wrap="around" w:vAnchor="page" w:hAnchor="page" w:x="1202" w:y="3169"/>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1009650" cy="4381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1009650" cy="438150"/>
                    </a:xfrm>
                    <a:prstGeom prst="rect">
                      <a:avLst/>
                    </a:prstGeom>
                    <a:noFill/>
                    <a:ln w="9525">
                      <a:noFill/>
                      <a:miter lim="800000"/>
                      <a:headEnd/>
                      <a:tailEnd/>
                    </a:ln>
                  </pic:spPr>
                </pic:pic>
              </a:graphicData>
            </a:graphic>
          </wp:inline>
        </w:drawing>
      </w:r>
    </w:p>
    <w:p w:rsidR="00000000" w:rsidRDefault="00582B24">
      <w:pPr>
        <w:pStyle w:val="textup"/>
      </w:pPr>
      <w:r>
        <w:rPr>
          <w:b/>
        </w:rPr>
        <w:t>Federal Poverty Level</w:t>
      </w:r>
      <w:r>
        <w:tab/>
        <w:t xml:space="preserve">The U. S. Department of Health and Human Services issued the federal poverty level (FPL) guidelines in the February 24, 1998, </w:t>
      </w:r>
      <w:r>
        <w:rPr>
          <w:b/>
          <w:i/>
        </w:rPr>
        <w:t>Federal Register</w:t>
      </w:r>
      <w:r>
        <w:t>.  The guidelines are used for determining financial eligibility for c</w:t>
      </w:r>
      <w:r>
        <w:t>ertain federal programs, such as child care, Family Investment Plan, Medicaid, and food stamps.  The FPL guidelines go into effect on the publish date, unless an office administering a program using the guidelines specifies a different effective date for that particular program.</w:t>
      </w:r>
    </w:p>
    <w:p w:rsidR="00000000" w:rsidRDefault="00582B24">
      <w:pPr>
        <w:pStyle w:val="textup"/>
      </w:pPr>
      <w:r>
        <w:rPr>
          <w:b/>
        </w:rPr>
        <w:t>Guidelines by Family Size</w:t>
      </w:r>
      <w:r>
        <w:tab/>
        <w:t>The following table illustrates the 1998 FPL guidelines by family size and by percent of FPL:</w:t>
      </w:r>
    </w:p>
    <w:p w:rsidR="00000000" w:rsidRDefault="00582B24">
      <w:r>
        <w:rPr>
          <w:noProof/>
        </w:rPr>
        <w:drawing>
          <wp:inline distT="0" distB="0" distL="0" distR="0">
            <wp:extent cx="4791075" cy="167640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4791075" cy="1676400"/>
                    </a:xfrm>
                    <a:prstGeom prst="rect">
                      <a:avLst/>
                    </a:prstGeom>
                    <a:noFill/>
                    <a:ln w="9525">
                      <a:noFill/>
                      <a:miter lim="800000"/>
                      <a:headEnd/>
                      <a:tailEnd/>
                    </a:ln>
                  </pic:spPr>
                </pic:pic>
              </a:graphicData>
            </a:graphic>
          </wp:inline>
        </w:drawing>
      </w:r>
    </w:p>
    <w:p w:rsidR="00000000" w:rsidRDefault="00582B24">
      <w:pPr>
        <w:pStyle w:val="Contactup"/>
      </w:pPr>
      <w:r>
        <w:t>STAFF CONTACT:  Margaret Buckton (Ext. 17942)  Deb Anderson (Ext. 16764)</w:t>
      </w:r>
    </w:p>
    <w:p w:rsidR="00000000" w:rsidRDefault="00582B24">
      <w:pPr>
        <w:pStyle w:val="Blurbtitle"/>
      </w:pPr>
      <w:bookmarkStart w:id="15" w:name="FU3MMBB"/>
      <w:r>
        <w:t>Child Care Monthly Usage</w:t>
      </w:r>
      <w:bookmarkEnd w:id="15"/>
      <w:r>
        <w:t xml:space="preserve"> Report</w:t>
      </w:r>
    </w:p>
    <w:p w:rsidR="00000000" w:rsidRDefault="00582B24">
      <w:pPr>
        <w:framePr w:w="792" w:h="864" w:hSpace="187" w:wrap="around" w:vAnchor="page" w:hAnchor="page" w:x="1634" w:y="9361"/>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504825" cy="51435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504825" cy="514350"/>
                    </a:xfrm>
                    <a:prstGeom prst="rect">
                      <a:avLst/>
                    </a:prstGeom>
                    <a:noFill/>
                    <a:ln w="9525">
                      <a:noFill/>
                      <a:miter lim="800000"/>
                      <a:headEnd/>
                      <a:tailEnd/>
                    </a:ln>
                  </pic:spPr>
                </pic:pic>
              </a:graphicData>
            </a:graphic>
          </wp:inline>
        </w:drawing>
      </w:r>
    </w:p>
    <w:p w:rsidR="00000000" w:rsidRDefault="00582B24">
      <w:pPr>
        <w:pStyle w:val="textup"/>
      </w:pPr>
      <w:r>
        <w:rPr>
          <w:b/>
        </w:rPr>
        <w:t>Chi</w:t>
      </w:r>
      <w:r>
        <w:rPr>
          <w:b/>
        </w:rPr>
        <w:t>ld Care Monthly Usage</w:t>
      </w:r>
      <w:r>
        <w:tab/>
        <w:t>The following table details a chronology of usage, cost per child, and eligibility criteria for the State Child Care Assistance Program.  The Department of Human Services (DHS) currently anticipates a monthly caseload growth of 340 children per month and a monthly average cost of $296 per child.  The fiscal year average data is shaded for comparison.</w:t>
      </w:r>
    </w:p>
    <w:p w:rsidR="00000000" w:rsidRDefault="00582B24">
      <w:pPr>
        <w:framePr w:hSpace="180" w:wrap="around" w:vAnchor="text" w:hAnchor="page" w:x="4001" w:y="225"/>
      </w:pPr>
      <w:r>
        <w:rPr>
          <w:noProof/>
        </w:rPr>
        <w:lastRenderedPageBreak/>
        <w:drawing>
          <wp:inline distT="0" distB="0" distL="0" distR="0">
            <wp:extent cx="4410075" cy="6076950"/>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4410075" cy="6076950"/>
                    </a:xfrm>
                    <a:prstGeom prst="rect">
                      <a:avLst/>
                    </a:prstGeom>
                    <a:noFill/>
                    <a:ln w="9525">
                      <a:noFill/>
                      <a:miter lim="800000"/>
                      <a:headEnd/>
                      <a:tailEnd/>
                    </a:ln>
                  </pic:spPr>
                </pic:pic>
              </a:graphicData>
            </a:graphic>
          </wp:inline>
        </w:drawing>
      </w:r>
    </w:p>
    <w:p w:rsidR="00000000" w:rsidRDefault="00582B24"/>
    <w:p w:rsidR="00000000" w:rsidRDefault="00582B24">
      <w:pPr>
        <w:framePr w:w="501" w:h="1159" w:hSpace="180" w:wrap="around" w:vAnchor="text" w:hAnchor="page" w:x="1477" w:y="553"/>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4325" cy="447675"/>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srcRect/>
                    <a:stretch>
                      <a:fillRect/>
                    </a:stretch>
                  </pic:blipFill>
                  <pic:spPr bwMode="auto">
                    <a:xfrm>
                      <a:off x="0" y="0"/>
                      <a:ext cx="314325" cy="447675"/>
                    </a:xfrm>
                    <a:prstGeom prst="rect">
                      <a:avLst/>
                    </a:prstGeom>
                    <a:noFill/>
                    <a:ln w="9525">
                      <a:noFill/>
                      <a:miter lim="800000"/>
                      <a:headEnd/>
                      <a:tailEnd/>
                    </a:ln>
                  </pic:spPr>
                </pic:pic>
              </a:graphicData>
            </a:graphic>
          </wp:inline>
        </w:drawing>
      </w:r>
    </w:p>
    <w:p w:rsidR="00000000" w:rsidRDefault="00582B24">
      <w:pPr>
        <w:pStyle w:val="textup"/>
      </w:pPr>
      <w:r>
        <w:rPr>
          <w:b/>
        </w:rPr>
        <w:t>Expenditures Monitored</w:t>
      </w:r>
      <w:r>
        <w:tab/>
        <w:t>The Legislative Fiscal Bureau will continue to monitor caseload growth and expenditures of the State Child Ca</w:t>
      </w:r>
      <w:r>
        <w:t xml:space="preserve">re Assistance Program, including the potential use of a waiting list as predicted by the DHS, effective October 1, 1999.  The DHS waiting list prediction is based on a caseload growth of 340 cases per month.  The FY 1998 activity through February has experienced an average caseload growth of 250 cases per month.  </w:t>
      </w:r>
    </w:p>
    <w:p w:rsidR="00000000" w:rsidRDefault="00582B24">
      <w:pPr>
        <w:pStyle w:val="Contactup"/>
        <w:ind w:right="-270"/>
      </w:pPr>
      <w:r>
        <w:t>STAFF CONTACT:  Margaret Buckton (Ext. 17942)  Deb Anderson (Ext. 16764)</w:t>
      </w:r>
    </w:p>
    <w:p w:rsidR="00000000" w:rsidRDefault="00582B24">
      <w:pPr>
        <w:pStyle w:val="Blurbtitle"/>
      </w:pPr>
      <w:bookmarkStart w:id="16" w:name="FU3MDFB"/>
      <w:r>
        <w:lastRenderedPageBreak/>
        <w:t>Board of Corrections Meeting - March 6, 1998</w:t>
      </w:r>
      <w:bookmarkEnd w:id="16"/>
    </w:p>
    <w:p w:rsidR="00000000" w:rsidRDefault="00582B24">
      <w:pPr>
        <w:pStyle w:val="textup"/>
      </w:pPr>
      <w:r>
        <w:rPr>
          <w:b/>
        </w:rPr>
        <w:t>Board Meeting</w:t>
      </w:r>
      <w:r>
        <w:tab/>
        <w:t>The Board of Corrections met on Friday, March 6, and received re</w:t>
      </w:r>
      <w:r>
        <w:t xml:space="preserve">ports on several studies.  </w:t>
      </w:r>
    </w:p>
    <w:p w:rsidR="00000000" w:rsidRDefault="00582B24">
      <w:pPr>
        <w:framePr w:w="534" w:h="1384" w:hRule="exact" w:hSpace="187" w:wrap="around" w:vAnchor="text" w:hAnchor="page" w:x="1634" w:y="603"/>
        <w:pBdr>
          <w:top w:val="single" w:sz="12" w:space="5" w:color="auto" w:shadow="1"/>
          <w:left w:val="single" w:sz="12" w:space="5" w:color="auto" w:shadow="1"/>
          <w:bottom w:val="single" w:sz="12" w:space="5" w:color="auto" w:shadow="1"/>
          <w:right w:val="single" w:sz="12" w:space="5" w:color="auto" w:shadow="1"/>
        </w:pBdr>
      </w:pPr>
      <w:r>
        <w:object w:dxaOrig="1140" w:dyaOrig="1860">
          <v:shape id="_x0000_i1045" type="#_x0000_t75" style="width:26pt;height:51pt" o:ole="">
            <v:imagedata r:id="rId26" o:title=""/>
          </v:shape>
          <o:OLEObject Type="Embed" ProgID="Word.Document.8" ShapeID="_x0000_i1045" DrawAspect="Content" ObjectID="_1314614345" r:id="rId27"/>
        </w:object>
      </w:r>
    </w:p>
    <w:p w:rsidR="00000000" w:rsidRDefault="00582B24" w:rsidP="00582B24">
      <w:pPr>
        <w:pStyle w:val="bulletup"/>
        <w:numPr>
          <w:ilvl w:val="0"/>
          <w:numId w:val="1"/>
        </w:numPr>
      </w:pPr>
      <w:r>
        <w:rPr>
          <w:u w:val="single"/>
        </w:rPr>
        <w:t>Inmates with Special Needs</w:t>
      </w:r>
      <w:r>
        <w:t>:  CGA Associates was retained to examine the prison population and determine the system’s ability to address the needs of inmates who have medical and physical problems, who are psycho-socially challenged, and who have behavioral disorders.  The consultant from CGA Associates concluded that Iowa has one of the most overcrowded prison systems in the nation.  Due to its age and design, the facilities are inflexible, and it is d</w:t>
      </w:r>
      <w:r>
        <w:t xml:space="preserve">ifficult to accommodate growth and/or inmates with special needs.  Various options for converting facilities and constructing additions were discussed.  </w:t>
      </w:r>
    </w:p>
    <w:p w:rsidR="00000000" w:rsidRDefault="00582B24">
      <w:pPr>
        <w:framePr w:w="1066" w:h="1003" w:hSpace="180" w:wrap="around" w:vAnchor="text" w:hAnchor="page" w:x="1521" w:y="1715"/>
        <w:pBdr>
          <w:top w:val="single" w:sz="6" w:space="1" w:color="auto" w:shadow="1"/>
          <w:left w:val="single" w:sz="6" w:space="1" w:color="auto" w:shadow="1"/>
          <w:bottom w:val="single" w:sz="6" w:space="1" w:color="auto" w:shadow="1"/>
          <w:right w:val="single" w:sz="6" w:space="1" w:color="auto" w:shadow="1"/>
        </w:pBdr>
      </w:pPr>
      <w:r>
        <w:rPr>
          <w:noProof/>
        </w:rPr>
        <w:drawing>
          <wp:inline distT="0" distB="0" distL="0" distR="0">
            <wp:extent cx="676275" cy="50482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676275" cy="504825"/>
                    </a:xfrm>
                    <a:prstGeom prst="rect">
                      <a:avLst/>
                    </a:prstGeom>
                    <a:noFill/>
                    <a:ln w="9525">
                      <a:noFill/>
                      <a:miter lim="800000"/>
                      <a:headEnd/>
                      <a:tailEnd/>
                    </a:ln>
                  </pic:spPr>
                </pic:pic>
              </a:graphicData>
            </a:graphic>
          </wp:inline>
        </w:drawing>
      </w:r>
    </w:p>
    <w:p w:rsidR="00000000" w:rsidRDefault="00582B24" w:rsidP="00582B24">
      <w:pPr>
        <w:pStyle w:val="bulletup"/>
        <w:numPr>
          <w:ilvl w:val="0"/>
          <w:numId w:val="1"/>
        </w:numPr>
      </w:pPr>
      <w:r>
        <w:rPr>
          <w:u w:val="single"/>
        </w:rPr>
        <w:t>Prison Capacity Analysis</w:t>
      </w:r>
      <w:r>
        <w:t>:  Christopher Murray and Associates examined the security and custody needs of the inmate population compared to the design and capacity of the existing facilities.  Mr. Murray concluded that without a change in crime rates and/or prison admission and sentencing policies, there will be a “huge” future prison need, costing “hundre</w:t>
      </w:r>
      <w:r>
        <w:t>ds of millions of dollars.”  The Iowa system is “about to cross the threshold” from a small prison system to a large system.  As a large system, it will need to become more centralized and rule-driven.  The central office staff of 30 persons will not be adequate to manage the large system.  Mr. Kautzky commented that Nebraska has a staff approximately three times as large to manage a system with about half as many inmates.  Other identified needs included additional beds to meet the growing population, a su</w:t>
      </w:r>
      <w:r>
        <w:t xml:space="preserve">per-maximum security facility, maximum/closed security facilities for women, and a variety of specific improvements for the institutions.  </w:t>
      </w:r>
    </w:p>
    <w:p w:rsidR="00000000" w:rsidRDefault="00582B24" w:rsidP="00582B24">
      <w:pPr>
        <w:pStyle w:val="bulletup"/>
        <w:numPr>
          <w:ilvl w:val="0"/>
          <w:numId w:val="1"/>
        </w:numPr>
      </w:pPr>
      <w:r>
        <w:rPr>
          <w:u w:val="single"/>
        </w:rPr>
        <w:t>Connect Information Technology Project</w:t>
      </w:r>
      <w:r>
        <w:t>:  John Baldwin, Deputy Director for Administration, discussed the Department’s project to plan for developments in data processing.  The two current data bases operate on an 18-year-old system.  Given today’s standards, it is not able to provide information in a timely basis.  The plan calls for providing access to various agencies</w:t>
      </w:r>
      <w:r>
        <w:t xml:space="preserve"> that need Department information, as well as improving internal management efficiency.</w:t>
      </w:r>
    </w:p>
    <w:p w:rsidR="00000000" w:rsidRDefault="00582B24" w:rsidP="00582B24">
      <w:pPr>
        <w:pStyle w:val="bulletup"/>
        <w:numPr>
          <w:ilvl w:val="0"/>
          <w:numId w:val="1"/>
        </w:numPr>
      </w:pPr>
      <w:r>
        <w:rPr>
          <w:u w:val="single"/>
        </w:rPr>
        <w:t>Private Prison Requests for Proposal</w:t>
      </w:r>
      <w:r>
        <w:t xml:space="preserve">:  Director Kautzky presented reports summarizing the responses from three private corporations in the private prison industry.  The Board directed the Department to continue gathering information but declined to discuss the issue until the next meeting to allow them time to review the written materials provided. </w:t>
      </w:r>
    </w:p>
    <w:p w:rsidR="00000000" w:rsidRDefault="00582B24">
      <w:pPr>
        <w:pStyle w:val="Contactup"/>
      </w:pPr>
      <w:r>
        <w:t>STAFF CONTACT:  Dwayne Ferguson (Ext. 16561)</w:t>
      </w:r>
    </w:p>
    <w:p w:rsidR="00000000" w:rsidRDefault="00582B24">
      <w:pPr>
        <w:pStyle w:val="Blurbtitle"/>
      </w:pPr>
      <w:bookmarkStart w:id="17" w:name="FU3MMBC"/>
      <w:r>
        <w:t>Weekly Medical Assistance E</w:t>
      </w:r>
      <w:r>
        <w:t>xpenditures in the Department of Human Services</w:t>
      </w:r>
      <w:bookmarkEnd w:id="17"/>
    </w:p>
    <w:p w:rsidR="00000000" w:rsidRDefault="00582B24">
      <w:pPr>
        <w:framePr w:w="501" w:h="997" w:hSpace="180" w:wrap="around" w:vAnchor="text" w:hAnchor="page" w:x="1477" w:y="506"/>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4325" cy="495300"/>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srcRect/>
                    <a:stretch>
                      <a:fillRect/>
                    </a:stretch>
                  </pic:blipFill>
                  <pic:spPr bwMode="auto">
                    <a:xfrm>
                      <a:off x="0" y="0"/>
                      <a:ext cx="314325" cy="495300"/>
                    </a:xfrm>
                    <a:prstGeom prst="rect">
                      <a:avLst/>
                    </a:prstGeom>
                    <a:noFill/>
                    <a:ln w="9525">
                      <a:noFill/>
                      <a:miter lim="800000"/>
                      <a:headEnd/>
                      <a:tailEnd/>
                    </a:ln>
                  </pic:spPr>
                </pic:pic>
              </a:graphicData>
            </a:graphic>
          </wp:inline>
        </w:drawing>
      </w:r>
    </w:p>
    <w:p w:rsidR="00000000" w:rsidRDefault="00582B24">
      <w:pPr>
        <w:pStyle w:val="textup"/>
      </w:pPr>
      <w:r>
        <w:rPr>
          <w:b/>
        </w:rPr>
        <w:t>Medical Assistance</w:t>
      </w:r>
      <w:r>
        <w:tab/>
        <w:t xml:space="preserve">For the week ending March 2, 1998, FY 1998 General Fund expenditures for the Medical Assistance Program in the Department of Human Services were $3.4 million (80.4% of budget).  This is $836,000 below the weekly budget established by the Department.  Year-to-date Medical Assistance General Fund expenditures are $231.8 million, which is $4.8 million (2.1%) above the amount budgeted for the fiscal year-to-date. </w:t>
      </w:r>
    </w:p>
    <w:p w:rsidR="00000000" w:rsidRDefault="00582B24">
      <w:pPr>
        <w:pStyle w:val="textup"/>
      </w:pPr>
      <w:r>
        <w:rPr>
          <w:b/>
        </w:rPr>
        <w:lastRenderedPageBreak/>
        <w:t>Expenditures Monitored</w:t>
      </w:r>
      <w:r>
        <w:tab/>
        <w:t>The LF</w:t>
      </w:r>
      <w:r>
        <w:t>B will continue to monitor Medical Assistance Program expenditures and will provide regular updates to members of the General Assembly.  More information is available from the Fiscal Bureau.</w:t>
      </w:r>
    </w:p>
    <w:p w:rsidR="00000000" w:rsidRDefault="00582B24">
      <w:r>
        <w:object w:dxaOrig="5580" w:dyaOrig="3886">
          <v:shape id="_x0000_i1048" type="#_x0000_t75" style="width:279pt;height:194pt" o:ole="">
            <v:imagedata r:id="rId28" o:title=""/>
          </v:shape>
          <o:OLEObject Type="Embed" ProgID="Word.Document.8" ShapeID="_x0000_i1048" DrawAspect="Content" ObjectID="_1314614346" r:id="rId29"/>
        </w:object>
      </w:r>
    </w:p>
    <w:p w:rsidR="00000000" w:rsidRDefault="00582B24">
      <w:pPr>
        <w:pStyle w:val="Contactup"/>
      </w:pPr>
      <w:r>
        <w:t>STAFF CONTACT:  Margaret Buckton (Ext. 17942)</w:t>
      </w:r>
    </w:p>
    <w:p w:rsidR="00000000" w:rsidRDefault="00582B24"/>
    <w:p w:rsidR="00000000" w:rsidRDefault="00582B24">
      <w:pPr>
        <w:sectPr w:rsidR="00000000">
          <w:headerReference w:type="even" r:id="rId30"/>
          <w:headerReference w:type="default" r:id="rId31"/>
          <w:type w:val="continuous"/>
          <w:pgSz w:w="12240" w:h="15840" w:code="1"/>
          <w:pgMar w:top="1440" w:right="1440" w:bottom="1440" w:left="3960" w:header="720" w:footer="720" w:gutter="0"/>
          <w:cols w:space="720"/>
          <w:titlePg/>
        </w:sectPr>
      </w:pPr>
    </w:p>
    <w:p w:rsidR="00000000" w:rsidRDefault="00582B24">
      <w:pPr>
        <w:ind w:right="-90"/>
      </w:pPr>
    </w:p>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Pr>
        <w:sectPr w:rsidR="00000000">
          <w:type w:val="continuous"/>
          <w:pgSz w:w="12240" w:h="15840" w:code="1"/>
          <w:pgMar w:top="1440" w:right="1440" w:bottom="1440" w:left="4320" w:header="634" w:footer="720" w:gutter="0"/>
          <w:cols w:space="720"/>
          <w:titlePg/>
        </w:sectPr>
      </w:pPr>
    </w:p>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p w:rsidR="00000000" w:rsidRDefault="00582B24"/>
    <w:sectPr w:rsidR="00000000">
      <w:type w:val="continuous"/>
      <w:pgSz w:w="12240" w:h="15840" w:code="1"/>
      <w:pgMar w:top="1440" w:right="1440" w:bottom="1440" w:left="432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582B24">
      <w:r>
        <w:separator/>
      </w:r>
    </w:p>
  </w:endnote>
  <w:endnote w:type="continuationSeparator" w:id="1">
    <w:p w:rsidR="00000000" w:rsidRDefault="00582B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582B24">
      <w:r>
        <w:separator/>
      </w:r>
    </w:p>
  </w:footnote>
  <w:footnote w:type="continuationSeparator" w:id="1">
    <w:p w:rsidR="00000000" w:rsidRDefault="00582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82B24">
    <w:pPr>
      <w:pStyle w:val="Header"/>
    </w:pPr>
    <w:r>
      <w:t>FISCAL UPDATE</w:t>
    </w:r>
  </w:p>
  <w:p w:rsidR="00000000" w:rsidRDefault="00582B24">
    <w:pPr>
      <w:pStyle w:val="pagenumber6"/>
    </w:pPr>
    <w:bookmarkStart w:id="18" w:name="HeaderEvenLockDate"/>
    <w:r>
      <w:rPr>
        <w:rFonts w:ascii="Times New Roman" w:hAnsi="Times New Roman"/>
        <w:noProof/>
      </w:rPr>
      <w:pict>
        <v:line id="_x0000_s1025" style="position:absolute;left:0;text-align:left;z-index:251657216;mso-position-horizontal-relative:text;mso-position-vertical-relative:text" from="-2in,21.65pt" to="345.65pt,21.7pt" o:allowincell="f" strokeweight="2pt">
          <v:stroke startarrowwidth="narrow" startarrowlength="short" endarrowwidth="narrow" endarrowlength="short"/>
        </v:line>
      </w:pict>
    </w:r>
    <w:r>
      <w:rPr>
        <w:noProof/>
      </w:rPr>
      <w:t>March 10, 1998</w:t>
    </w:r>
    <w:bookmarkEnd w:id="18"/>
    <w:r>
      <w:tab/>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16</w:t>
    </w:r>
    <w:r>
      <w:rPr>
        <w:rStyle w:val="PageNumber"/>
        <w:b w:val="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82B24">
    <w:pPr>
      <w:pStyle w:val="Header7"/>
    </w:pPr>
    <w:r>
      <w:t>FISCAL UPDATE</w:t>
    </w:r>
  </w:p>
  <w:p w:rsidR="00000000" w:rsidRDefault="00582B24">
    <w:pPr>
      <w:pStyle w:val="Header7"/>
      <w:rPr>
        <w:rStyle w:val="PageNumber"/>
      </w:rPr>
    </w:pPr>
    <w:r>
      <w:rPr>
        <w:rStyle w:val="PageNumber"/>
        <w:b w:val="0"/>
      </w:rPr>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17</w:t>
    </w:r>
    <w:r>
      <w:rPr>
        <w:rStyle w:val="PageNumber"/>
        <w:b w:val="0"/>
      </w:rPr>
      <w:fldChar w:fldCharType="end"/>
    </w:r>
    <w:r>
      <w:rPr>
        <w:rStyle w:val="PageNumber"/>
        <w:b w:val="0"/>
      </w:rPr>
      <w:t xml:space="preserve">                                   </w:t>
    </w:r>
    <w:r>
      <w:rPr>
        <w:rStyle w:val="PageNumber"/>
        <w:noProof/>
      </w:rPr>
      <w:t>March 10, 1998</w:t>
    </w:r>
  </w:p>
  <w:p w:rsidR="00000000" w:rsidRDefault="00582B24">
    <w:pPr>
      <w:pStyle w:val="Header7"/>
    </w:pPr>
    <w:r>
      <w:rPr>
        <w:noProof/>
      </w:rPr>
      <w:pict>
        <v:line id="_x0000_s1026" style="position:absolute;left:0;text-align:left;z-index:251658240;mso-position-horizontal-relative:text;mso-position-vertical-relative:text" from="-140.4pt,7.25pt" to="349.25pt,7.3pt" o:allowincell="f" strokeweight="2pt">
          <v:stroke startarrowwidth="narrow" startarrowlength="short" endarrowwidth="narrow" endarrowlength="shor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E6A0F2"/>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18"/>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792" w:hanging="360"/>
        </w:pPr>
        <w:rPr>
          <w:rFonts w:ascii="Symbol" w:hAnsi="Symbol" w:hint="default"/>
          <w:sz w:val="1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linkStyles/>
  <w:defaultTabStop w:val="720"/>
  <w:evenAndOddHeaders/>
  <w:drawingGridHorizontalSpacing w:val="120"/>
  <w:drawingGridVerticalSpacing w:val="120"/>
  <w:displayVerticalDrawingGridEvery w:val="0"/>
  <w:doNotUseMarginsForDrawingGridOrigin/>
  <w:characterSpacingControl w:val="doNotCompress"/>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compat>
  <w:rsids>
    <w:rsidRoot w:val="00582B24"/>
    <w:rsid w:val="00582B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qFormat/>
    <w:pPr>
      <w:keepNext/>
      <w:spacing w:after="60"/>
      <w:outlineLvl w:val="0"/>
    </w:pPr>
    <w:rPr>
      <w:rFonts w:ascii="Univers" w:hAnsi="Univers"/>
      <w:b/>
      <w:caps/>
      <w:kern w:val="28"/>
      <w:sz w:val="24"/>
    </w:rPr>
  </w:style>
  <w:style w:type="paragraph" w:styleId="Heading2">
    <w:name w:val="heading 2"/>
    <w:basedOn w:val="Normal"/>
    <w:next w:val="Normal"/>
    <w:qFormat/>
    <w:pPr>
      <w:keepNext/>
      <w:spacing w:before="240" w:after="60"/>
      <w:outlineLvl w:val="1"/>
    </w:pPr>
    <w:rPr>
      <w:rFonts w:ascii="Univers (W1)" w:hAnsi="Univers (W1)"/>
      <w:b/>
      <w:i/>
      <w:sz w:val="24"/>
    </w:rPr>
  </w:style>
  <w:style w:type="paragraph" w:styleId="Heading3">
    <w:name w:val="heading 3"/>
    <w:basedOn w:val="Normal"/>
    <w:next w:val="Normal"/>
    <w:qFormat/>
    <w:pPr>
      <w:keepNext/>
      <w:spacing w:before="240" w:after="60"/>
      <w:outlineLvl w:val="2"/>
    </w:pPr>
    <w:rPr>
      <w:rFonts w:ascii="CG Times (W1)" w:hAnsi="CG Times (W1)"/>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1440"/>
        <w:tab w:val="right" w:pos="8640"/>
      </w:tabs>
      <w:ind w:left="-2880"/>
    </w:pPr>
    <w:rPr>
      <w:rFonts w:ascii="Univers" w:hAnsi="Univers"/>
      <w:b/>
      <w:sz w:val="24"/>
    </w:rPr>
  </w:style>
  <w:style w:type="paragraph" w:customStyle="1" w:styleId="TITLEup">
    <w:name w:val="TITLEup"/>
    <w:basedOn w:val="Normal"/>
    <w:pPr>
      <w:framePr w:w="12160" w:h="2305" w:hSpace="180" w:wrap="around" w:vAnchor="text" w:hAnchor="page" w:x="41" w:y="-719"/>
      <w:pBdr>
        <w:top w:val="single" w:sz="6" w:space="1" w:color="auto"/>
        <w:left w:val="single" w:sz="6" w:space="1" w:color="auto"/>
        <w:bottom w:val="single" w:sz="6" w:space="1" w:color="auto"/>
        <w:right w:val="single" w:sz="6" w:space="1" w:color="auto"/>
      </w:pBdr>
      <w:ind w:left="720" w:right="720"/>
    </w:pPr>
    <w:rPr>
      <w:rFonts w:ascii="Univers" w:hAnsi="Univers"/>
      <w:b/>
      <w:sz w:val="72"/>
    </w:rPr>
  </w:style>
  <w:style w:type="paragraph" w:customStyle="1" w:styleId="TITLE3up">
    <w:name w:val="TITLE3up"/>
    <w:basedOn w:val="Normal"/>
    <w:pPr>
      <w:framePr w:w="12125" w:h="720" w:hSpace="187" w:wrap="around" w:vAnchor="text" w:hAnchor="page" w:x="44" w:y="145"/>
      <w:shd w:val="pct20" w:color="auto" w:fill="auto"/>
      <w:spacing w:before="120"/>
      <w:ind w:left="864" w:right="720"/>
    </w:pPr>
    <w:rPr>
      <w:b/>
      <w:sz w:val="40"/>
    </w:rPr>
  </w:style>
  <w:style w:type="paragraph" w:customStyle="1" w:styleId="ISSUE">
    <w:name w:val="ISSUE"/>
    <w:basedOn w:val="Normal"/>
    <w:pPr>
      <w:framePr w:w="11009" w:h="2881" w:hSpace="180" w:wrap="around" w:vAnchor="text" w:hAnchor="page" w:x="617" w:y="9844"/>
    </w:pPr>
    <w:rPr>
      <w:rFonts w:ascii="Univers" w:hAnsi="Univers"/>
      <w:sz w:val="18"/>
    </w:rPr>
  </w:style>
  <w:style w:type="character" w:styleId="PageNumber">
    <w:name w:val="page number"/>
    <w:basedOn w:val="DefaultParagraphFont"/>
    <w:semiHidden/>
    <w:rPr>
      <w:rFonts w:ascii="Univers" w:hAnsi="Univers"/>
      <w:noProof w:val="0"/>
      <w:sz w:val="24"/>
      <w:lang w:val="en-US"/>
    </w:rPr>
  </w:style>
  <w:style w:type="paragraph" w:customStyle="1" w:styleId="textup">
    <w:name w:val="textup"/>
    <w:basedOn w:val="Normal"/>
    <w:pPr>
      <w:tabs>
        <w:tab w:val="left" w:pos="2880"/>
      </w:tabs>
      <w:spacing w:before="120" w:after="120"/>
      <w:ind w:hanging="2880"/>
    </w:pPr>
    <w:rPr>
      <w:rFonts w:ascii="Univers" w:hAnsi="Univers"/>
    </w:rPr>
  </w:style>
  <w:style w:type="paragraph" w:customStyle="1" w:styleId="Contactup">
    <w:name w:val="Contactup"/>
    <w:pPr>
      <w:pBdr>
        <w:bottom w:val="single" w:sz="6" w:space="1" w:color="auto"/>
      </w:pBdr>
      <w:overflowPunct w:val="0"/>
      <w:autoSpaceDE w:val="0"/>
      <w:autoSpaceDN w:val="0"/>
      <w:adjustRightInd w:val="0"/>
      <w:spacing w:before="160" w:after="120"/>
      <w:ind w:left="-2880" w:firstLine="2880"/>
      <w:textAlignment w:val="baseline"/>
    </w:pPr>
    <w:rPr>
      <w:rFonts w:ascii="Univers" w:hAnsi="Univers"/>
      <w:noProof/>
      <w:sz w:val="18"/>
    </w:rPr>
  </w:style>
  <w:style w:type="paragraph" w:customStyle="1" w:styleId="Header7">
    <w:name w:val="Header 7"/>
    <w:basedOn w:val="Header"/>
    <w:pPr>
      <w:ind w:right="-187"/>
      <w:jc w:val="right"/>
    </w:pPr>
  </w:style>
  <w:style w:type="paragraph" w:customStyle="1" w:styleId="pagenumber6">
    <w:name w:val="page number 6"/>
    <w:basedOn w:val="Header"/>
    <w:pPr>
      <w:spacing w:after="360"/>
    </w:pPr>
  </w:style>
  <w:style w:type="paragraph" w:customStyle="1" w:styleId="bulletup">
    <w:name w:val="bulletup"/>
    <w:pPr>
      <w:overflowPunct w:val="0"/>
      <w:autoSpaceDE w:val="0"/>
      <w:autoSpaceDN w:val="0"/>
      <w:adjustRightInd w:val="0"/>
      <w:spacing w:after="200"/>
      <w:ind w:left="360" w:hanging="360"/>
      <w:textAlignment w:val="baseline"/>
    </w:pPr>
    <w:rPr>
      <w:rFonts w:ascii="Univers" w:hAnsi="Univers"/>
      <w:sz w:val="18"/>
    </w:rPr>
  </w:style>
  <w:style w:type="paragraph" w:customStyle="1" w:styleId="bulletup2">
    <w:name w:val="bulletup2"/>
    <w:basedOn w:val="bulletup"/>
    <w:pPr>
      <w:spacing w:after="0"/>
      <w:ind w:left="792"/>
    </w:pPr>
  </w:style>
  <w:style w:type="paragraph" w:customStyle="1" w:styleId="contactup1">
    <w:name w:val="contactup1"/>
    <w:basedOn w:val="Contactup"/>
    <w:pPr>
      <w:pBdr>
        <w:bottom w:val="none" w:sz="0" w:space="0" w:color="auto"/>
      </w:pBdr>
      <w:spacing w:before="115" w:after="0" w:line="259" w:lineRule="atLeast"/>
      <w:ind w:left="0" w:firstLine="0"/>
    </w:pPr>
    <w:rPr>
      <w:noProof w:val="0"/>
      <w:color w:val="000000"/>
    </w:rPr>
  </w:style>
  <w:style w:type="paragraph" w:customStyle="1" w:styleId="bulletup1">
    <w:name w:val="bulletup1"/>
    <w:basedOn w:val="bulletup"/>
    <w:pPr>
      <w:ind w:left="792"/>
    </w:pPr>
  </w:style>
  <w:style w:type="paragraph" w:customStyle="1" w:styleId="contactup2">
    <w:name w:val="contactup2"/>
    <w:basedOn w:val="contactup1"/>
    <w:pPr>
      <w:pBdr>
        <w:bottom w:val="single" w:sz="6" w:space="1" w:color="auto"/>
      </w:pBdr>
      <w:spacing w:before="0"/>
      <w:ind w:left="-2880" w:firstLine="4464"/>
    </w:pPr>
  </w:style>
  <w:style w:type="paragraph" w:customStyle="1" w:styleId="Blurbtitle">
    <w:name w:val="Blurbtitle"/>
    <w:basedOn w:val="Heading1"/>
    <w:pPr>
      <w:outlineLvl w:val="9"/>
    </w:pPr>
  </w:style>
  <w:style w:type="paragraph" w:styleId="Footer">
    <w:name w:val="footer"/>
    <w:basedOn w:val="Normal"/>
    <w:semiHidden/>
    <w:pPr>
      <w:tabs>
        <w:tab w:val="center" w:pos="4320"/>
        <w:tab w:val="right" w:pos="8640"/>
      </w:tabs>
    </w:pPr>
  </w:style>
  <w:style w:type="paragraph" w:customStyle="1" w:styleId="Style2">
    <w:name w:val="Style2"/>
    <w:basedOn w:val="Normal"/>
    <w:pPr>
      <w:spacing w:after="144"/>
      <w:ind w:left="144" w:hanging="144"/>
    </w:pPr>
    <w:rPr>
      <w:rFonts w:ascii="CG Times" w:hAnsi="CG Times"/>
      <w:color w:val="000000"/>
    </w:rPr>
  </w:style>
  <w:style w:type="paragraph" w:customStyle="1" w:styleId="Number">
    <w:name w:val="Number"/>
    <w:basedOn w:val="bulletup"/>
  </w:style>
  <w:style w:type="paragraph" w:customStyle="1" w:styleId="Outline">
    <w:name w:val="Outline"/>
    <w:basedOn w:val="bulletup"/>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5.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4.wmf"/><Relationship Id="rId28" Type="http://schemas.openxmlformats.org/officeDocument/2006/relationships/image" Target="media/image18.wmf"/><Relationship Id="rId10" Type="http://schemas.openxmlformats.org/officeDocument/2006/relationships/image" Target="media/image3.wmf"/><Relationship Id="rId19" Type="http://schemas.openxmlformats.org/officeDocument/2006/relationships/image" Target="media/image10.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3.wmf"/><Relationship Id="rId27" Type="http://schemas.openxmlformats.org/officeDocument/2006/relationships/oleObject" Target="embeddings/oleObject4.bin"/><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inword\template\upd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update.dot</Template>
  <TotalTime>1</TotalTime>
  <Pages>17</Pages>
  <Words>4972</Words>
  <Characters>28341</Characters>
  <Application>Microsoft Office Word</Application>
  <DocSecurity>4</DocSecurity>
  <Lines>236</Lines>
  <Paragraphs>66</Paragraphs>
  <ScaleCrop>false</ScaleCrop>
  <HeadingPairs>
    <vt:vector size="2" baseType="variant">
      <vt:variant>
        <vt:lpstr>FISCAL UPDATE        January 15, 1995</vt:lpstr>
      </vt:variant>
      <vt:variant>
        <vt:i4>0</vt:i4>
      </vt:variant>
    </vt:vector>
  </HeadingPairs>
  <Company>Iowa Legislature</Company>
  <LinksUpToDate>false</LinksUpToDate>
  <CharactersWithSpaces>33247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UPDATE        January 15, 1995</dc:title>
  <dc:subject/>
  <dc:creator>The Iowa Legislature</dc:creator>
  <cp:keywords/>
  <dc:description/>
  <cp:lastModifiedBy>Margaret Noon</cp:lastModifiedBy>
  <cp:revision>2</cp:revision>
  <cp:lastPrinted>1998-03-10T20:42:00Z</cp:lastPrinted>
  <dcterms:created xsi:type="dcterms:W3CDTF">2009-09-16T18:53:00Z</dcterms:created>
  <dcterms:modified xsi:type="dcterms:W3CDTF">2009-09-16T18:53:00Z</dcterms:modified>
</cp:coreProperties>
</file>