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8D9" w:rsidRPr="008655E5" w:rsidRDefault="00EE18D9" w:rsidP="00EE18D9">
      <w:pPr>
        <w:rPr>
          <w:rFonts w:ascii="Arial" w:hAnsi="Arial" w:cs="Arial"/>
          <w:b/>
        </w:rPr>
      </w:pPr>
      <w:r w:rsidRPr="008655E5">
        <w:rPr>
          <w:rFonts w:ascii="Arial" w:hAnsi="Arial" w:cs="Arial"/>
          <w:b/>
        </w:rPr>
        <w:t>Ames</w:t>
      </w:r>
    </w:p>
    <w:p w:rsidR="00AC3F6D" w:rsidRPr="00AC3F6D" w:rsidRDefault="00AC3F6D" w:rsidP="00AC3F6D">
      <w:pPr>
        <w:spacing w:before="120"/>
        <w:jc w:val="both"/>
        <w:rPr>
          <w:rFonts w:ascii="Arial" w:eastAsia="Calibri" w:hAnsi="Arial" w:cs="Arial"/>
          <w:sz w:val="22"/>
          <w:szCs w:val="22"/>
        </w:rPr>
      </w:pPr>
      <w:r w:rsidRPr="00AC3F6D">
        <w:rPr>
          <w:rFonts w:ascii="Arial" w:eastAsia="Calibri" w:hAnsi="Arial" w:cs="Arial"/>
          <w:sz w:val="22"/>
          <w:szCs w:val="22"/>
        </w:rPr>
        <w:t>The Ames Metro area pared 400 jobs in July and now rests at 49,500 jobs. Government drove most of the movement this month with 400 jobs seasonally pared in state government and 200 jobs shed in local government. In both cases, these losses were primarily related to education. Goods-producing industries were unmoved since June.</w:t>
      </w:r>
    </w:p>
    <w:p w:rsidR="005D106D" w:rsidRDefault="00AC3F6D" w:rsidP="00AC3F6D">
      <w:pPr>
        <w:spacing w:before="120"/>
        <w:jc w:val="both"/>
        <w:rPr>
          <w:rFonts w:ascii="Arial" w:hAnsi="Arial" w:cs="Arial"/>
          <w:b/>
        </w:rPr>
      </w:pPr>
      <w:r w:rsidRPr="00AC3F6D">
        <w:rPr>
          <w:rFonts w:ascii="Arial" w:eastAsia="Calibri" w:hAnsi="Arial" w:cs="Arial"/>
          <w:sz w:val="22"/>
          <w:szCs w:val="22"/>
        </w:rPr>
        <w:t>Annually, nonfarm employment in the Ames area has added 1,000 jobs. Private services fueled most of the gain (+800), although gains of 100 jobs were found in both goods-producing industries and government.</w:t>
      </w:r>
    </w:p>
    <w:p w:rsidR="00AC3F6D" w:rsidRDefault="00AC3F6D" w:rsidP="00F81BEB">
      <w:pPr>
        <w:rPr>
          <w:rFonts w:ascii="Arial" w:hAnsi="Arial" w:cs="Arial"/>
          <w:b/>
        </w:rPr>
      </w:pPr>
    </w:p>
    <w:p w:rsidR="00F81BEB" w:rsidRPr="008655E5" w:rsidRDefault="00F81BEB" w:rsidP="00F81BEB">
      <w:pPr>
        <w:rPr>
          <w:rFonts w:ascii="Arial" w:hAnsi="Arial" w:cs="Arial"/>
          <w:b/>
        </w:rPr>
      </w:pPr>
      <w:r w:rsidRPr="008655E5">
        <w:rPr>
          <w:rFonts w:ascii="Arial" w:hAnsi="Arial" w:cs="Arial"/>
          <w:b/>
        </w:rPr>
        <w:t>Cedar Rapids</w:t>
      </w:r>
    </w:p>
    <w:p w:rsidR="00AC3F6D" w:rsidRPr="00AC3F6D" w:rsidRDefault="00AC3F6D" w:rsidP="00AC3F6D">
      <w:pPr>
        <w:spacing w:before="120"/>
        <w:jc w:val="both"/>
        <w:rPr>
          <w:rFonts w:ascii="Arial" w:eastAsia="Calibri" w:hAnsi="Arial" w:cs="Arial"/>
          <w:sz w:val="22"/>
          <w:szCs w:val="22"/>
        </w:rPr>
      </w:pPr>
      <w:r w:rsidRPr="00AC3F6D">
        <w:rPr>
          <w:rFonts w:ascii="Arial" w:eastAsia="Calibri" w:hAnsi="Arial" w:cs="Arial"/>
          <w:sz w:val="22"/>
          <w:szCs w:val="22"/>
        </w:rPr>
        <w:t xml:space="preserve">The Cedar Rapids metropolitan statistical area shed 2,000 nonfarm jobs from June, and now stands at 144,300. Total nonfarm employment in the metro area is 1,700 above one year ago. </w:t>
      </w:r>
    </w:p>
    <w:p w:rsidR="00AC3F6D" w:rsidRPr="00AC3F6D" w:rsidRDefault="00AC3F6D" w:rsidP="00AC3F6D">
      <w:pPr>
        <w:spacing w:before="120"/>
        <w:jc w:val="both"/>
        <w:rPr>
          <w:rFonts w:ascii="Arial" w:eastAsia="Calibri" w:hAnsi="Arial" w:cs="Arial"/>
          <w:sz w:val="22"/>
          <w:szCs w:val="22"/>
        </w:rPr>
      </w:pPr>
      <w:r w:rsidRPr="00AC3F6D">
        <w:rPr>
          <w:rFonts w:ascii="Arial" w:eastAsia="Calibri" w:hAnsi="Arial" w:cs="Arial"/>
          <w:sz w:val="22"/>
          <w:szCs w:val="22"/>
        </w:rPr>
        <w:t xml:space="preserve">Employment increases this month were few and far between with only two sectors realizing employment increases. Natural resources and construction added 300 jobs and manufacturing gained 200 jobs, all in non-durable goods manufacturing. Employment losses were largely centered </w:t>
      </w:r>
      <w:proofErr w:type="gramStart"/>
      <w:r w:rsidRPr="00AC3F6D">
        <w:rPr>
          <w:rFonts w:ascii="Arial" w:eastAsia="Calibri" w:hAnsi="Arial" w:cs="Arial"/>
          <w:sz w:val="22"/>
          <w:szCs w:val="22"/>
        </w:rPr>
        <w:t>around</w:t>
      </w:r>
      <w:proofErr w:type="gramEnd"/>
      <w:r w:rsidRPr="00AC3F6D">
        <w:rPr>
          <w:rFonts w:ascii="Arial" w:eastAsia="Calibri" w:hAnsi="Arial" w:cs="Arial"/>
          <w:sz w:val="22"/>
          <w:szCs w:val="22"/>
        </w:rPr>
        <w:t xml:space="preserve"> education-related services with the bulk of the losses in local government, which experienced a seasonal paring of 2,100 jobs. Educational and health services shed 100 jobs and trade, transportation and warehousing trimmed 200 jobs.     </w:t>
      </w:r>
    </w:p>
    <w:p w:rsidR="00F639F2" w:rsidRDefault="00AC3F6D" w:rsidP="00AC3F6D">
      <w:pPr>
        <w:spacing w:before="120"/>
        <w:jc w:val="both"/>
        <w:rPr>
          <w:rFonts w:ascii="Arial" w:hAnsi="Arial" w:cs="Arial"/>
          <w:b/>
        </w:rPr>
      </w:pPr>
      <w:r w:rsidRPr="00AC3F6D">
        <w:rPr>
          <w:rFonts w:ascii="Arial" w:eastAsia="Calibri" w:hAnsi="Arial" w:cs="Arial"/>
          <w:sz w:val="22"/>
          <w:szCs w:val="22"/>
        </w:rPr>
        <w:t xml:space="preserve">Over the year, government and information are the only two sectors with employment losses, each paring 200 jobs. </w:t>
      </w:r>
      <w:proofErr w:type="gramStart"/>
      <w:r w:rsidRPr="00AC3F6D">
        <w:rPr>
          <w:rFonts w:ascii="Arial" w:eastAsia="Calibri" w:hAnsi="Arial" w:cs="Arial"/>
          <w:sz w:val="22"/>
          <w:szCs w:val="22"/>
        </w:rPr>
        <w:t>Professional and business services has</w:t>
      </w:r>
      <w:proofErr w:type="gramEnd"/>
      <w:r w:rsidRPr="00AC3F6D">
        <w:rPr>
          <w:rFonts w:ascii="Arial" w:eastAsia="Calibri" w:hAnsi="Arial" w:cs="Arial"/>
          <w:sz w:val="22"/>
          <w:szCs w:val="22"/>
        </w:rPr>
        <w:t xml:space="preserve"> added 1,000 jobs, accompanied by several smaller gains of 300 or less.</w:t>
      </w:r>
    </w:p>
    <w:p w:rsidR="00AC3F6D" w:rsidRDefault="00AC3F6D" w:rsidP="002C0ABA">
      <w:pPr>
        <w:rPr>
          <w:rFonts w:ascii="Arial" w:hAnsi="Arial" w:cs="Arial"/>
          <w:b/>
        </w:rPr>
      </w:pPr>
    </w:p>
    <w:p w:rsidR="002C0ABA" w:rsidRPr="008655E5" w:rsidRDefault="002C0ABA" w:rsidP="002C0ABA">
      <w:pPr>
        <w:rPr>
          <w:rFonts w:ascii="Arial" w:hAnsi="Arial" w:cs="Arial"/>
          <w:b/>
        </w:rPr>
      </w:pPr>
      <w:r w:rsidRPr="008655E5">
        <w:rPr>
          <w:rFonts w:ascii="Arial" w:hAnsi="Arial" w:cs="Arial"/>
          <w:b/>
        </w:rPr>
        <w:t>Des Moines MSA</w:t>
      </w:r>
    </w:p>
    <w:p w:rsidR="00AC3F6D" w:rsidRPr="00AC3F6D" w:rsidRDefault="00AC3F6D" w:rsidP="00AC3F6D">
      <w:pPr>
        <w:pStyle w:val="Heading1"/>
        <w:spacing w:before="120"/>
        <w:jc w:val="both"/>
        <w:rPr>
          <w:rFonts w:ascii="Arial" w:eastAsia="Calibri" w:hAnsi="Arial" w:cs="Arial"/>
          <w:b w:val="0"/>
          <w:sz w:val="22"/>
          <w:szCs w:val="22"/>
        </w:rPr>
      </w:pPr>
      <w:bookmarkStart w:id="0" w:name="OLE_LINK1"/>
      <w:bookmarkStart w:id="1" w:name="OLE_LINK2"/>
      <w:r w:rsidRPr="00AC3F6D">
        <w:rPr>
          <w:rFonts w:ascii="Arial" w:eastAsia="Calibri" w:hAnsi="Arial" w:cs="Arial"/>
          <w:b w:val="0"/>
          <w:sz w:val="22"/>
          <w:szCs w:val="22"/>
        </w:rPr>
        <w:t>The Des Moines metro area pared 2,300 jobs in July and now rests at 358,300 jobs. Seasonal declines are not unexpected in July and this month’s drop is smaller than average. Local government education fueled most of the decline this month as schools released employees for the summer. In total, government pared 2,700 jobs in the Des Moines area. Private education also fueled a drop of 400 in the education and health services sector. Other losses this month included trade and transportation and leisure and hospitality. Monthly gains were concentrated in professional and business services (+700) and mostly due to hiring in professional, scientific, and technical services. The only other sectors to gain jobs this month were mining, logging, and construction (+400) and financial activities (+200).</w:t>
      </w:r>
    </w:p>
    <w:p w:rsidR="005D106D" w:rsidRDefault="00AC3F6D" w:rsidP="00AC3F6D">
      <w:pPr>
        <w:pStyle w:val="Heading1"/>
        <w:spacing w:before="120"/>
        <w:jc w:val="both"/>
        <w:rPr>
          <w:rFonts w:ascii="Arial" w:hAnsi="Arial" w:cs="Arial"/>
        </w:rPr>
      </w:pPr>
      <w:r w:rsidRPr="00AC3F6D">
        <w:rPr>
          <w:rFonts w:ascii="Arial" w:eastAsia="Calibri" w:hAnsi="Arial" w:cs="Arial"/>
          <w:b w:val="0"/>
          <w:sz w:val="22"/>
          <w:szCs w:val="22"/>
        </w:rPr>
        <w:t>Compared to last July, the Des Moines metro area has added 7,200 jobs. The largest gains have been in financial activities (+3,000), followed by leisure and hospitality (+2,000) and construction (+1,300). The only private sectors to shed employment annually were manufacturing (-300) and information (-200).</w:t>
      </w:r>
    </w:p>
    <w:p w:rsidR="00AC3F6D" w:rsidRDefault="00AC3F6D" w:rsidP="002C0ABA">
      <w:pPr>
        <w:pStyle w:val="Heading1"/>
        <w:rPr>
          <w:rFonts w:ascii="Arial" w:hAnsi="Arial" w:cs="Arial"/>
        </w:rPr>
      </w:pPr>
    </w:p>
    <w:p w:rsidR="002C0ABA" w:rsidRPr="008655E5" w:rsidRDefault="002C0ABA" w:rsidP="002C0ABA">
      <w:pPr>
        <w:pStyle w:val="Heading1"/>
        <w:rPr>
          <w:rFonts w:ascii="Arial" w:hAnsi="Arial" w:cs="Arial"/>
        </w:rPr>
      </w:pPr>
      <w:r w:rsidRPr="008655E5">
        <w:rPr>
          <w:rFonts w:ascii="Arial" w:hAnsi="Arial" w:cs="Arial"/>
        </w:rPr>
        <w:t>Dubuque</w:t>
      </w:r>
    </w:p>
    <w:bookmarkEnd w:id="0"/>
    <w:bookmarkEnd w:id="1"/>
    <w:p w:rsidR="00AC3F6D" w:rsidRPr="00AC3F6D" w:rsidRDefault="00AC3F6D" w:rsidP="00AC3F6D">
      <w:pPr>
        <w:spacing w:before="120"/>
        <w:jc w:val="both"/>
        <w:rPr>
          <w:rFonts w:ascii="Arial" w:eastAsia="Calibri" w:hAnsi="Arial" w:cs="Arial"/>
          <w:sz w:val="22"/>
          <w:szCs w:val="22"/>
        </w:rPr>
      </w:pPr>
      <w:r w:rsidRPr="00AC3F6D">
        <w:rPr>
          <w:rFonts w:ascii="Arial" w:eastAsia="Calibri" w:hAnsi="Arial" w:cs="Arial"/>
          <w:sz w:val="22"/>
          <w:szCs w:val="22"/>
        </w:rPr>
        <w:t xml:space="preserve">The Dubuque Metro </w:t>
      </w:r>
      <w:bookmarkStart w:id="2" w:name="_GoBack"/>
      <w:bookmarkEnd w:id="2"/>
      <w:r w:rsidRPr="00AC3F6D">
        <w:rPr>
          <w:rFonts w:ascii="Arial" w:eastAsia="Calibri" w:hAnsi="Arial" w:cs="Arial"/>
          <w:sz w:val="22"/>
          <w:szCs w:val="22"/>
        </w:rPr>
        <w:t>seasonally shed 1,100 jobs in July, lowering the total to 60,100 jobs. Most of the movement this month stemmed from government education shedding 1,100 jobs for the summer break. Private sectors were unmoved as private service losses (-300) were exactly offset by goods-producing gains (+300).</w:t>
      </w:r>
    </w:p>
    <w:p w:rsidR="005D106D" w:rsidRDefault="00AC3F6D" w:rsidP="00AC3F6D">
      <w:pPr>
        <w:spacing w:before="120"/>
        <w:jc w:val="both"/>
        <w:rPr>
          <w:rFonts w:ascii="Arial" w:hAnsi="Arial" w:cs="Arial"/>
          <w:b/>
        </w:rPr>
      </w:pPr>
      <w:r w:rsidRPr="00AC3F6D">
        <w:rPr>
          <w:rFonts w:ascii="Arial" w:eastAsia="Calibri" w:hAnsi="Arial" w:cs="Arial"/>
          <w:sz w:val="22"/>
          <w:szCs w:val="22"/>
        </w:rPr>
        <w:t>Annually, nonfarm employment is up 1,100 jobs (+1.9 percent). Private services have accounted for all of the growth annually as both goods producing sectors and government are unchanged versus one year ago.</w:t>
      </w:r>
    </w:p>
    <w:p w:rsidR="00AC3F6D" w:rsidRDefault="00AC3F6D" w:rsidP="00AE4E39">
      <w:pPr>
        <w:rPr>
          <w:rFonts w:ascii="Arial" w:hAnsi="Arial" w:cs="Arial"/>
          <w:b/>
        </w:rPr>
      </w:pPr>
    </w:p>
    <w:p w:rsidR="00AE4E39" w:rsidRDefault="00AE4E39" w:rsidP="00AE4E39">
      <w:pPr>
        <w:rPr>
          <w:rFonts w:ascii="Arial" w:hAnsi="Arial" w:cs="Arial"/>
          <w:b/>
        </w:rPr>
      </w:pPr>
      <w:r w:rsidRPr="002C0ABA">
        <w:rPr>
          <w:rFonts w:ascii="Arial" w:hAnsi="Arial" w:cs="Arial"/>
          <w:b/>
        </w:rPr>
        <w:t>Iowa City</w:t>
      </w:r>
    </w:p>
    <w:p w:rsidR="00AC3F6D" w:rsidRPr="00AC3F6D" w:rsidRDefault="00AC3F6D" w:rsidP="00AC3F6D">
      <w:pPr>
        <w:spacing w:before="120"/>
        <w:rPr>
          <w:rFonts w:ascii="Arial" w:hAnsi="Arial" w:cs="Arial"/>
          <w:sz w:val="22"/>
          <w:szCs w:val="22"/>
        </w:rPr>
      </w:pPr>
      <w:r w:rsidRPr="00AC3F6D">
        <w:rPr>
          <w:rFonts w:ascii="Arial" w:hAnsi="Arial" w:cs="Arial"/>
          <w:sz w:val="22"/>
          <w:szCs w:val="22"/>
        </w:rPr>
        <w:t>Nonfarm employment in the Iowa City metropolitan statistical area is down 200 jobs from last month. Overall, government shed just 100 jobs, with a loss of 800 in local government and state government adding 700 jobs. Trade, transportation and warehousing added 200 jobs. Goods producing industries increased employment by 100.</w:t>
      </w:r>
    </w:p>
    <w:p w:rsidR="00F639F2" w:rsidRDefault="00AC3F6D" w:rsidP="00AC3F6D">
      <w:pPr>
        <w:spacing w:before="120"/>
        <w:rPr>
          <w:rFonts w:ascii="Arial" w:eastAsiaTheme="minorEastAsia" w:hAnsi="Arial" w:cs="Arial"/>
          <w:b/>
        </w:rPr>
      </w:pPr>
      <w:r w:rsidRPr="00AC3F6D">
        <w:rPr>
          <w:rFonts w:ascii="Arial" w:hAnsi="Arial" w:cs="Arial"/>
          <w:sz w:val="22"/>
          <w:szCs w:val="22"/>
        </w:rPr>
        <w:t xml:space="preserve">The metro area has added 2,700 jobs from one year ago with gains in nearly every sector. </w:t>
      </w:r>
      <w:proofErr w:type="gramStart"/>
      <w:r w:rsidRPr="00AC3F6D">
        <w:rPr>
          <w:rFonts w:ascii="Arial" w:hAnsi="Arial" w:cs="Arial"/>
          <w:sz w:val="22"/>
          <w:szCs w:val="22"/>
        </w:rPr>
        <w:t>Goods producing added 600 jobs from one year ago, the best over-the-year increase the industry has</w:t>
      </w:r>
      <w:proofErr w:type="gramEnd"/>
      <w:r w:rsidRPr="00AC3F6D">
        <w:rPr>
          <w:rFonts w:ascii="Arial" w:hAnsi="Arial" w:cs="Arial"/>
          <w:sz w:val="22"/>
          <w:szCs w:val="22"/>
        </w:rPr>
        <w:t xml:space="preserve"> seen since late 2013.</w:t>
      </w:r>
    </w:p>
    <w:p w:rsidR="00AC3F6D" w:rsidRDefault="00AC3F6D" w:rsidP="00AE4E39">
      <w:pPr>
        <w:rPr>
          <w:rFonts w:ascii="Arial" w:eastAsiaTheme="minorEastAsia" w:hAnsi="Arial" w:cs="Arial"/>
          <w:b/>
        </w:rPr>
      </w:pPr>
    </w:p>
    <w:p w:rsidR="00AC3F6D" w:rsidRDefault="00AC3F6D" w:rsidP="00AE4E39">
      <w:pPr>
        <w:rPr>
          <w:rFonts w:ascii="Arial" w:eastAsiaTheme="minorEastAsia" w:hAnsi="Arial" w:cs="Arial"/>
          <w:b/>
        </w:rPr>
      </w:pPr>
    </w:p>
    <w:p w:rsidR="00AC3F6D" w:rsidRDefault="00AC3F6D" w:rsidP="00AE4E39">
      <w:pPr>
        <w:rPr>
          <w:rFonts w:ascii="Arial" w:eastAsiaTheme="minorEastAsia" w:hAnsi="Arial" w:cs="Arial"/>
          <w:b/>
        </w:rPr>
      </w:pPr>
    </w:p>
    <w:p w:rsidR="00AE4E39" w:rsidRDefault="00AE4E39" w:rsidP="00AE4E39">
      <w:pPr>
        <w:rPr>
          <w:rFonts w:ascii="Arial" w:eastAsiaTheme="minorEastAsia" w:hAnsi="Arial" w:cs="Arial"/>
          <w:b/>
        </w:rPr>
      </w:pPr>
      <w:r w:rsidRPr="002C0ABA">
        <w:rPr>
          <w:rFonts w:ascii="Arial" w:eastAsiaTheme="minorEastAsia" w:hAnsi="Arial" w:cs="Arial"/>
          <w:b/>
        </w:rPr>
        <w:lastRenderedPageBreak/>
        <w:t>Sioux City</w:t>
      </w:r>
    </w:p>
    <w:p w:rsidR="00D45AD7" w:rsidRDefault="00D45AD7" w:rsidP="00D45AD7">
      <w:pPr>
        <w:spacing w:before="120" w:after="120"/>
        <w:jc w:val="both"/>
        <w:rPr>
          <w:rFonts w:ascii="Arial" w:eastAsiaTheme="minorEastAsia" w:hAnsi="Arial" w:cs="Arial"/>
        </w:rPr>
      </w:pPr>
      <w:r w:rsidRPr="00B95C86">
        <w:rPr>
          <w:rFonts w:ascii="Arial" w:eastAsiaTheme="minorEastAsia" w:hAnsi="Arial" w:cs="Arial"/>
          <w:i/>
          <w:sz w:val="18"/>
          <w:szCs w:val="18"/>
        </w:rPr>
        <w:t>The Sioux City MSA has been redefined. It now includes: Dixon and Dakota Counties in Nebraska, Union County in South Dakota, and Woodbury and Plymouth Counties in Iowa.</w:t>
      </w:r>
      <w:r>
        <w:rPr>
          <w:rFonts w:ascii="Arial" w:eastAsiaTheme="minorEastAsia" w:hAnsi="Arial" w:cs="Arial"/>
        </w:rPr>
        <w:t xml:space="preserve"> </w:t>
      </w:r>
    </w:p>
    <w:p w:rsidR="00AC3F6D" w:rsidRPr="00AC3F6D" w:rsidRDefault="00AC3F6D" w:rsidP="00AC3F6D">
      <w:pPr>
        <w:pStyle w:val="Heading1"/>
        <w:spacing w:before="120"/>
        <w:jc w:val="both"/>
        <w:rPr>
          <w:rFonts w:ascii="Arial" w:hAnsi="Arial" w:cs="Arial"/>
          <w:b w:val="0"/>
          <w:bCs w:val="0"/>
          <w:sz w:val="22"/>
          <w:szCs w:val="22"/>
        </w:rPr>
      </w:pPr>
      <w:r w:rsidRPr="00AC3F6D">
        <w:rPr>
          <w:rFonts w:ascii="Arial" w:hAnsi="Arial" w:cs="Arial"/>
          <w:b w:val="0"/>
          <w:bCs w:val="0"/>
          <w:sz w:val="22"/>
          <w:szCs w:val="22"/>
        </w:rPr>
        <w:t xml:space="preserve">Employment in the Sioux City MSA trimmed 1,700 jobs from June, driven by seasonal declines in local government. There were no sectors with a jobs gain. Goods producing shed 500 jobs, with 200 of those jobs in the manufacturing sector. Leisure and hospitality is unchanged from one year ago. </w:t>
      </w:r>
    </w:p>
    <w:p w:rsidR="00AC3F6D" w:rsidRDefault="00AC3F6D" w:rsidP="00AC3F6D">
      <w:pPr>
        <w:pStyle w:val="Heading1"/>
        <w:spacing w:before="120"/>
        <w:jc w:val="both"/>
        <w:rPr>
          <w:rFonts w:ascii="Arial" w:hAnsi="Arial" w:cs="Arial"/>
          <w:b w:val="0"/>
          <w:bCs w:val="0"/>
          <w:sz w:val="22"/>
          <w:szCs w:val="22"/>
        </w:rPr>
      </w:pPr>
      <w:r w:rsidRPr="00AC3F6D">
        <w:rPr>
          <w:rFonts w:ascii="Arial" w:hAnsi="Arial" w:cs="Arial"/>
          <w:b w:val="0"/>
          <w:bCs w:val="0"/>
          <w:sz w:val="22"/>
          <w:szCs w:val="22"/>
        </w:rPr>
        <w:t xml:space="preserve">Overall, the area has added 400 jobs from one year ago.  Manufacturing has pared 400 jobs from one year ago and is the only sector with an over-the-year loss. Leisure and hospitality added 600 jobs and trade, transportation and warehousing and government are unchanged. </w:t>
      </w:r>
    </w:p>
    <w:p w:rsidR="00AC3F6D" w:rsidRDefault="00AC3F6D" w:rsidP="00AC3F6D">
      <w:pPr>
        <w:pStyle w:val="Heading1"/>
        <w:rPr>
          <w:rFonts w:ascii="Arial" w:hAnsi="Arial" w:cs="Arial"/>
          <w:b w:val="0"/>
          <w:bCs w:val="0"/>
          <w:sz w:val="22"/>
          <w:szCs w:val="22"/>
        </w:rPr>
      </w:pPr>
    </w:p>
    <w:p w:rsidR="00AE4E39" w:rsidRDefault="00AE4E39" w:rsidP="00AC3F6D">
      <w:pPr>
        <w:pStyle w:val="Heading1"/>
        <w:rPr>
          <w:rFonts w:ascii="Arial" w:hAnsi="Arial" w:cs="Arial"/>
        </w:rPr>
      </w:pPr>
      <w:r w:rsidRPr="002C0ABA">
        <w:rPr>
          <w:rFonts w:ascii="Arial" w:hAnsi="Arial" w:cs="Arial"/>
        </w:rPr>
        <w:t>Waterloo/Cedar Falls</w:t>
      </w:r>
    </w:p>
    <w:p w:rsidR="00AC3F6D" w:rsidRPr="00AC3F6D" w:rsidRDefault="00AC3F6D" w:rsidP="00AC3F6D">
      <w:pPr>
        <w:spacing w:before="120"/>
        <w:jc w:val="both"/>
        <w:rPr>
          <w:rFonts w:ascii="Arial" w:hAnsi="Arial" w:cs="Arial"/>
          <w:sz w:val="22"/>
          <w:szCs w:val="22"/>
        </w:rPr>
      </w:pPr>
      <w:r w:rsidRPr="00AC3F6D">
        <w:rPr>
          <w:rFonts w:ascii="Arial" w:hAnsi="Arial" w:cs="Arial"/>
          <w:sz w:val="22"/>
          <w:szCs w:val="22"/>
        </w:rPr>
        <w:t>The Waterloo/Cedar Falls metropolitan statistical area’s total nonfarm employment is down 1,600 jobs from the previous month and stands at 88,300. The only two sectors not affected by the jobs losses were leisure and hospitality and financial activities. The bulk of the jobs pared were education related with a loss of 600 in local government and 300 in educational and health services.</w:t>
      </w:r>
    </w:p>
    <w:p w:rsidR="00110E10" w:rsidRPr="00BE38BF" w:rsidRDefault="00AC3F6D" w:rsidP="00AC3F6D">
      <w:pPr>
        <w:spacing w:before="120"/>
        <w:jc w:val="both"/>
        <w:rPr>
          <w:rFonts w:ascii="Arial" w:eastAsiaTheme="minorEastAsia" w:hAnsi="Arial" w:cs="Arial"/>
        </w:rPr>
      </w:pPr>
      <w:r w:rsidRPr="00AC3F6D">
        <w:rPr>
          <w:rFonts w:ascii="Arial" w:hAnsi="Arial" w:cs="Arial"/>
          <w:sz w:val="22"/>
          <w:szCs w:val="22"/>
        </w:rPr>
        <w:t>Over the year, employment is down 1,000 jobs, with manufacturing experiencing the greatest loss (-700). Other sectors paring jobs include; trade, transportation and warehousing (-400), and government (-300).</w:t>
      </w:r>
    </w:p>
    <w:sectPr w:rsidR="00110E10" w:rsidRPr="00BE38BF" w:rsidSect="003D2EA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ABA" w:rsidRDefault="002C0ABA" w:rsidP="002A4668">
      <w:r>
        <w:separator/>
      </w:r>
    </w:p>
  </w:endnote>
  <w:endnote w:type="continuationSeparator" w:id="0">
    <w:p w:rsidR="002C0ABA" w:rsidRDefault="002C0ABA" w:rsidP="002A4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ABA" w:rsidRDefault="002C0ABA" w:rsidP="002A4668">
      <w:r>
        <w:separator/>
      </w:r>
    </w:p>
  </w:footnote>
  <w:footnote w:type="continuationSeparator" w:id="0">
    <w:p w:rsidR="002C0ABA" w:rsidRDefault="002C0ABA" w:rsidP="002A46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activeWritingStyle w:appName="MSWord" w:lang="en-US"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3F8"/>
    <w:rsid w:val="00014D89"/>
    <w:rsid w:val="00015146"/>
    <w:rsid w:val="00023F30"/>
    <w:rsid w:val="00024D0D"/>
    <w:rsid w:val="000251A6"/>
    <w:rsid w:val="00027BA3"/>
    <w:rsid w:val="00032406"/>
    <w:rsid w:val="00040F71"/>
    <w:rsid w:val="00042ABE"/>
    <w:rsid w:val="00045C37"/>
    <w:rsid w:val="00051841"/>
    <w:rsid w:val="00051B49"/>
    <w:rsid w:val="00054B5B"/>
    <w:rsid w:val="00057AA7"/>
    <w:rsid w:val="00064429"/>
    <w:rsid w:val="00065FDB"/>
    <w:rsid w:val="00070D2E"/>
    <w:rsid w:val="00084826"/>
    <w:rsid w:val="00086E8E"/>
    <w:rsid w:val="00087FA3"/>
    <w:rsid w:val="00095FB8"/>
    <w:rsid w:val="000970CF"/>
    <w:rsid w:val="000A01A9"/>
    <w:rsid w:val="000A2BF3"/>
    <w:rsid w:val="000A4860"/>
    <w:rsid w:val="000B760B"/>
    <w:rsid w:val="000C5858"/>
    <w:rsid w:val="000C5E48"/>
    <w:rsid w:val="000D161E"/>
    <w:rsid w:val="000D4A4E"/>
    <w:rsid w:val="000F3863"/>
    <w:rsid w:val="000F4EF6"/>
    <w:rsid w:val="00100246"/>
    <w:rsid w:val="001011A7"/>
    <w:rsid w:val="001104BA"/>
    <w:rsid w:val="00110E10"/>
    <w:rsid w:val="00115772"/>
    <w:rsid w:val="00126031"/>
    <w:rsid w:val="0013602A"/>
    <w:rsid w:val="00140402"/>
    <w:rsid w:val="00141B70"/>
    <w:rsid w:val="00150ED4"/>
    <w:rsid w:val="00153878"/>
    <w:rsid w:val="00153886"/>
    <w:rsid w:val="001539F5"/>
    <w:rsid w:val="00157B44"/>
    <w:rsid w:val="001643DC"/>
    <w:rsid w:val="001654BA"/>
    <w:rsid w:val="0017239F"/>
    <w:rsid w:val="00182F49"/>
    <w:rsid w:val="0018322B"/>
    <w:rsid w:val="00190607"/>
    <w:rsid w:val="001955EF"/>
    <w:rsid w:val="001A0BE0"/>
    <w:rsid w:val="001A1FB0"/>
    <w:rsid w:val="001A4C9E"/>
    <w:rsid w:val="001A547A"/>
    <w:rsid w:val="001A6EF3"/>
    <w:rsid w:val="001B0E33"/>
    <w:rsid w:val="001C1168"/>
    <w:rsid w:val="001D01D4"/>
    <w:rsid w:val="001D3E6A"/>
    <w:rsid w:val="001D737C"/>
    <w:rsid w:val="001E00D5"/>
    <w:rsid w:val="001E213D"/>
    <w:rsid w:val="001E292C"/>
    <w:rsid w:val="001E69CB"/>
    <w:rsid w:val="001F0D36"/>
    <w:rsid w:val="001F1A6F"/>
    <w:rsid w:val="002108D8"/>
    <w:rsid w:val="0021210B"/>
    <w:rsid w:val="0021535E"/>
    <w:rsid w:val="00226508"/>
    <w:rsid w:val="00231409"/>
    <w:rsid w:val="00240998"/>
    <w:rsid w:val="00241A02"/>
    <w:rsid w:val="00246817"/>
    <w:rsid w:val="00277F5F"/>
    <w:rsid w:val="00280EA1"/>
    <w:rsid w:val="00282111"/>
    <w:rsid w:val="00286012"/>
    <w:rsid w:val="00294372"/>
    <w:rsid w:val="002A4668"/>
    <w:rsid w:val="002B025E"/>
    <w:rsid w:val="002C0ABA"/>
    <w:rsid w:val="002C6F3D"/>
    <w:rsid w:val="002D1984"/>
    <w:rsid w:val="002D26CE"/>
    <w:rsid w:val="002D4D25"/>
    <w:rsid w:val="002F1B5C"/>
    <w:rsid w:val="002F6191"/>
    <w:rsid w:val="003004C8"/>
    <w:rsid w:val="003011E9"/>
    <w:rsid w:val="003028F1"/>
    <w:rsid w:val="00304783"/>
    <w:rsid w:val="0031080F"/>
    <w:rsid w:val="00310F6F"/>
    <w:rsid w:val="00313A8E"/>
    <w:rsid w:val="00315396"/>
    <w:rsid w:val="0031679B"/>
    <w:rsid w:val="00333353"/>
    <w:rsid w:val="0034087F"/>
    <w:rsid w:val="003442CD"/>
    <w:rsid w:val="00345944"/>
    <w:rsid w:val="00350391"/>
    <w:rsid w:val="00353F07"/>
    <w:rsid w:val="003700E5"/>
    <w:rsid w:val="00373515"/>
    <w:rsid w:val="00377CA4"/>
    <w:rsid w:val="003813DC"/>
    <w:rsid w:val="00387E2B"/>
    <w:rsid w:val="003966EB"/>
    <w:rsid w:val="00397CE2"/>
    <w:rsid w:val="003A18C0"/>
    <w:rsid w:val="003A46DC"/>
    <w:rsid w:val="003A5CA7"/>
    <w:rsid w:val="003B2729"/>
    <w:rsid w:val="003B61B8"/>
    <w:rsid w:val="003B6870"/>
    <w:rsid w:val="003C7F63"/>
    <w:rsid w:val="003D022D"/>
    <w:rsid w:val="003D2EA4"/>
    <w:rsid w:val="003D66C0"/>
    <w:rsid w:val="003E2281"/>
    <w:rsid w:val="003E4463"/>
    <w:rsid w:val="003F53E5"/>
    <w:rsid w:val="0040083A"/>
    <w:rsid w:val="00404DE8"/>
    <w:rsid w:val="0040611A"/>
    <w:rsid w:val="00416941"/>
    <w:rsid w:val="00425E84"/>
    <w:rsid w:val="004415A8"/>
    <w:rsid w:val="00442011"/>
    <w:rsid w:val="00446A60"/>
    <w:rsid w:val="004575D5"/>
    <w:rsid w:val="004640F4"/>
    <w:rsid w:val="00465E70"/>
    <w:rsid w:val="00467319"/>
    <w:rsid w:val="00490F2C"/>
    <w:rsid w:val="00492A21"/>
    <w:rsid w:val="0049732A"/>
    <w:rsid w:val="004A4E6D"/>
    <w:rsid w:val="004B6AF4"/>
    <w:rsid w:val="004D6C0F"/>
    <w:rsid w:val="004E1D11"/>
    <w:rsid w:val="004E5D56"/>
    <w:rsid w:val="004F2FB3"/>
    <w:rsid w:val="004F6ADE"/>
    <w:rsid w:val="004F7586"/>
    <w:rsid w:val="005042C8"/>
    <w:rsid w:val="00511D95"/>
    <w:rsid w:val="00515B5E"/>
    <w:rsid w:val="00515F16"/>
    <w:rsid w:val="005232C5"/>
    <w:rsid w:val="00530640"/>
    <w:rsid w:val="00530EDF"/>
    <w:rsid w:val="00535033"/>
    <w:rsid w:val="00535034"/>
    <w:rsid w:val="00537C21"/>
    <w:rsid w:val="0054735B"/>
    <w:rsid w:val="00561005"/>
    <w:rsid w:val="00567879"/>
    <w:rsid w:val="005744E7"/>
    <w:rsid w:val="00574AA8"/>
    <w:rsid w:val="00580D47"/>
    <w:rsid w:val="005829A6"/>
    <w:rsid w:val="00591BFB"/>
    <w:rsid w:val="0059455A"/>
    <w:rsid w:val="005A2C4E"/>
    <w:rsid w:val="005A2E67"/>
    <w:rsid w:val="005C318A"/>
    <w:rsid w:val="005C4FD2"/>
    <w:rsid w:val="005C51FD"/>
    <w:rsid w:val="005C6A32"/>
    <w:rsid w:val="005C71D3"/>
    <w:rsid w:val="005C7B05"/>
    <w:rsid w:val="005D106D"/>
    <w:rsid w:val="005D164A"/>
    <w:rsid w:val="005D7FBA"/>
    <w:rsid w:val="005E3B28"/>
    <w:rsid w:val="005E5CD2"/>
    <w:rsid w:val="005F55B8"/>
    <w:rsid w:val="00600B58"/>
    <w:rsid w:val="006027FF"/>
    <w:rsid w:val="006062E1"/>
    <w:rsid w:val="006117D3"/>
    <w:rsid w:val="00613757"/>
    <w:rsid w:val="00614C56"/>
    <w:rsid w:val="00632602"/>
    <w:rsid w:val="0063678E"/>
    <w:rsid w:val="006414E7"/>
    <w:rsid w:val="006419C2"/>
    <w:rsid w:val="00642F7C"/>
    <w:rsid w:val="00643511"/>
    <w:rsid w:val="006462A8"/>
    <w:rsid w:val="00655D0E"/>
    <w:rsid w:val="006656DC"/>
    <w:rsid w:val="006710E7"/>
    <w:rsid w:val="006803A0"/>
    <w:rsid w:val="00692702"/>
    <w:rsid w:val="006A01BD"/>
    <w:rsid w:val="006A3F74"/>
    <w:rsid w:val="006A68DD"/>
    <w:rsid w:val="006B0909"/>
    <w:rsid w:val="006B6FDF"/>
    <w:rsid w:val="006C1E05"/>
    <w:rsid w:val="006C22FC"/>
    <w:rsid w:val="006C3AB7"/>
    <w:rsid w:val="006D1291"/>
    <w:rsid w:val="006D1AD3"/>
    <w:rsid w:val="006D7F6A"/>
    <w:rsid w:val="006E09C1"/>
    <w:rsid w:val="006E2884"/>
    <w:rsid w:val="006E437D"/>
    <w:rsid w:val="006E59D9"/>
    <w:rsid w:val="006F7428"/>
    <w:rsid w:val="00700203"/>
    <w:rsid w:val="00701539"/>
    <w:rsid w:val="00702830"/>
    <w:rsid w:val="00705883"/>
    <w:rsid w:val="007103CF"/>
    <w:rsid w:val="00713363"/>
    <w:rsid w:val="00716266"/>
    <w:rsid w:val="00721896"/>
    <w:rsid w:val="007245E4"/>
    <w:rsid w:val="007308F4"/>
    <w:rsid w:val="00730BDD"/>
    <w:rsid w:val="00731271"/>
    <w:rsid w:val="007514EA"/>
    <w:rsid w:val="00757CDC"/>
    <w:rsid w:val="00757F3F"/>
    <w:rsid w:val="007600E4"/>
    <w:rsid w:val="00772789"/>
    <w:rsid w:val="007746A5"/>
    <w:rsid w:val="00797077"/>
    <w:rsid w:val="007A2213"/>
    <w:rsid w:val="007A418B"/>
    <w:rsid w:val="007A5DD6"/>
    <w:rsid w:val="007A700A"/>
    <w:rsid w:val="007B0E21"/>
    <w:rsid w:val="007B2A36"/>
    <w:rsid w:val="007C1A70"/>
    <w:rsid w:val="007C1C46"/>
    <w:rsid w:val="007D465F"/>
    <w:rsid w:val="007E2A23"/>
    <w:rsid w:val="007E37DC"/>
    <w:rsid w:val="00801908"/>
    <w:rsid w:val="008045CB"/>
    <w:rsid w:val="0080534F"/>
    <w:rsid w:val="0081007E"/>
    <w:rsid w:val="008109C1"/>
    <w:rsid w:val="00817E45"/>
    <w:rsid w:val="00823C05"/>
    <w:rsid w:val="0083521F"/>
    <w:rsid w:val="0085144F"/>
    <w:rsid w:val="00853E1A"/>
    <w:rsid w:val="00860446"/>
    <w:rsid w:val="008622DE"/>
    <w:rsid w:val="00863CCA"/>
    <w:rsid w:val="008644A3"/>
    <w:rsid w:val="008655E5"/>
    <w:rsid w:val="008659C1"/>
    <w:rsid w:val="0087368E"/>
    <w:rsid w:val="00874BDC"/>
    <w:rsid w:val="008761A5"/>
    <w:rsid w:val="00887094"/>
    <w:rsid w:val="008874BA"/>
    <w:rsid w:val="00891E0C"/>
    <w:rsid w:val="008A6486"/>
    <w:rsid w:val="008C06C7"/>
    <w:rsid w:val="008C0EF5"/>
    <w:rsid w:val="008C4433"/>
    <w:rsid w:val="008C579B"/>
    <w:rsid w:val="008C6814"/>
    <w:rsid w:val="008D013D"/>
    <w:rsid w:val="008D4627"/>
    <w:rsid w:val="008D766B"/>
    <w:rsid w:val="008E1FC7"/>
    <w:rsid w:val="008E34DA"/>
    <w:rsid w:val="008E5869"/>
    <w:rsid w:val="008E7200"/>
    <w:rsid w:val="008F1008"/>
    <w:rsid w:val="008F14A9"/>
    <w:rsid w:val="008F6471"/>
    <w:rsid w:val="008F77AC"/>
    <w:rsid w:val="00902B99"/>
    <w:rsid w:val="00910675"/>
    <w:rsid w:val="009130F1"/>
    <w:rsid w:val="00917CE7"/>
    <w:rsid w:val="00925102"/>
    <w:rsid w:val="00933CBA"/>
    <w:rsid w:val="0093713B"/>
    <w:rsid w:val="00945BA8"/>
    <w:rsid w:val="009558BC"/>
    <w:rsid w:val="00956543"/>
    <w:rsid w:val="00961A1D"/>
    <w:rsid w:val="00963241"/>
    <w:rsid w:val="0097070E"/>
    <w:rsid w:val="0097169E"/>
    <w:rsid w:val="009735AB"/>
    <w:rsid w:val="00973F2B"/>
    <w:rsid w:val="00974443"/>
    <w:rsid w:val="009744BF"/>
    <w:rsid w:val="009855E9"/>
    <w:rsid w:val="009A1A85"/>
    <w:rsid w:val="009A6917"/>
    <w:rsid w:val="009B2345"/>
    <w:rsid w:val="009B2C54"/>
    <w:rsid w:val="009B59C5"/>
    <w:rsid w:val="009C0263"/>
    <w:rsid w:val="009C7392"/>
    <w:rsid w:val="009D0238"/>
    <w:rsid w:val="009E173D"/>
    <w:rsid w:val="009E2651"/>
    <w:rsid w:val="009E492A"/>
    <w:rsid w:val="009E5862"/>
    <w:rsid w:val="009E6E10"/>
    <w:rsid w:val="009F3547"/>
    <w:rsid w:val="009F5705"/>
    <w:rsid w:val="00A02EC1"/>
    <w:rsid w:val="00A1594B"/>
    <w:rsid w:val="00A159E2"/>
    <w:rsid w:val="00A16133"/>
    <w:rsid w:val="00A17D75"/>
    <w:rsid w:val="00A2353D"/>
    <w:rsid w:val="00A26633"/>
    <w:rsid w:val="00A27EFC"/>
    <w:rsid w:val="00A33545"/>
    <w:rsid w:val="00A344FF"/>
    <w:rsid w:val="00A37B60"/>
    <w:rsid w:val="00A5032D"/>
    <w:rsid w:val="00A51181"/>
    <w:rsid w:val="00A550D5"/>
    <w:rsid w:val="00A57C70"/>
    <w:rsid w:val="00A61F11"/>
    <w:rsid w:val="00A663E5"/>
    <w:rsid w:val="00A7522E"/>
    <w:rsid w:val="00A82826"/>
    <w:rsid w:val="00A84320"/>
    <w:rsid w:val="00A91D00"/>
    <w:rsid w:val="00A94917"/>
    <w:rsid w:val="00A97D4C"/>
    <w:rsid w:val="00AA024D"/>
    <w:rsid w:val="00AA0358"/>
    <w:rsid w:val="00AA4C3C"/>
    <w:rsid w:val="00AB5FF2"/>
    <w:rsid w:val="00AB72DD"/>
    <w:rsid w:val="00AC3F6D"/>
    <w:rsid w:val="00AC5ABD"/>
    <w:rsid w:val="00AD26F8"/>
    <w:rsid w:val="00AD64E9"/>
    <w:rsid w:val="00AD7365"/>
    <w:rsid w:val="00AE314D"/>
    <w:rsid w:val="00AE4E39"/>
    <w:rsid w:val="00AF1236"/>
    <w:rsid w:val="00AF45B9"/>
    <w:rsid w:val="00AF47EE"/>
    <w:rsid w:val="00AF528D"/>
    <w:rsid w:val="00B10ECE"/>
    <w:rsid w:val="00B124DC"/>
    <w:rsid w:val="00B15C92"/>
    <w:rsid w:val="00B33B3A"/>
    <w:rsid w:val="00B34D93"/>
    <w:rsid w:val="00B41D1E"/>
    <w:rsid w:val="00B5060B"/>
    <w:rsid w:val="00B51087"/>
    <w:rsid w:val="00B64C23"/>
    <w:rsid w:val="00B66815"/>
    <w:rsid w:val="00B72445"/>
    <w:rsid w:val="00B75FB2"/>
    <w:rsid w:val="00B76739"/>
    <w:rsid w:val="00B917CD"/>
    <w:rsid w:val="00B919F0"/>
    <w:rsid w:val="00B957A8"/>
    <w:rsid w:val="00B96D26"/>
    <w:rsid w:val="00BA36C3"/>
    <w:rsid w:val="00BB5CC8"/>
    <w:rsid w:val="00BB673B"/>
    <w:rsid w:val="00BC56A9"/>
    <w:rsid w:val="00BC658A"/>
    <w:rsid w:val="00BD2564"/>
    <w:rsid w:val="00BE38BF"/>
    <w:rsid w:val="00BE3A93"/>
    <w:rsid w:val="00BE558C"/>
    <w:rsid w:val="00BF44DE"/>
    <w:rsid w:val="00C00A3B"/>
    <w:rsid w:val="00C00CF2"/>
    <w:rsid w:val="00C20DAA"/>
    <w:rsid w:val="00C225B8"/>
    <w:rsid w:val="00C310E3"/>
    <w:rsid w:val="00C31D3B"/>
    <w:rsid w:val="00C321E4"/>
    <w:rsid w:val="00C353BC"/>
    <w:rsid w:val="00C365AD"/>
    <w:rsid w:val="00C428A3"/>
    <w:rsid w:val="00C43543"/>
    <w:rsid w:val="00C476EF"/>
    <w:rsid w:val="00C53E51"/>
    <w:rsid w:val="00C5482F"/>
    <w:rsid w:val="00C55E12"/>
    <w:rsid w:val="00C57801"/>
    <w:rsid w:val="00C60D22"/>
    <w:rsid w:val="00C93CC9"/>
    <w:rsid w:val="00CA6A52"/>
    <w:rsid w:val="00CB1A0E"/>
    <w:rsid w:val="00CB576C"/>
    <w:rsid w:val="00CB5E51"/>
    <w:rsid w:val="00CC0C15"/>
    <w:rsid w:val="00CD6C3E"/>
    <w:rsid w:val="00CE023E"/>
    <w:rsid w:val="00CE035C"/>
    <w:rsid w:val="00CE3C3E"/>
    <w:rsid w:val="00CF0512"/>
    <w:rsid w:val="00CF424D"/>
    <w:rsid w:val="00CF6D0A"/>
    <w:rsid w:val="00D16106"/>
    <w:rsid w:val="00D16394"/>
    <w:rsid w:val="00D2083D"/>
    <w:rsid w:val="00D226AE"/>
    <w:rsid w:val="00D249B7"/>
    <w:rsid w:val="00D2608D"/>
    <w:rsid w:val="00D325DC"/>
    <w:rsid w:val="00D325E2"/>
    <w:rsid w:val="00D34004"/>
    <w:rsid w:val="00D35A3B"/>
    <w:rsid w:val="00D42429"/>
    <w:rsid w:val="00D42B82"/>
    <w:rsid w:val="00D45AD7"/>
    <w:rsid w:val="00D46864"/>
    <w:rsid w:val="00D4688D"/>
    <w:rsid w:val="00D5327B"/>
    <w:rsid w:val="00D53655"/>
    <w:rsid w:val="00D6448C"/>
    <w:rsid w:val="00D648F7"/>
    <w:rsid w:val="00D71D8E"/>
    <w:rsid w:val="00D731FA"/>
    <w:rsid w:val="00D74539"/>
    <w:rsid w:val="00D774B4"/>
    <w:rsid w:val="00D81088"/>
    <w:rsid w:val="00D81418"/>
    <w:rsid w:val="00D81B7D"/>
    <w:rsid w:val="00D8322A"/>
    <w:rsid w:val="00D83FB7"/>
    <w:rsid w:val="00D91D72"/>
    <w:rsid w:val="00D92A53"/>
    <w:rsid w:val="00D92DD0"/>
    <w:rsid w:val="00D95C11"/>
    <w:rsid w:val="00DC17B5"/>
    <w:rsid w:val="00DC591A"/>
    <w:rsid w:val="00DC6B24"/>
    <w:rsid w:val="00DD0A88"/>
    <w:rsid w:val="00DD268B"/>
    <w:rsid w:val="00DD3806"/>
    <w:rsid w:val="00DE49C1"/>
    <w:rsid w:val="00DE54CB"/>
    <w:rsid w:val="00DE568C"/>
    <w:rsid w:val="00DE5B75"/>
    <w:rsid w:val="00DF380E"/>
    <w:rsid w:val="00E000E7"/>
    <w:rsid w:val="00E0314A"/>
    <w:rsid w:val="00E0755B"/>
    <w:rsid w:val="00E10968"/>
    <w:rsid w:val="00E133AA"/>
    <w:rsid w:val="00E136EB"/>
    <w:rsid w:val="00E14BA9"/>
    <w:rsid w:val="00E25FB7"/>
    <w:rsid w:val="00E31C04"/>
    <w:rsid w:val="00E3282B"/>
    <w:rsid w:val="00E32C62"/>
    <w:rsid w:val="00E36EBE"/>
    <w:rsid w:val="00E40231"/>
    <w:rsid w:val="00E4452B"/>
    <w:rsid w:val="00E4475A"/>
    <w:rsid w:val="00E44868"/>
    <w:rsid w:val="00E50476"/>
    <w:rsid w:val="00E711A5"/>
    <w:rsid w:val="00E71A05"/>
    <w:rsid w:val="00E722A9"/>
    <w:rsid w:val="00E7738A"/>
    <w:rsid w:val="00E77D78"/>
    <w:rsid w:val="00E838D9"/>
    <w:rsid w:val="00E85C0C"/>
    <w:rsid w:val="00E93C7A"/>
    <w:rsid w:val="00E973E9"/>
    <w:rsid w:val="00EA4D37"/>
    <w:rsid w:val="00EB3FCC"/>
    <w:rsid w:val="00EB6201"/>
    <w:rsid w:val="00EC2C03"/>
    <w:rsid w:val="00EC3117"/>
    <w:rsid w:val="00ED254D"/>
    <w:rsid w:val="00ED3BEB"/>
    <w:rsid w:val="00ED54C5"/>
    <w:rsid w:val="00EE02C9"/>
    <w:rsid w:val="00EE18D9"/>
    <w:rsid w:val="00EE4F96"/>
    <w:rsid w:val="00EE6816"/>
    <w:rsid w:val="00EF40FE"/>
    <w:rsid w:val="00EF45D4"/>
    <w:rsid w:val="00EF53A3"/>
    <w:rsid w:val="00EF5794"/>
    <w:rsid w:val="00EF753F"/>
    <w:rsid w:val="00F05150"/>
    <w:rsid w:val="00F05FE5"/>
    <w:rsid w:val="00F15975"/>
    <w:rsid w:val="00F164D5"/>
    <w:rsid w:val="00F17392"/>
    <w:rsid w:val="00F232C5"/>
    <w:rsid w:val="00F257FB"/>
    <w:rsid w:val="00F25AEA"/>
    <w:rsid w:val="00F3654F"/>
    <w:rsid w:val="00F40D1E"/>
    <w:rsid w:val="00F436D6"/>
    <w:rsid w:val="00F45B72"/>
    <w:rsid w:val="00F5483F"/>
    <w:rsid w:val="00F639F2"/>
    <w:rsid w:val="00F73B52"/>
    <w:rsid w:val="00F81BEB"/>
    <w:rsid w:val="00F92C5F"/>
    <w:rsid w:val="00FA03F8"/>
    <w:rsid w:val="00FA197E"/>
    <w:rsid w:val="00FB1BC3"/>
    <w:rsid w:val="00FB3752"/>
    <w:rsid w:val="00FB3F47"/>
    <w:rsid w:val="00FC3FBA"/>
    <w:rsid w:val="00FC4071"/>
    <w:rsid w:val="00FC45E7"/>
    <w:rsid w:val="00FE480F"/>
    <w:rsid w:val="00FE6B71"/>
    <w:rsid w:val="00FF037F"/>
    <w:rsid w:val="00FF1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6012"/>
    <w:rPr>
      <w:sz w:val="24"/>
      <w:szCs w:val="24"/>
    </w:rPr>
  </w:style>
  <w:style w:type="paragraph" w:styleId="Heading1">
    <w:name w:val="heading 1"/>
    <w:basedOn w:val="Normal"/>
    <w:next w:val="Normal"/>
    <w:qFormat/>
    <w:rsid w:val="00286012"/>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A36C3"/>
    <w:rPr>
      <w:rFonts w:ascii="Tahoma" w:hAnsi="Tahoma" w:cs="Tahoma"/>
      <w:sz w:val="16"/>
      <w:szCs w:val="16"/>
    </w:rPr>
  </w:style>
  <w:style w:type="paragraph" w:styleId="BodyText">
    <w:name w:val="Body Text"/>
    <w:basedOn w:val="Normal"/>
    <w:rsid w:val="003700E5"/>
    <w:rPr>
      <w:szCs w:val="20"/>
    </w:rPr>
  </w:style>
  <w:style w:type="paragraph" w:styleId="DocumentMap">
    <w:name w:val="Document Map"/>
    <w:basedOn w:val="Normal"/>
    <w:semiHidden/>
    <w:rsid w:val="00817E45"/>
    <w:pPr>
      <w:shd w:val="clear" w:color="auto" w:fill="000080"/>
    </w:pPr>
    <w:rPr>
      <w:rFonts w:ascii="Tahoma" w:hAnsi="Tahoma" w:cs="Tahoma"/>
      <w:sz w:val="20"/>
      <w:szCs w:val="20"/>
    </w:rPr>
  </w:style>
  <w:style w:type="character" w:styleId="CommentReference">
    <w:name w:val="annotation reference"/>
    <w:basedOn w:val="DefaultParagraphFont"/>
    <w:rsid w:val="00A2353D"/>
    <w:rPr>
      <w:sz w:val="16"/>
      <w:szCs w:val="16"/>
    </w:rPr>
  </w:style>
  <w:style w:type="paragraph" w:styleId="CommentText">
    <w:name w:val="annotation text"/>
    <w:basedOn w:val="Normal"/>
    <w:link w:val="CommentTextChar"/>
    <w:rsid w:val="00A2353D"/>
    <w:rPr>
      <w:sz w:val="20"/>
      <w:szCs w:val="20"/>
    </w:rPr>
  </w:style>
  <w:style w:type="character" w:customStyle="1" w:styleId="CommentTextChar">
    <w:name w:val="Comment Text Char"/>
    <w:basedOn w:val="DefaultParagraphFont"/>
    <w:link w:val="CommentText"/>
    <w:rsid w:val="00A2353D"/>
  </w:style>
  <w:style w:type="paragraph" w:styleId="Header">
    <w:name w:val="header"/>
    <w:basedOn w:val="Normal"/>
    <w:link w:val="HeaderChar"/>
    <w:rsid w:val="002A4668"/>
    <w:pPr>
      <w:tabs>
        <w:tab w:val="center" w:pos="4680"/>
        <w:tab w:val="right" w:pos="9360"/>
      </w:tabs>
    </w:pPr>
  </w:style>
  <w:style w:type="character" w:customStyle="1" w:styleId="HeaderChar">
    <w:name w:val="Header Char"/>
    <w:basedOn w:val="DefaultParagraphFont"/>
    <w:link w:val="Header"/>
    <w:rsid w:val="002A4668"/>
    <w:rPr>
      <w:sz w:val="24"/>
      <w:szCs w:val="24"/>
    </w:rPr>
  </w:style>
  <w:style w:type="paragraph" w:styleId="Footer">
    <w:name w:val="footer"/>
    <w:basedOn w:val="Normal"/>
    <w:link w:val="FooterChar"/>
    <w:rsid w:val="002A4668"/>
    <w:pPr>
      <w:tabs>
        <w:tab w:val="center" w:pos="4680"/>
        <w:tab w:val="right" w:pos="9360"/>
      </w:tabs>
    </w:pPr>
  </w:style>
  <w:style w:type="character" w:customStyle="1" w:styleId="FooterChar">
    <w:name w:val="Footer Char"/>
    <w:basedOn w:val="DefaultParagraphFont"/>
    <w:link w:val="Footer"/>
    <w:rsid w:val="002A466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6012"/>
    <w:rPr>
      <w:sz w:val="24"/>
      <w:szCs w:val="24"/>
    </w:rPr>
  </w:style>
  <w:style w:type="paragraph" w:styleId="Heading1">
    <w:name w:val="heading 1"/>
    <w:basedOn w:val="Normal"/>
    <w:next w:val="Normal"/>
    <w:qFormat/>
    <w:rsid w:val="00286012"/>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A36C3"/>
    <w:rPr>
      <w:rFonts w:ascii="Tahoma" w:hAnsi="Tahoma" w:cs="Tahoma"/>
      <w:sz w:val="16"/>
      <w:szCs w:val="16"/>
    </w:rPr>
  </w:style>
  <w:style w:type="paragraph" w:styleId="BodyText">
    <w:name w:val="Body Text"/>
    <w:basedOn w:val="Normal"/>
    <w:rsid w:val="003700E5"/>
    <w:rPr>
      <w:szCs w:val="20"/>
    </w:rPr>
  </w:style>
  <w:style w:type="paragraph" w:styleId="DocumentMap">
    <w:name w:val="Document Map"/>
    <w:basedOn w:val="Normal"/>
    <w:semiHidden/>
    <w:rsid w:val="00817E45"/>
    <w:pPr>
      <w:shd w:val="clear" w:color="auto" w:fill="000080"/>
    </w:pPr>
    <w:rPr>
      <w:rFonts w:ascii="Tahoma" w:hAnsi="Tahoma" w:cs="Tahoma"/>
      <w:sz w:val="20"/>
      <w:szCs w:val="20"/>
    </w:rPr>
  </w:style>
  <w:style w:type="character" w:styleId="CommentReference">
    <w:name w:val="annotation reference"/>
    <w:basedOn w:val="DefaultParagraphFont"/>
    <w:rsid w:val="00A2353D"/>
    <w:rPr>
      <w:sz w:val="16"/>
      <w:szCs w:val="16"/>
    </w:rPr>
  </w:style>
  <w:style w:type="paragraph" w:styleId="CommentText">
    <w:name w:val="annotation text"/>
    <w:basedOn w:val="Normal"/>
    <w:link w:val="CommentTextChar"/>
    <w:rsid w:val="00A2353D"/>
    <w:rPr>
      <w:sz w:val="20"/>
      <w:szCs w:val="20"/>
    </w:rPr>
  </w:style>
  <w:style w:type="character" w:customStyle="1" w:styleId="CommentTextChar">
    <w:name w:val="Comment Text Char"/>
    <w:basedOn w:val="DefaultParagraphFont"/>
    <w:link w:val="CommentText"/>
    <w:rsid w:val="00A2353D"/>
  </w:style>
  <w:style w:type="paragraph" w:styleId="Header">
    <w:name w:val="header"/>
    <w:basedOn w:val="Normal"/>
    <w:link w:val="HeaderChar"/>
    <w:rsid w:val="002A4668"/>
    <w:pPr>
      <w:tabs>
        <w:tab w:val="center" w:pos="4680"/>
        <w:tab w:val="right" w:pos="9360"/>
      </w:tabs>
    </w:pPr>
  </w:style>
  <w:style w:type="character" w:customStyle="1" w:styleId="HeaderChar">
    <w:name w:val="Header Char"/>
    <w:basedOn w:val="DefaultParagraphFont"/>
    <w:link w:val="Header"/>
    <w:rsid w:val="002A4668"/>
    <w:rPr>
      <w:sz w:val="24"/>
      <w:szCs w:val="24"/>
    </w:rPr>
  </w:style>
  <w:style w:type="paragraph" w:styleId="Footer">
    <w:name w:val="footer"/>
    <w:basedOn w:val="Normal"/>
    <w:link w:val="FooterChar"/>
    <w:rsid w:val="002A4668"/>
    <w:pPr>
      <w:tabs>
        <w:tab w:val="center" w:pos="4680"/>
        <w:tab w:val="right" w:pos="9360"/>
      </w:tabs>
    </w:pPr>
  </w:style>
  <w:style w:type="character" w:customStyle="1" w:styleId="FooterChar">
    <w:name w:val="Footer Char"/>
    <w:basedOn w:val="DefaultParagraphFont"/>
    <w:link w:val="Footer"/>
    <w:rsid w:val="002A466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638002">
      <w:bodyDiv w:val="1"/>
      <w:marLeft w:val="0"/>
      <w:marRight w:val="0"/>
      <w:marTop w:val="0"/>
      <w:marBottom w:val="0"/>
      <w:divBdr>
        <w:top w:val="none" w:sz="0" w:space="0" w:color="auto"/>
        <w:left w:val="none" w:sz="0" w:space="0" w:color="auto"/>
        <w:bottom w:val="none" w:sz="0" w:space="0" w:color="auto"/>
        <w:right w:val="none" w:sz="0" w:space="0" w:color="auto"/>
      </w:divBdr>
    </w:div>
    <w:div w:id="449393699">
      <w:bodyDiv w:val="1"/>
      <w:marLeft w:val="0"/>
      <w:marRight w:val="0"/>
      <w:marTop w:val="0"/>
      <w:marBottom w:val="0"/>
      <w:divBdr>
        <w:top w:val="none" w:sz="0" w:space="0" w:color="auto"/>
        <w:left w:val="none" w:sz="0" w:space="0" w:color="auto"/>
        <w:bottom w:val="none" w:sz="0" w:space="0" w:color="auto"/>
        <w:right w:val="none" w:sz="0" w:space="0" w:color="auto"/>
      </w:divBdr>
    </w:div>
    <w:div w:id="486016929">
      <w:bodyDiv w:val="1"/>
      <w:marLeft w:val="0"/>
      <w:marRight w:val="0"/>
      <w:marTop w:val="0"/>
      <w:marBottom w:val="0"/>
      <w:divBdr>
        <w:top w:val="none" w:sz="0" w:space="0" w:color="auto"/>
        <w:left w:val="none" w:sz="0" w:space="0" w:color="auto"/>
        <w:bottom w:val="none" w:sz="0" w:space="0" w:color="auto"/>
        <w:right w:val="none" w:sz="0" w:space="0" w:color="auto"/>
      </w:divBdr>
    </w:div>
    <w:div w:id="898443869">
      <w:bodyDiv w:val="1"/>
      <w:marLeft w:val="0"/>
      <w:marRight w:val="0"/>
      <w:marTop w:val="0"/>
      <w:marBottom w:val="0"/>
      <w:divBdr>
        <w:top w:val="none" w:sz="0" w:space="0" w:color="auto"/>
        <w:left w:val="none" w:sz="0" w:space="0" w:color="auto"/>
        <w:bottom w:val="none" w:sz="0" w:space="0" w:color="auto"/>
        <w:right w:val="none" w:sz="0" w:space="0" w:color="auto"/>
      </w:divBdr>
    </w:div>
    <w:div w:id="1065688568">
      <w:bodyDiv w:val="1"/>
      <w:marLeft w:val="0"/>
      <w:marRight w:val="0"/>
      <w:marTop w:val="0"/>
      <w:marBottom w:val="0"/>
      <w:divBdr>
        <w:top w:val="none" w:sz="0" w:space="0" w:color="auto"/>
        <w:left w:val="none" w:sz="0" w:space="0" w:color="auto"/>
        <w:bottom w:val="none" w:sz="0" w:space="0" w:color="auto"/>
        <w:right w:val="none" w:sz="0" w:space="0" w:color="auto"/>
      </w:divBdr>
    </w:div>
    <w:div w:id="1852527697">
      <w:bodyDiv w:val="1"/>
      <w:marLeft w:val="0"/>
      <w:marRight w:val="0"/>
      <w:marTop w:val="0"/>
      <w:marBottom w:val="0"/>
      <w:divBdr>
        <w:top w:val="none" w:sz="0" w:space="0" w:color="auto"/>
        <w:left w:val="none" w:sz="0" w:space="0" w:color="auto"/>
        <w:bottom w:val="none" w:sz="0" w:space="0" w:color="auto"/>
        <w:right w:val="none" w:sz="0" w:space="0" w:color="auto"/>
      </w:divBdr>
    </w:div>
    <w:div w:id="2094006332">
      <w:bodyDiv w:val="1"/>
      <w:marLeft w:val="0"/>
      <w:marRight w:val="0"/>
      <w:marTop w:val="0"/>
      <w:marBottom w:val="0"/>
      <w:divBdr>
        <w:top w:val="none" w:sz="0" w:space="0" w:color="auto"/>
        <w:left w:val="none" w:sz="0" w:space="0" w:color="auto"/>
        <w:bottom w:val="none" w:sz="0" w:space="0" w:color="auto"/>
        <w:right w:val="none" w:sz="0" w:space="0" w:color="auto"/>
      </w:divBdr>
    </w:div>
    <w:div w:id="2100325091">
      <w:bodyDiv w:val="1"/>
      <w:marLeft w:val="0"/>
      <w:marRight w:val="0"/>
      <w:marTop w:val="0"/>
      <w:marBottom w:val="0"/>
      <w:divBdr>
        <w:top w:val="none" w:sz="0" w:space="0" w:color="auto"/>
        <w:left w:val="none" w:sz="0" w:space="0" w:color="auto"/>
        <w:bottom w:val="none" w:sz="0" w:space="0" w:color="auto"/>
        <w:right w:val="none" w:sz="0" w:space="0" w:color="auto"/>
      </w:divBdr>
    </w:div>
    <w:div w:id="211173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786</Words>
  <Characters>4263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Dubuque</vt:lpstr>
    </vt:vector>
  </TitlesOfParts>
  <Company>Iowa Workforce Development</Company>
  <LinksUpToDate>false</LinksUpToDate>
  <CharactersWithSpaces>5039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Dubuque</dc:title>
  <dc:creator>SFriedmeyer_B</dc:creator>
  <cp:lastModifiedBy>Services, VMware</cp:lastModifiedBy>
  <cp:revision>3</cp:revision>
  <cp:lastPrinted>2004-10-12T19:46:00Z</cp:lastPrinted>
  <dcterms:created xsi:type="dcterms:W3CDTF">2016-08-18T15:31:00Z</dcterms:created>
  <dcterms:modified xsi:type="dcterms:W3CDTF">2016-08-18T15:41:00Z</dcterms:modified>
</cp:coreProperties>
</file>