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364">
      <w:pPr>
        <w:pStyle w:val="Title"/>
        <w:rPr>
          <w:rFonts w:ascii="Times New Roman" w:hAnsi="Times New Roman"/>
          <w:smallCaps/>
          <w:sz w:val="52"/>
        </w:rPr>
      </w:pPr>
      <w:r>
        <w:rPr>
          <w:rFonts w:ascii="Times New Roman" w:hAnsi="Times New Roman"/>
          <w:smallCaps/>
          <w:sz w:val="52"/>
        </w:rPr>
        <w:t xml:space="preserve">Agency Performance Plan </w:t>
      </w:r>
    </w:p>
    <w:p w:rsidR="00000000" w:rsidRDefault="00082364">
      <w:pPr>
        <w:pStyle w:val="Title"/>
        <w:rPr>
          <w:rFonts w:ascii="Times New Roman" w:hAnsi="Times New Roman"/>
          <w:smallCaps/>
          <w:sz w:val="32"/>
        </w:rPr>
      </w:pPr>
      <w:r>
        <w:rPr>
          <w:rFonts w:ascii="Times New Roman" w:hAnsi="Times New Roman"/>
          <w:smallCaps/>
          <w:sz w:val="32"/>
        </w:rPr>
        <w:t>FY 2004</w:t>
      </w:r>
    </w:p>
    <w:p w:rsidR="00000000" w:rsidRDefault="00082364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of Agency:  </w:t>
            </w:r>
            <w:r>
              <w:rPr>
                <w:sz w:val="20"/>
              </w:rPr>
              <w:t>Department of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Agency Mission: Our</w:t>
            </w:r>
            <w:r>
              <w:rPr>
                <w:b w:val="0"/>
                <w:sz w:val="20"/>
              </w:rPr>
              <w:t xml:space="preserve"> Mission is to champion excellence in education through superior leadership and service.  We are committed to ensuring that all Iowans have access to a network</w:t>
            </w:r>
            <w:r>
              <w:rPr>
                <w:b w:val="0"/>
                <w:sz w:val="20"/>
              </w:rPr>
              <w:t xml:space="preserve"> of services that allows them to realize their potential.  Through education, we strive to build a quality of life which sets the standard for the nation.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Core Function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Measure(s)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Target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to Strategic Plan Goals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CF: </w:t>
            </w:r>
            <w:r>
              <w:rPr>
                <w:b w:val="0"/>
                <w:sz w:val="20"/>
              </w:rPr>
              <w:t>Resource Managem</w:t>
            </w:r>
            <w:r>
              <w:rPr>
                <w:b w:val="0"/>
                <w:sz w:val="20"/>
              </w:rPr>
              <w:t>ent --Provide all vital infrastructure needs necessary to administer and support agency operations.  Key activities may include financial and personnel services such as payroll, accounting and budget; purchasing of goods and services; media management; inf</w:t>
            </w:r>
            <w:r>
              <w:rPr>
                <w:b w:val="0"/>
                <w:sz w:val="20"/>
              </w:rPr>
              <w:t>ormation technology enhancement, management and support; data, research and information services; finance support for schools; staff development; leadership; communication; legislative support; planning; policy development; maintenance of physical infrastr</w:t>
            </w:r>
            <w:r>
              <w:rPr>
                <w:b w:val="0"/>
                <w:sz w:val="20"/>
              </w:rPr>
              <w:t>ucture and governance system development to achieve results for Iowans.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Support Goal C: To provide collaborative state level leadership and support for Iowa education in order to create system wide improvement and increased student achievement.</w:t>
            </w: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Desir</w:t>
            </w:r>
            <w:r>
              <w:rPr>
                <w:rFonts w:ascii="Times New Roman" w:hAnsi="Times New Roman"/>
                <w:sz w:val="20"/>
              </w:rPr>
              <w:t>ed Outcome(s):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rPr>
                <w:sz w:val="20"/>
              </w:rPr>
            </w:pPr>
            <w:r>
              <w:rPr>
                <w:sz w:val="20"/>
              </w:rPr>
              <w:t>Internal and external customers have the information that is needed statewide for policy development and resource allocation and at the local level to improve instruction.</w:t>
            </w:r>
          </w:p>
          <w:p w:rsidR="00000000" w:rsidRDefault="00082364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000000" w:rsidRDefault="00082364">
            <w:pPr>
              <w:rPr>
                <w:b/>
                <w:sz w:val="20"/>
              </w:rPr>
            </w:pPr>
            <w:r>
              <w:rPr>
                <w:sz w:val="20"/>
              </w:rPr>
              <w:t>Percentage of school districts participating in a statewide indi</w:t>
            </w:r>
            <w:r>
              <w:rPr>
                <w:sz w:val="20"/>
              </w:rPr>
              <w:t>vidual student record system.</w:t>
            </w:r>
          </w:p>
          <w:p w:rsidR="00000000" w:rsidRDefault="00082364">
            <w:pPr>
              <w:rPr>
                <w:b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b w:val="0"/>
                <w:sz w:val="20"/>
              </w:rPr>
              <w:t>Percentage of community colleges participating in the CC Management Information System.</w:t>
            </w:r>
            <w:proofErr w:type="gramEnd"/>
          </w:p>
        </w:tc>
        <w:tc>
          <w:tcPr>
            <w:tcW w:w="3582" w:type="dxa"/>
          </w:tcPr>
          <w:p w:rsidR="00000000" w:rsidRDefault="00082364">
            <w:pPr>
              <w:rPr>
                <w:sz w:val="20"/>
              </w:rPr>
            </w:pPr>
          </w:p>
          <w:p w:rsidR="00000000" w:rsidRDefault="00082364">
            <w:pPr>
              <w:rPr>
                <w:sz w:val="20"/>
              </w:rPr>
            </w:pPr>
          </w:p>
          <w:p w:rsidR="00000000" w:rsidRDefault="00082364">
            <w:pPr>
              <w:rPr>
                <w:sz w:val="20"/>
              </w:rPr>
            </w:pPr>
            <w:r>
              <w:rPr>
                <w:sz w:val="20"/>
              </w:rPr>
              <w:t>100% by June 30, 2004</w:t>
            </w:r>
          </w:p>
          <w:p w:rsidR="00000000" w:rsidRDefault="00082364">
            <w:pPr>
              <w:rPr>
                <w:sz w:val="20"/>
              </w:rPr>
            </w:pPr>
          </w:p>
          <w:p w:rsidR="00000000" w:rsidRDefault="00082364">
            <w:pPr>
              <w:rPr>
                <w:b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Customers will receive state aid, federal funds and flow-through dollars in a timely fashion.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Percent </w:t>
            </w:r>
            <w:r>
              <w:rPr>
                <w:b w:val="0"/>
                <w:sz w:val="20"/>
              </w:rPr>
              <w:t>of payments for state aid, federal funds, and other allocations sent out to local school districts, community colleges and other customers on date specified for distribution.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100%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82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Services, Products, Activities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Measures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Tar</w:t>
            </w:r>
            <w:r>
              <w:rPr>
                <w:rFonts w:ascii="Times New Roman" w:hAnsi="Times New Roman"/>
                <w:sz w:val="20"/>
              </w:rPr>
              <w:t>get(s)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sz w:val="20"/>
              </w:rPr>
              <w:t>Collect, analyze and disseminate data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sz w:val="20"/>
              </w:rPr>
              <w:t>Implement Project EASIER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A.  About schools and the preK-12 education system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Percent of districts participating in the Basic Educational Data Survey.</w:t>
            </w:r>
            <w:proofErr w:type="gramEnd"/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Percent of districts </w:t>
            </w:r>
            <w:r>
              <w:rPr>
                <w:b w:val="0"/>
                <w:sz w:val="20"/>
              </w:rPr>
              <w:t>participating in a statewide individual student record system.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 by June 30, 2004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Provide </w:t>
            </w:r>
            <w:proofErr w:type="gramStart"/>
            <w:r>
              <w:rPr>
                <w:b w:val="0"/>
                <w:sz w:val="20"/>
              </w:rPr>
              <w:t>Fall</w:t>
            </w:r>
            <w:proofErr w:type="gramEnd"/>
            <w:r>
              <w:rPr>
                <w:b w:val="0"/>
                <w:sz w:val="20"/>
              </w:rPr>
              <w:t xml:space="preserve"> and Spring BEDS training; provide follow-up and editing; continue to convert to electronic transfer of data.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b w:val="0"/>
                <w:sz w:val="20"/>
              </w:rPr>
              <w:t>About community colleges.</w:t>
            </w:r>
            <w:proofErr w:type="gramEnd"/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sz w:val="20"/>
              </w:rPr>
              <w:t>Percent of co</w:t>
            </w:r>
            <w:r>
              <w:rPr>
                <w:b w:val="0"/>
                <w:sz w:val="20"/>
              </w:rPr>
              <w:t>mmunity colleges participating in the CC management information system,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Refine definitions to ensure consistency of reporting. Review reporting fields to ensure that types of data collected meet information needs.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Core Function</w:t>
            </w:r>
          </w:p>
        </w:tc>
        <w:tc>
          <w:tcPr>
            <w:tcW w:w="3582" w:type="dxa"/>
            <w:shd w:val="pct15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Measure(s)</w:t>
            </w:r>
          </w:p>
        </w:tc>
        <w:tc>
          <w:tcPr>
            <w:tcW w:w="3582" w:type="dxa"/>
            <w:shd w:val="pct15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</w:t>
            </w:r>
            <w:r>
              <w:rPr>
                <w:rFonts w:ascii="Times New Roman" w:hAnsi="Times New Roman"/>
                <w:sz w:val="20"/>
              </w:rPr>
              <w:t>come Target</w:t>
            </w:r>
          </w:p>
        </w:tc>
        <w:tc>
          <w:tcPr>
            <w:tcW w:w="3582" w:type="dxa"/>
            <w:shd w:val="pct15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to Strategic Plan Goal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CF:   </w:t>
            </w:r>
            <w:r>
              <w:rPr>
                <w:b w:val="0"/>
                <w:sz w:val="20"/>
              </w:rPr>
              <w:t>Education.  Provide technical assistance and professional development to increase capacity at the local level related to continuous improvement, improving instruction in order to improve student performance, s</w:t>
            </w:r>
            <w:r>
              <w:rPr>
                <w:b w:val="0"/>
                <w:sz w:val="20"/>
              </w:rPr>
              <w:t>upport for management services, and intermediate support.</w:t>
            </w:r>
            <w:r>
              <w:rPr>
                <w:b w:val="0"/>
                <w:bCs w:val="0"/>
                <w:sz w:val="20"/>
              </w:rPr>
              <w:t xml:space="preserve">  Impart knowledge or develop skills and competencies in Iowa library staff and trustees.</w:t>
            </w:r>
          </w:p>
        </w:tc>
        <w:tc>
          <w:tcPr>
            <w:tcW w:w="3582" w:type="dxa"/>
          </w:tcPr>
          <w:p w:rsidR="00000000" w:rsidRDefault="000823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Education System Goal: To improve the level of learning, achievement and performance of all students so the</w:t>
            </w:r>
            <w:r>
              <w:rPr>
                <w:b w:val="0"/>
                <w:sz w:val="20"/>
              </w:rPr>
              <w:t>y will become successful members of their community and the workforce.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Support Goal A: To help schools and their communities obtain the skills, competencies and resources they need to meet the learning needs of all their children and adults.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Support Goal A</w:t>
            </w:r>
            <w:r>
              <w:rPr>
                <w:b w:val="0"/>
                <w:sz w:val="20"/>
              </w:rPr>
              <w:t>: To help schools and their communities obtain the skills, competencies and resources they need to meet the learning needs of their children and adults.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LSTA Five Year Plan 2003-2007</w:t>
            </w:r>
          </w:p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Goal 2.  Improve library service to Iowans through knowledgeable, </w:t>
            </w:r>
            <w:r>
              <w:rPr>
                <w:rFonts w:cs="Arial"/>
                <w:sz w:val="20"/>
              </w:rPr>
              <w:lastRenderedPageBreak/>
              <w:t>custo</w:t>
            </w:r>
            <w:r>
              <w:rPr>
                <w:rFonts w:cs="Arial"/>
                <w:sz w:val="20"/>
              </w:rPr>
              <w:t>mer-oriented staff and well-informed, effective public library trustees.</w:t>
            </w:r>
          </w:p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Goal 3.  Position librarians to be recognized as the experts in helping Iowans become competent information consumers.</w:t>
            </w:r>
          </w:p>
          <w:p w:rsidR="00000000" w:rsidRDefault="00082364">
            <w:pPr>
              <w:rPr>
                <w:rFonts w:cs="Arial"/>
                <w:sz w:val="20"/>
              </w:rPr>
            </w:pPr>
          </w:p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 of Service FY2003-2004</w:t>
            </w:r>
          </w:p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Goal 1.  Iowa libraries will be a</w:t>
            </w:r>
            <w:r>
              <w:rPr>
                <w:rFonts w:cs="Arial"/>
                <w:sz w:val="20"/>
              </w:rPr>
              <w:t>ble to explain and demonstrate the value of their services in order to increase use of and support for libraries.</w:t>
            </w:r>
          </w:p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Goal 3.  Iowa library staff will have the skills necessary to effectively manage and operate the library in order to provide excellent servic</w:t>
            </w:r>
            <w:r>
              <w:rPr>
                <w:rFonts w:cs="Arial"/>
                <w:sz w:val="20"/>
              </w:rPr>
              <w:t>e to Iowans.</w:t>
            </w: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Goal 4.</w:t>
            </w:r>
            <w:proofErr w:type="gramEnd"/>
            <w:r>
              <w:rPr>
                <w:b w:val="0"/>
                <w:bCs w:val="0"/>
                <w:sz w:val="20"/>
              </w:rPr>
              <w:t xml:space="preserve">  Iowa library trustees will have the skills necessary to effectively govern the library’s operation so that the local library will prosper and respond to community needs.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Desired Outcome(s):</w:t>
            </w:r>
          </w:p>
        </w:tc>
        <w:tc>
          <w:tcPr>
            <w:tcW w:w="3582" w:type="dxa"/>
            <w:shd w:val="clear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  <w:shd w:val="clear" w:color="auto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  <w:shd w:val="clear" w:color="auto" w:fill="FFFFFF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 improve student achievement  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</w:t>
            </w:r>
            <w:r>
              <w:rPr>
                <w:b w:val="0"/>
                <w:sz w:val="20"/>
              </w:rPr>
              <w:t>ntage of Iowa 4</w:t>
            </w:r>
            <w:r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graders proficient in reading comprehension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70% on Iowa Tests of Basic Skills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Implement statewide reading projects.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Provide information about research-based instructional strategies in reading, math and science through content area netw</w:t>
            </w:r>
            <w:r>
              <w:rPr>
                <w:b w:val="0"/>
                <w:sz w:val="20"/>
              </w:rPr>
              <w:t>orks.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Percentage of Iowa 8</w:t>
            </w:r>
            <w:r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graders proficient in mathematics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73.3% on Iowa Tests of Basic Skills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Provide information about research-based instructional strategies in math, reading and science through content area networks.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 School Graduation Rat</w:t>
            </w:r>
            <w:r>
              <w:rPr>
                <w:b w:val="0"/>
                <w:sz w:val="20"/>
              </w:rPr>
              <w:t>e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89.7%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improve teacher quality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teachers in core academic areas appropriately licensed and assigned.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100%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Students successfully completing at least two years of postsecondary education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Community College 3-year cohort graduation rate (fi</w:t>
            </w:r>
            <w:r>
              <w:rPr>
                <w:b w:val="0"/>
                <w:sz w:val="20"/>
              </w:rPr>
              <w:t>rst-time, full-time credit students)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46.85%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Assist with the establishment of the Iowa Learns Council.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Librarians and trustees have the leadership, support services and information necessary to provide the best possible library services for Iowans.</w:t>
            </w:r>
          </w:p>
        </w:tc>
        <w:tc>
          <w:tcPr>
            <w:tcW w:w="3582" w:type="dxa"/>
          </w:tcPr>
          <w:p w:rsidR="00000000" w:rsidRDefault="00082364">
            <w:pPr>
              <w:rPr>
                <w:b/>
                <w:sz w:val="20"/>
              </w:rPr>
            </w:pPr>
            <w:r>
              <w:rPr>
                <w:sz w:val="20"/>
              </w:rPr>
              <w:t>Percen</w:t>
            </w:r>
            <w:r>
              <w:rPr>
                <w:sz w:val="20"/>
              </w:rPr>
              <w:t>tage of Iowa public and academic libraries that have used the services of the State Library or Library Service Areas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Services, Products, Activities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Measures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Target(s)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Conduct school improvement </w:t>
            </w:r>
            <w:r>
              <w:rPr>
                <w:b w:val="0"/>
                <w:sz w:val="20"/>
              </w:rPr>
              <w:t>visits.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local school districts visited annually by school improvement team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20%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Maintain efforts -- currently meeting target.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2.  Develop and implement a research-based professional development model    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districts whose profession</w:t>
            </w:r>
            <w:r>
              <w:rPr>
                <w:b w:val="0"/>
                <w:sz w:val="20"/>
              </w:rPr>
              <w:t>al development plans are approved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 by 2004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3.  Build the capacity of AEAs to provide intermediate support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AEAs accredited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Percent of local district respondents agreeing or strongly agreeing that AEA services met their professional needs.</w:t>
            </w:r>
            <w:proofErr w:type="gramEnd"/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95%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4.  Provide information and technical assistance to agencies receiving federal program funds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Loss of federal funds from USDA and USDE due to noncompliance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Maintain current efforts -- currently meeting target.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5.  Provide technical a</w:t>
            </w:r>
            <w:r>
              <w:rPr>
                <w:b w:val="0"/>
                <w:sz w:val="20"/>
              </w:rPr>
              <w:t>ssistance to practitioner preparation programs, especially as it relates to assessment practices and meeting program approval standards.  Revise the approval process.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practitioner preparation programs participating in technical assistance.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6. </w:t>
            </w:r>
            <w:r>
              <w:rPr>
                <w:b w:val="0"/>
                <w:bCs w:val="0"/>
                <w:sz w:val="20"/>
              </w:rPr>
              <w:t xml:space="preserve">Continuing education and consulting </w:t>
            </w:r>
          </w:p>
        </w:tc>
        <w:tc>
          <w:tcPr>
            <w:tcW w:w="3582" w:type="dxa"/>
          </w:tcPr>
          <w:p w:rsidR="00000000" w:rsidRDefault="0008236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sz w:val="20"/>
              </w:rPr>
              <w:t>Percentage of public libraries with staff participating in continuing education activities sponsored by the State Library or Library Service Areas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State Library and Library Service Area staff provide consulti</w:t>
            </w:r>
            <w:r>
              <w:rPr>
                <w:b w:val="0"/>
                <w:bCs w:val="0"/>
                <w:sz w:val="20"/>
              </w:rPr>
              <w:t xml:space="preserve">ng services in person and by phone or email; provide workshops and continuing education classes in a variety of formats throughout the state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Core Function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Measure(s)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Target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to Strategic Plan Goals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CF:  </w:t>
            </w:r>
            <w:r>
              <w:rPr>
                <w:b w:val="0"/>
                <w:sz w:val="20"/>
              </w:rPr>
              <w:t>Regulation and Compliance</w:t>
            </w:r>
            <w:r>
              <w:rPr>
                <w:b w:val="0"/>
                <w:sz w:val="20"/>
              </w:rPr>
              <w:t>.  Provide stewardship for the education system through accreditation, approval, fiscal oversight and federal program oversight.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Support Goal B: To coordinate the educational support system so it is focused on helping schools and communities meet their l</w:t>
            </w:r>
            <w:r>
              <w:rPr>
                <w:b w:val="0"/>
                <w:sz w:val="20"/>
              </w:rPr>
              <w:t>ocal goals.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Support Goals C: To provide collaborative state level leadership and support to Iowa education in </w:t>
            </w:r>
            <w:r>
              <w:rPr>
                <w:b w:val="0"/>
                <w:sz w:val="20"/>
              </w:rPr>
              <w:lastRenderedPageBreak/>
              <w:t>order to create system-wide improvement and increased student achievement.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Desired Outcomes: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ensure Iowans have access to a quality educat</w:t>
            </w:r>
            <w:r>
              <w:rPr>
                <w:b w:val="0"/>
                <w:sz w:val="20"/>
              </w:rPr>
              <w:t>ion system.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Percentage of school districts meeting accreditation standards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Percentage of AEAs meeting accreditation standards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Percentage of community colleges meeting accreditation standards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Percentage of practitioner preparation </w:t>
            </w:r>
            <w:r>
              <w:rPr>
                <w:b w:val="0"/>
                <w:sz w:val="20"/>
              </w:rPr>
              <w:t>programs meeting requirements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Percentage of practitioners who are appropriately licensed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ensure compliance with federal program requirements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Loss of federal funds from USDE or USDA due to noncompliance with program requirements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0%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Services, Products and Activities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Measures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Target(s)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Accreditation activities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A.  Accredit local school districts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local districts receiving desk audits annually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Maintain eff</w:t>
            </w:r>
            <w:r>
              <w:rPr>
                <w:b w:val="0"/>
                <w:sz w:val="20"/>
              </w:rPr>
              <w:t>orts -- currently meeting target.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local districts receiving on-site reviews annually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20%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Maintain efforts -- currently meeting target.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B. Accredit area education agencies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AEAs receiving accreditation visits annually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20%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Main</w:t>
            </w:r>
            <w:r>
              <w:rPr>
                <w:b w:val="0"/>
                <w:sz w:val="20"/>
              </w:rPr>
              <w:t>tain efforts -- currently meeting target.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C. Accredit community colleges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Percent of community colleges receiving accreditation visits 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 over a 5 year period (timing dependent on NCA accreditation cycle)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caps/>
                <w:sz w:val="20"/>
              </w:rPr>
            </w:pPr>
            <w:r>
              <w:rPr>
                <w:b w:val="0"/>
                <w:sz w:val="20"/>
              </w:rPr>
              <w:t>Maintain efforts -- currently meeting targe</w:t>
            </w:r>
            <w:r>
              <w:rPr>
                <w:b w:val="0"/>
                <w:sz w:val="20"/>
              </w:rPr>
              <w:t>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Administration of federal programs (program and fiscal) including: NCLB, IDEA/Special Education, Perkins, Child Nutrition, Infrastructure)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Percent of federal programs approved for funding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Maintain efforts -- currently meeting target.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Core Funct</w:t>
            </w:r>
            <w:r>
              <w:rPr>
                <w:rFonts w:ascii="Times New Roman" w:hAnsi="Times New Roman"/>
                <w:sz w:val="20"/>
              </w:rPr>
              <w:t>ion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Measure(s)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Target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to Strategic Plan Goals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Heading1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CF: </w:t>
            </w:r>
            <w:r>
              <w:rPr>
                <w:rFonts w:ascii="Arial" w:hAnsi="Arial" w:cs="Arial"/>
                <w:b w:val="0"/>
                <w:bCs/>
                <w:sz w:val="20"/>
              </w:rPr>
              <w:t>Library Services</w:t>
            </w:r>
          </w:p>
          <w:p w:rsidR="00000000" w:rsidRDefault="00082364">
            <w:pPr>
              <w:pStyle w:val="BodyText2"/>
              <w:rPr>
                <w:rFonts w:ascii="Verdana" w:hAnsi="Verdana"/>
                <w:sz w:val="22"/>
              </w:rPr>
            </w:pPr>
            <w:r>
              <w:t>Acquires, manages and provides access to information.  Collections include books, journals, databases, videos, state and federal documents and web-based information.</w:t>
            </w: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bCs w:val="0"/>
                <w:sz w:val="20"/>
              </w:rPr>
              <w:t>LSTA Five Year Plan 2003-2007, Goal 1:  Provide expanded, equitable access to library information, materials and services to Iowans of all ages.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</w:rPr>
              <w:t>Iowans (including those in state government) have access to high quality information</w:t>
            </w:r>
            <w:r>
              <w:rPr>
                <w:rFonts w:cs="Arial"/>
                <w:bCs/>
                <w:sz w:val="20"/>
              </w:rPr>
              <w:t xml:space="preserve"> in specialized subject areas so they can make informed decisions.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Verdana" w:hAnsi="Verdana"/>
                <w:b w:val="0"/>
                <w:bCs w:val="0"/>
                <w:sz w:val="20"/>
              </w:rPr>
              <w:t>Percentage of annual growth in number of filled requests for specialized information materials or services</w:t>
            </w:r>
            <w:r>
              <w:rPr>
                <w:b w:val="0"/>
                <w:sz w:val="20"/>
              </w:rPr>
              <w:t>.</w:t>
            </w:r>
            <w:proofErr w:type="gramEnd"/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Establish baseline in FY03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bCs/>
                <w:sz w:val="20"/>
              </w:rPr>
              <w:t>All Iowans have access to high-quality electronic li</w:t>
            </w:r>
            <w:r>
              <w:rPr>
                <w:rFonts w:cs="Arial"/>
                <w:bCs/>
                <w:sz w:val="20"/>
              </w:rPr>
              <w:t>brary resources to enhance learning at all ages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 w:val="0"/>
                <w:bCs w:val="0"/>
                <w:sz w:val="20"/>
              </w:rPr>
              <w:t>Percentage of Iowans who have access through their public library to electronic informational databases purchased by the State Library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Services, Products, Activities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Measures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Tar</w:t>
            </w:r>
            <w:r>
              <w:rPr>
                <w:rFonts w:ascii="Times New Roman" w:hAnsi="Times New Roman"/>
                <w:sz w:val="20"/>
              </w:rPr>
              <w:t>get(s)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1.Provide</w:t>
            </w:r>
            <w:proofErr w:type="gramEnd"/>
            <w:r>
              <w:rPr>
                <w:b w:val="0"/>
                <w:bCs w:val="0"/>
                <w:sz w:val="20"/>
              </w:rPr>
              <w:t xml:space="preserve"> high quality collections and information in public policy, census       and demographics, state and federal documents, law and medicine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Number of filled requests for specialized information materials or serv</w:t>
            </w:r>
            <w:r>
              <w:rPr>
                <w:b w:val="0"/>
                <w:bCs w:val="0"/>
                <w:sz w:val="20"/>
              </w:rPr>
              <w:t>ices, including reference questions, circulation, interlibrary loan, in-house use of materials, database searches and web hits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Establish baseline in FY03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Purchase books, journals, databases and other materials; make specialized information available on Sta</w:t>
            </w:r>
            <w:r>
              <w:rPr>
                <w:b w:val="0"/>
                <w:bCs w:val="0"/>
                <w:sz w:val="20"/>
              </w:rPr>
              <w:t>te Library web sites; staff service desks with qualified librarians; teach customers how to use State Library databases; promote services to potential customers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2.Purchase</w:t>
            </w:r>
            <w:proofErr w:type="gramEnd"/>
            <w:r>
              <w:rPr>
                <w:b w:val="0"/>
                <w:bCs w:val="0"/>
                <w:sz w:val="20"/>
              </w:rPr>
              <w:t xml:space="preserve"> statewide access to electronic resources on behalf of Iowa libraries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Annual percent</w:t>
            </w:r>
            <w:r>
              <w:rPr>
                <w:b w:val="0"/>
                <w:bCs w:val="0"/>
                <w:sz w:val="20"/>
              </w:rPr>
              <w:t>age increase in number of uses of electronic databases purchased by the State Library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Establish baseline in FY03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bCs w:val="0"/>
                <w:sz w:val="20"/>
              </w:rPr>
              <w:t>Determine electronic products available; collaborate with AEAs and other partners on statewide purchases; purchase statewide access to electron</w:t>
            </w:r>
            <w:r>
              <w:rPr>
                <w:b w:val="0"/>
                <w:bCs w:val="0"/>
                <w:sz w:val="20"/>
              </w:rPr>
              <w:t>ic resources on behalf of Iowa libraries; publicize availability to libraries and the public; administer sign-ups and maintain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Core Function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Measure(s)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Outcome Target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to Strategic Plan Goals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Cs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CF: </w:t>
            </w:r>
            <w:r>
              <w:rPr>
                <w:b w:val="0"/>
                <w:sz w:val="20"/>
              </w:rPr>
              <w:t>Community Coordination and Developme</w:t>
            </w:r>
            <w:r>
              <w:rPr>
                <w:b w:val="0"/>
                <w:sz w:val="20"/>
              </w:rPr>
              <w:t>nt (Library Development</w:t>
            </w:r>
            <w:r>
              <w:rPr>
                <w:bCs w:val="0"/>
                <w:sz w:val="20"/>
              </w:rPr>
              <w:t>)</w:t>
            </w: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Develop the economic security and quality of life of Iowans by working with local public libraries.  Activities </w:t>
            </w:r>
            <w:r>
              <w:rPr>
                <w:b w:val="0"/>
                <w:bCs w:val="0"/>
                <w:sz w:val="20"/>
                <w:szCs w:val="22"/>
              </w:rPr>
              <w:lastRenderedPageBreak/>
              <w:t>may include facilitation and coordination; administration of grants to enhance services; program oversight; and technic</w:t>
            </w:r>
            <w:r>
              <w:rPr>
                <w:b w:val="0"/>
                <w:bCs w:val="0"/>
                <w:sz w:val="20"/>
                <w:szCs w:val="22"/>
              </w:rPr>
              <w:t>al assistance and support.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LSTA Five Year Plan 2003-2007:</w:t>
            </w:r>
          </w:p>
          <w:p w:rsidR="00000000" w:rsidRDefault="00082364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  Goal 4.  Identify and encourage resource sharing and partnerships in order to help libraries provide effective, high-quality services to </w:t>
            </w:r>
            <w:r>
              <w:rPr>
                <w:rFonts w:cs="Arial"/>
                <w:sz w:val="20"/>
                <w:szCs w:val="22"/>
              </w:rPr>
              <w:lastRenderedPageBreak/>
              <w:t>Iowans.</w:t>
            </w:r>
          </w:p>
          <w:p w:rsidR="00000000" w:rsidRDefault="00082364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  Goal 5.  Strengthen Iowa’s libraries through st</w:t>
            </w:r>
            <w:r>
              <w:rPr>
                <w:rFonts w:cs="Arial"/>
                <w:sz w:val="20"/>
                <w:szCs w:val="22"/>
              </w:rPr>
              <w:t>ate level leadership and statewide library advocacy, coordination and planning.</w:t>
            </w:r>
          </w:p>
          <w:p w:rsidR="00000000" w:rsidRDefault="00082364">
            <w:pPr>
              <w:rPr>
                <w:rFonts w:cs="Arial"/>
                <w:sz w:val="20"/>
                <w:szCs w:val="22"/>
              </w:rPr>
            </w:pPr>
          </w:p>
          <w:p w:rsidR="00000000" w:rsidRDefault="00082364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Plan of Service FY2003-2004</w:t>
            </w:r>
          </w:p>
          <w:p w:rsidR="00000000" w:rsidRDefault="00082364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  Goal 2.  Iowa libraries will build collaborative efforts in order to better serve their customers.</w:t>
            </w:r>
          </w:p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Desired Outcome(s):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2"/>
              </w:rPr>
              <w:t>All Iowans have acce</w:t>
            </w:r>
            <w:r>
              <w:rPr>
                <w:rFonts w:cs="Arial"/>
                <w:bCs/>
                <w:sz w:val="20"/>
                <w:szCs w:val="22"/>
              </w:rPr>
              <w:t>ss to high quality library services so they can participate knowledgeably and productively in a democratic society and lead an enriched life through lifelong learning.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2"/>
              </w:rPr>
              <w:t>Percentage of Iowans who are eligible to receive public library services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</w:t>
            </w:r>
            <w:r>
              <w:rPr>
                <w:rFonts w:ascii="Times New Roman" w:hAnsi="Times New Roman"/>
                <w:sz w:val="20"/>
              </w:rPr>
              <w:t>vices, Products, Activities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Measures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Performance Target(s)</w:t>
            </w:r>
          </w:p>
        </w:tc>
        <w:tc>
          <w:tcPr>
            <w:tcW w:w="3582" w:type="dxa"/>
            <w:shd w:val="pct15" w:color="000000" w:fill="FFFFFF"/>
          </w:tcPr>
          <w:p w:rsidR="00000000" w:rsidRDefault="00082364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Resource sharing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Percentage of Iowa public and academic libraries that participate in statewide resource sharing programs (Open Access, Access Plus, </w:t>
            </w:r>
            <w:r>
              <w:rPr>
                <w:b w:val="0"/>
                <w:bCs w:val="0"/>
                <w:sz w:val="20"/>
              </w:rPr>
              <w:t>SILO Locator, SILO interlibrary loan</w:t>
            </w:r>
            <w:r>
              <w:rPr>
                <w:sz w:val="20"/>
              </w:rPr>
              <w:t>)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Establish baseline in FY03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Provide SILO (State of Iowa Libraries Online) Locator and interlibrary loan program; administer programs to partially reimburse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libraries for sharing resource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Administration of Statewide </w:t>
            </w:r>
            <w:r>
              <w:rPr>
                <w:b w:val="0"/>
                <w:bCs w:val="0"/>
                <w:sz w:val="20"/>
              </w:rPr>
              <w:t>Programs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Percentage of accredited public libraries;</w:t>
            </w: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Percentage of certified public library directors</w:t>
            </w: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Percentage of public libraries participating in Direct State Aid Program</w:t>
            </w: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Percentage of libraries submitting annual survey data</w:t>
            </w:r>
          </w:p>
        </w:tc>
        <w:tc>
          <w:tcPr>
            <w:tcW w:w="3582" w:type="dxa"/>
          </w:tcPr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50% of public libraries a</w:t>
            </w:r>
            <w:r>
              <w:rPr>
                <w:b w:val="0"/>
                <w:sz w:val="20"/>
              </w:rPr>
              <w:t>re accredited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75% of public library directors are certified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85% of public libraries participate in Direct State Aid program</w:t>
            </w: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90% of all Iowa libraries submit annual survey data</w:t>
            </w:r>
          </w:p>
        </w:tc>
        <w:tc>
          <w:tcPr>
            <w:tcW w:w="3582" w:type="dxa"/>
          </w:tcPr>
          <w:p w:rsidR="00000000" w:rsidRDefault="000823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 leadership for Iowa library community; develop and implement plans </w:t>
            </w:r>
            <w:r>
              <w:rPr>
                <w:rFonts w:cs="Arial"/>
                <w:sz w:val="20"/>
              </w:rPr>
              <w:t>to improve Iowa library services; administer public library accreditation program, based on “In Service to Iowa:  Public Library Measures of Quality”; administer certification program for public library directors;  administer Direct State Aid program;  adm</w:t>
            </w:r>
            <w:r>
              <w:rPr>
                <w:rFonts w:cs="Arial"/>
                <w:sz w:val="20"/>
              </w:rPr>
              <w:t>inister statistics programs;  administer federal LSTA funds</w:t>
            </w:r>
          </w:p>
          <w:p w:rsidR="00000000" w:rsidRDefault="00082364">
            <w:pPr>
              <w:rPr>
                <w:rFonts w:cs="Arial"/>
                <w:sz w:val="20"/>
              </w:rPr>
            </w:pPr>
          </w:p>
          <w:p w:rsidR="00000000" w:rsidRDefault="0008236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</w:tbl>
    <w:p w:rsidR="00000000" w:rsidRDefault="00082364">
      <w:pPr>
        <w:pStyle w:val="Caption"/>
        <w:jc w:val="left"/>
      </w:pPr>
    </w:p>
    <w:sectPr w:rsidR="00000000">
      <w:footerReference w:type="default" r:id="rId7"/>
      <w:pgSz w:w="15840" w:h="12240" w:orient="landscape" w:code="1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82364">
      <w:r>
        <w:separator/>
      </w:r>
    </w:p>
  </w:endnote>
  <w:endnote w:type="continuationSeparator" w:id="1">
    <w:p w:rsidR="00000000" w:rsidRDefault="0008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164"/>
      <w:gridCol w:w="7164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7164" w:type="dxa"/>
          <w:shd w:val="clear" w:color="auto" w:fill="000000"/>
        </w:tcPr>
        <w:p w:rsidR="00000000" w:rsidRDefault="00082364">
          <w:pPr>
            <w:pStyle w:val="Title"/>
            <w:jc w:val="left"/>
            <w:rPr>
              <w:rFonts w:ascii="Times New Roman" w:hAnsi="Times New Roman"/>
              <w:color w:val="FFFFFF"/>
              <w:sz w:val="20"/>
            </w:rPr>
          </w:pPr>
          <w:r>
            <w:rPr>
              <w:rFonts w:ascii="Times New Roman" w:hAnsi="Times New Roman"/>
              <w:color w:val="FFFFFF"/>
              <w:sz w:val="20"/>
            </w:rPr>
            <w:t>Guide for Agency Performance Planning</w:t>
          </w:r>
        </w:p>
      </w:tc>
      <w:tc>
        <w:tcPr>
          <w:tcW w:w="7164" w:type="dxa"/>
          <w:shd w:val="clear" w:color="auto" w:fill="000000"/>
        </w:tcPr>
        <w:p w:rsidR="00000000" w:rsidRDefault="00082364">
          <w:pPr>
            <w:pStyle w:val="Title"/>
            <w:jc w:val="right"/>
            <w:rPr>
              <w:rFonts w:ascii="Times New Roman" w:hAnsi="Times New Roman"/>
              <w:color w:val="FFFFFF"/>
              <w:sz w:val="20"/>
            </w:rPr>
          </w:pPr>
          <w:r>
            <w:rPr>
              <w:rStyle w:val="PageNumber"/>
              <w:rFonts w:ascii="Times New Roman" w:hAnsi="Times New Roman"/>
              <w:color w:val="FFFFFF"/>
              <w:sz w:val="20"/>
              <w:shd w:val="clear" w:color="auto" w:fill="000000"/>
            </w:rPr>
            <w:t xml:space="preserve">Page </w:t>
          </w:r>
          <w:r>
            <w:rPr>
              <w:rStyle w:val="PageNumber"/>
              <w:rFonts w:ascii="Times New Roman" w:hAnsi="Times New Roman"/>
              <w:color w:val="FFFFFF"/>
              <w:sz w:val="20"/>
              <w:shd w:val="clear" w:color="auto" w:fill="000000"/>
            </w:rPr>
            <w:fldChar w:fldCharType="begin"/>
          </w:r>
          <w:r>
            <w:rPr>
              <w:rStyle w:val="PageNumber"/>
              <w:rFonts w:ascii="Times New Roman" w:hAnsi="Times New Roman"/>
              <w:color w:val="FFFFFF"/>
              <w:sz w:val="20"/>
              <w:shd w:val="clear" w:color="auto" w:fill="000000"/>
            </w:rPr>
            <w:instrText xml:space="preserve"> PAGE </w:instrText>
          </w:r>
          <w:r>
            <w:rPr>
              <w:rStyle w:val="PageNumber"/>
              <w:rFonts w:ascii="Times New Roman" w:hAnsi="Times New Roman"/>
              <w:color w:val="FFFFFF"/>
              <w:sz w:val="20"/>
              <w:shd w:val="clear" w:color="auto" w:fill="000000"/>
            </w:rPr>
            <w:fldChar w:fldCharType="separate"/>
          </w:r>
          <w:r>
            <w:rPr>
              <w:rStyle w:val="PageNumber"/>
              <w:rFonts w:ascii="Times New Roman" w:hAnsi="Times New Roman"/>
              <w:noProof/>
              <w:color w:val="FFFFFF"/>
              <w:sz w:val="20"/>
              <w:shd w:val="clear" w:color="auto" w:fill="000000"/>
            </w:rPr>
            <w:t>1</w:t>
          </w:r>
          <w:r>
            <w:rPr>
              <w:rStyle w:val="PageNumber"/>
              <w:rFonts w:ascii="Times New Roman" w:hAnsi="Times New Roman"/>
              <w:color w:val="FFFFFF"/>
              <w:sz w:val="20"/>
              <w:shd w:val="clear" w:color="auto" w:fill="000000"/>
            </w:rPr>
            <w:fldChar w:fldCharType="end"/>
          </w:r>
          <w:r>
            <w:rPr>
              <w:rFonts w:ascii="Times New Roman" w:hAnsi="Times New Roman"/>
              <w:color w:val="FFFFFF"/>
              <w:sz w:val="20"/>
            </w:rPr>
            <w:t xml:space="preserve"> </w:t>
          </w:r>
        </w:p>
      </w:tc>
    </w:tr>
  </w:tbl>
  <w:p w:rsidR="00000000" w:rsidRDefault="00082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82364">
      <w:r>
        <w:separator/>
      </w:r>
    </w:p>
  </w:footnote>
  <w:footnote w:type="continuationSeparator" w:id="1">
    <w:p w:rsidR="00000000" w:rsidRDefault="0008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2C0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C07F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571E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AB6B04"/>
    <w:multiLevelType w:val="singleLevel"/>
    <w:tmpl w:val="92E4C06C"/>
    <w:lvl w:ilvl="0">
      <w:start w:val="2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ascii="Arial" w:hAnsi="Arial" w:hint="default"/>
        <w:b w:val="0"/>
      </w:rPr>
    </w:lvl>
  </w:abstractNum>
  <w:abstractNum w:abstractNumId="5">
    <w:nsid w:val="68F67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5D6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364"/>
    <w:rsid w:val="0008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Verdana" w:hAnsi="Verdana"/>
      <w:sz w:val="22"/>
    </w:rPr>
  </w:style>
  <w:style w:type="paragraph" w:styleId="BodyText2">
    <w:name w:val="Body Text 2"/>
    <w:basedOn w:val="Normal"/>
    <w:semiHidden/>
    <w:rPr>
      <w:rFonts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2111</Words>
  <Characters>12033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State of Iowa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Department of Management</dc:creator>
  <cp:keywords/>
  <dc:description/>
  <cp:lastModifiedBy>Margaret Noon</cp:lastModifiedBy>
  <cp:revision>2</cp:revision>
  <cp:lastPrinted>2003-08-21T21:00:00Z</cp:lastPrinted>
  <dcterms:created xsi:type="dcterms:W3CDTF">2009-02-17T21:51:00Z</dcterms:created>
  <dcterms:modified xsi:type="dcterms:W3CDTF">2009-02-17T21:51:00Z</dcterms:modified>
</cp:coreProperties>
</file>