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DC7">
      <w:pPr>
        <w:pStyle w:val="Title"/>
      </w:pPr>
      <w:r>
        <w:t>AGENCY PERFORMANCE PLAN</w:t>
      </w:r>
    </w:p>
    <w:p w:rsidR="00000000" w:rsidRDefault="00516DC7">
      <w:pPr>
        <w:jc w:val="center"/>
        <w:rPr>
          <w:b/>
          <w:bCs/>
        </w:rPr>
      </w:pPr>
      <w:r>
        <w:rPr>
          <w:b/>
          <w:bCs/>
        </w:rPr>
        <w:t>FY 2003</w:t>
      </w:r>
    </w:p>
    <w:p w:rsidR="00000000" w:rsidRDefault="00516DC7">
      <w:pPr>
        <w:jc w:val="center"/>
        <w:rPr>
          <w:b/>
          <w:bCs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726"/>
        <w:gridCol w:w="3438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Iowa Public Employees’ Retirement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16DC7">
            <w:pPr>
              <w:pStyle w:val="BodyText"/>
              <w:ind w:left="720"/>
            </w:pPr>
            <w:r>
              <w:rPr>
                <w:b/>
                <w:bCs/>
                <w:sz w:val="20"/>
              </w:rPr>
              <w:t xml:space="preserve">Agency Mission/Core Purpose:  </w:t>
            </w:r>
            <w:r>
              <w:t>To provide cost-effective and sufficient core retirement benefits and services exclusively to members and beneficiaries for their ca</w:t>
            </w:r>
            <w:r>
              <w:t>re in retirement, to reduce personnel turnover and to attract competent men and women to public service in the State of Iowa.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726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438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Retirement System Services and Benefits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To ensure employer compliance with laws, regulations and rules.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of employers found to be in full compliance during compliance reviews.</w:t>
            </w:r>
          </w:p>
        </w:tc>
        <w:tc>
          <w:tcPr>
            <w:tcW w:w="3438" w:type="dxa"/>
          </w:tcPr>
          <w:p w:rsidR="00000000" w:rsidRDefault="00516DC7">
            <w:pPr>
              <w:pStyle w:val="Heading1"/>
              <w:tabs>
                <w:tab w:val="clear" w:pos="240"/>
              </w:tabs>
            </w:pPr>
            <w: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pStyle w:val="BodyTextIndent"/>
              <w:ind w:left="0" w:firstLine="0"/>
              <w:jc w:val="left"/>
            </w:pPr>
            <w:r>
              <w:t>Strategy 5.5 Continue to emphasize fiduciary responsibi</w:t>
            </w:r>
            <w:r>
              <w:t>lity and statutory compliance to maintain the structural and financial integrity of the system.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To provide benefits and services to members that exceed their expectations and that strongly contribute to the economic stability and growth of the</w:t>
            </w:r>
            <w:r>
              <w:rPr>
                <w:b/>
                <w:bCs/>
                <w:sz w:val="20"/>
              </w:rPr>
              <w:t xml:space="preserve"> state.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of services rating in the highest quartile of peer retirement systems involved in the Cost Effectiveness Measurement benchmarking process.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Purpose, critical issue 4.6 and Goal 6.3:   IPERS will fully benchmark its b</w:t>
            </w:r>
            <w:r>
              <w:rPr>
                <w:b/>
                <w:bCs/>
                <w:sz w:val="20"/>
              </w:rPr>
              <w:t>enefits and services against peer and other retirement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systems</w:t>
            </w:r>
            <w:r>
              <w:rPr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726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438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Retirement Services and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Communication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 4110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A.  Counseling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very satisfied with service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percent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Maintain efforts-currently meeting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B. Estimates</w:t>
            </w:r>
          </w:p>
        </w:tc>
        <w:tc>
          <w:tcPr>
            <w:tcW w:w="3726" w:type="dxa"/>
          </w:tcPr>
          <w:p w:rsidR="00000000" w:rsidRDefault="00516DC7">
            <w:pPr>
              <w:numPr>
                <w:ilvl w:val="0"/>
                <w:numId w:val="15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mailed in 7 days</w:t>
            </w:r>
          </w:p>
          <w:p w:rsidR="00000000" w:rsidRDefault="00516DC7">
            <w:pPr>
              <w:numPr>
                <w:ilvl w:val="0"/>
                <w:numId w:val="15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members receiving estimates who rate service as “very satisfied.”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percent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Maintain effort –meeti</w:t>
            </w:r>
            <w:r>
              <w:rPr>
                <w:b/>
                <w:bCs/>
                <w:sz w:val="20"/>
              </w:rPr>
              <w:t>ng goal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ab/>
              <w:t>C.Telephone Calls</w:t>
            </w:r>
          </w:p>
        </w:tc>
        <w:tc>
          <w:tcPr>
            <w:tcW w:w="3726" w:type="dxa"/>
          </w:tcPr>
          <w:p w:rsidR="00000000" w:rsidRDefault="00516DC7">
            <w:pPr>
              <w:numPr>
                <w:ilvl w:val="0"/>
                <w:numId w:val="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calls answered in 20 seconds</w:t>
            </w:r>
          </w:p>
          <w:p w:rsidR="00000000" w:rsidRDefault="00516DC7">
            <w:pPr>
              <w:numPr>
                <w:ilvl w:val="0"/>
                <w:numId w:val="1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members rating telephone service as “very satisfied.”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percent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Maintain effort – meeting goal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Develop, complete and tabulate a survey.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D.  Retirement education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par</w:t>
            </w:r>
            <w:r>
              <w:rPr>
                <w:b/>
                <w:bCs/>
                <w:sz w:val="20"/>
              </w:rPr>
              <w:t>ticipants rating “very good”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Improve presentations based on member feedback.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E.  Retirement Payments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payments on time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percent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Maintain performance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Employer Services and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Communication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Org#4110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A.  Compliance Re</w:t>
            </w:r>
            <w:r>
              <w:rPr>
                <w:b/>
                <w:bCs/>
                <w:sz w:val="20"/>
              </w:rPr>
              <w:t>views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found in full compliance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See Outcome above.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B.  Employer Training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rating training as “very informative”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Revise survey tool.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C.  Employer Appeals</w:t>
            </w:r>
          </w:p>
        </w:tc>
        <w:tc>
          <w:tcPr>
            <w:tcW w:w="3726" w:type="dxa"/>
          </w:tcPr>
          <w:p w:rsidR="00000000" w:rsidRDefault="00516DC7">
            <w:pPr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 resolved in 30 days</w:t>
            </w:r>
          </w:p>
          <w:p w:rsidR="00000000" w:rsidRDefault="00516DC7">
            <w:pPr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resolved in favor of IPERS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</w:t>
            </w:r>
            <w:r>
              <w:rPr>
                <w:b/>
                <w:bCs/>
                <w:sz w:val="20"/>
              </w:rPr>
              <w:t>ine in FY 2004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percent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Revise appeals review process to expedite decision making.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Member Services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Org#4110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pStyle w:val="Heading1"/>
            </w:pPr>
            <w:r>
              <w:tab/>
              <w:t>A.  Refund payments</w:t>
            </w:r>
          </w:p>
        </w:tc>
        <w:tc>
          <w:tcPr>
            <w:tcW w:w="3726" w:type="dxa"/>
          </w:tcPr>
          <w:p w:rsidR="00000000" w:rsidRDefault="00516DC7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applications processed in 3 days</w:t>
            </w:r>
          </w:p>
          <w:p w:rsidR="00000000" w:rsidRDefault="00516DC7">
            <w:pPr>
              <w:numPr>
                <w:ilvl w:val="0"/>
                <w:numId w:val="5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members rating refund service as “very satisfied.”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percent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</w:p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</w:t>
            </w:r>
            <w:r>
              <w:rPr>
                <w:b/>
                <w:bCs/>
                <w:sz w:val="20"/>
              </w:rPr>
              <w:t>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Maintain performance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</w:p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Conduct random survey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B.  Beneficiary information and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Payments</w:t>
            </w:r>
          </w:p>
        </w:tc>
        <w:tc>
          <w:tcPr>
            <w:tcW w:w="3726" w:type="dxa"/>
          </w:tcPr>
          <w:p w:rsidR="00000000" w:rsidRDefault="00516DC7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forms sent within 5 days of receipt</w:t>
            </w:r>
          </w:p>
          <w:p w:rsidR="00000000" w:rsidRDefault="00516DC7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Payments made in 10 Days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Baseline in FY 2004 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</w:p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Document and track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>C.  Service Purchases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member info requests to actuary in 5 days of request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Track service purchase information through database.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D.  Disability and Special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Services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disability eligibility determinations complete</w:t>
            </w:r>
            <w:r>
              <w:rPr>
                <w:b/>
                <w:bCs/>
                <w:sz w:val="20"/>
              </w:rPr>
              <w:t>d in 70 days or less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Track through database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Member Communication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Org#:  4110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pStyle w:val="Heading2"/>
            </w:pPr>
            <w:r>
              <w:t>Website</w:t>
            </w:r>
          </w:p>
          <w:p w:rsidR="00000000" w:rsidRDefault="00516DC7">
            <w:pPr>
              <w:tabs>
                <w:tab w:val="left" w:pos="240"/>
              </w:tabs>
              <w:ind w:left="360"/>
              <w:rPr>
                <w:b/>
                <w:bCs/>
                <w:sz w:val="20"/>
              </w:rPr>
            </w:pP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members, retirees and employers “very satisfied” with website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Implement survey software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pStyle w:val="Heading2"/>
            </w:pPr>
            <w:r>
              <w:t>Publications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me</w:t>
            </w:r>
            <w:r>
              <w:rPr>
                <w:b/>
                <w:bCs/>
                <w:sz w:val="20"/>
              </w:rPr>
              <w:t>mbers, retirees and employers “very satisfied” with publications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Place survey in publications or conduct random survey of individuals receiving publications.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pStyle w:val="Heading2"/>
            </w:pPr>
            <w:r>
              <w:t>Annual Statements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members who complain about the accuracy of information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Track complaints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 Employee Satisfaction and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Development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Org#:  4110</w:t>
            </w:r>
          </w:p>
        </w:tc>
        <w:tc>
          <w:tcPr>
            <w:tcW w:w="3726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Employees who indicate satisfaction with their jobs</w:t>
            </w:r>
          </w:p>
        </w:tc>
        <w:tc>
          <w:tcPr>
            <w:tcW w:w="3438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Survey employees</w:t>
            </w:r>
          </w:p>
          <w:p w:rsidR="00000000" w:rsidRDefault="00516DC7">
            <w:pPr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Establish teams</w:t>
            </w:r>
          </w:p>
          <w:p w:rsidR="00000000" w:rsidRDefault="00516DC7">
            <w:pPr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Complete employee satisfaction, recognition and </w:t>
            </w:r>
            <w:r>
              <w:rPr>
                <w:b/>
                <w:bCs/>
                <w:sz w:val="20"/>
              </w:rPr>
              <w:t>involvement plan</w:t>
            </w:r>
          </w:p>
        </w:tc>
      </w:tr>
    </w:tbl>
    <w:p w:rsidR="00000000" w:rsidRDefault="00516DC7">
      <w:pPr>
        <w:pStyle w:val="Title"/>
      </w:pPr>
      <w:r>
        <w:lastRenderedPageBreak/>
        <w:t>AGENCY PERFORMANCE PLAN</w:t>
      </w:r>
    </w:p>
    <w:p w:rsidR="00000000" w:rsidRDefault="00516DC7">
      <w:pPr>
        <w:jc w:val="center"/>
        <w:rPr>
          <w:b/>
          <w:bCs/>
        </w:rPr>
      </w:pPr>
      <w:r>
        <w:rPr>
          <w:b/>
          <w:bCs/>
        </w:rPr>
        <w:t>FY 2003</w:t>
      </w:r>
    </w:p>
    <w:p w:rsidR="00000000" w:rsidRDefault="00516DC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:  Iowa Public Employees’ Retirement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516DC7">
            <w:pPr>
              <w:pStyle w:val="BodyText"/>
              <w:ind w:left="720"/>
            </w:pPr>
            <w:r>
              <w:rPr>
                <w:b/>
                <w:bCs/>
                <w:sz w:val="20"/>
              </w:rPr>
              <w:t xml:space="preserve">Agency Mission/Core Purpose:  </w:t>
            </w:r>
            <w:r>
              <w:t>To provide cost-effective and sufficient core retirement benefits and services exclusively to members and benefi</w:t>
            </w:r>
            <w:r>
              <w:t>ciaries for their care in retirement, to reduce personnel turnover and to attract competent men and women to public service in the State of Iowa.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Resource Management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  To ensure IPERS’ operational effectiveness and fiscal stability. </w:t>
            </w:r>
          </w:p>
        </w:tc>
        <w:tc>
          <w:tcPr>
            <w:tcW w:w="3582" w:type="dxa"/>
          </w:tcPr>
          <w:p w:rsidR="00000000" w:rsidRDefault="00516DC7">
            <w:pPr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transactions completed accurately and timely</w:t>
            </w:r>
          </w:p>
          <w:p w:rsidR="00000000" w:rsidRDefault="00516DC7">
            <w:pPr>
              <w:numPr>
                <w:ilvl w:val="0"/>
                <w:numId w:val="17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% of post-audit expenditures in compliance with state laws and </w:t>
            </w:r>
          </w:p>
          <w:p w:rsidR="00000000" w:rsidRDefault="00516DC7">
            <w:pPr>
              <w:ind w:left="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regulations.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</w:p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</w:t>
            </w:r>
            <w:r>
              <w:rPr>
                <w:b/>
                <w:bCs/>
                <w:sz w:val="20"/>
              </w:rPr>
              <w:t>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IPERS Strategy 5.5:</w:t>
            </w:r>
            <w:r>
              <w:rPr>
                <w:b/>
                <w:bCs/>
                <w:sz w:val="20"/>
              </w:rPr>
              <w:tab/>
              <w:t>Continue to emphasize fiduciary responsibility and statutory compliance to maintain the structural and financial integrity of the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To provide timely and accurate support and business services to management, st</w:t>
            </w:r>
            <w:r>
              <w:rPr>
                <w:b/>
                <w:bCs/>
                <w:sz w:val="20"/>
              </w:rPr>
              <w:t>aff, and other stakeholders.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staff who are “very satisfied” with support and business services on survey.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pStyle w:val="BodyTextIndent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IPERS Strategy 5.4</w:t>
            </w:r>
            <w:r>
              <w:rPr>
                <w:b w:val="0"/>
                <w:bCs w:val="0"/>
              </w:rPr>
              <w:tab/>
              <w:t>Redirect and increase resources for development of staff, members and computer system to meet increased de</w:t>
            </w:r>
            <w:r>
              <w:rPr>
                <w:b w:val="0"/>
                <w:bCs w:val="0"/>
              </w:rPr>
              <w:t>mands for core and additional services, and strategic priorities.</w:t>
            </w:r>
          </w:p>
          <w:p w:rsidR="00000000" w:rsidRDefault="00516DC7">
            <w:pPr>
              <w:pStyle w:val="BodyTextIndent"/>
              <w:ind w:left="0" w:firstLine="0"/>
              <w:jc w:val="lef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To fulfill total fund portfolio investment return objectives that represent challenging, reasoned and cost effective goals, that have been approved by the IPERS Investment Board and th</w:t>
            </w:r>
            <w:r>
              <w:rPr>
                <w:b/>
                <w:bCs/>
                <w:sz w:val="20"/>
              </w:rPr>
              <w:t xml:space="preserve">at meet statutory standards.  </w:t>
            </w:r>
          </w:p>
        </w:tc>
        <w:tc>
          <w:tcPr>
            <w:tcW w:w="3582" w:type="dxa"/>
          </w:tcPr>
          <w:p w:rsidR="00000000" w:rsidRDefault="00516DC7">
            <w:pPr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Number of Board-approved long-term total fund investment return objectives that have been fulfilled over rolling ten-year periods.  </w:t>
            </w:r>
          </w:p>
          <w:p w:rsidR="00000000" w:rsidRDefault="00516DC7">
            <w:pPr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Cost of administering the program, expressed as basis points of total fund market value, as </w:t>
            </w:r>
            <w:r>
              <w:rPr>
                <w:b/>
                <w:bCs/>
                <w:sz w:val="20"/>
              </w:rPr>
              <w:t>defined in IPERS’ administrative rules.</w:t>
            </w:r>
          </w:p>
        </w:tc>
        <w:tc>
          <w:tcPr>
            <w:tcW w:w="3582" w:type="dxa"/>
          </w:tcPr>
          <w:p w:rsidR="00000000" w:rsidRDefault="00516DC7">
            <w:pPr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 of objectives fulfilled.</w:t>
            </w:r>
          </w:p>
          <w:p w:rsidR="00000000" w:rsidRDefault="00516DC7">
            <w:pPr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Program costs will not exceed statutory maximum of 40 basis points.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IPERS Strategy 5.5:</w:t>
            </w:r>
            <w:r>
              <w:rPr>
                <w:b/>
                <w:bCs/>
                <w:sz w:val="20"/>
              </w:rPr>
              <w:tab/>
              <w:t>Continue to emphasize fiduciary responsibility and statutory compliance to maintain the structural</w:t>
            </w:r>
            <w:r>
              <w:rPr>
                <w:b/>
                <w:bCs/>
                <w:sz w:val="20"/>
              </w:rPr>
              <w:t xml:space="preserve"> and financial integrity of the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4.  To maintain actuarial soundness of IPERS fund. 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actuarial findings requiring responses or corrective actions.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IPERS Strategy 5.5:</w:t>
            </w:r>
            <w:r>
              <w:rPr>
                <w:b/>
                <w:bCs/>
                <w:sz w:val="20"/>
              </w:rPr>
              <w:tab/>
              <w:t>Continue to emphasize fiduciary responsibility and statut</w:t>
            </w:r>
            <w:r>
              <w:rPr>
                <w:b/>
                <w:bCs/>
                <w:sz w:val="20"/>
              </w:rPr>
              <w:t>ory compliance to maintain the structural and financial integrity of the system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516D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516DC7">
            <w:pPr>
              <w:pStyle w:val="Heading2"/>
            </w:pPr>
            <w: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Investments Management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Org#:  4110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A.  Oversight of investme</w:t>
            </w:r>
            <w:r>
              <w:rPr>
                <w:b/>
                <w:bCs/>
                <w:sz w:val="20"/>
              </w:rPr>
              <w:t>nt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manager performance.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Provide net-of-fee total fund investment returns that, over rolling ten-year periods:</w:t>
            </w:r>
          </w:p>
          <w:p w:rsidR="00000000" w:rsidRDefault="00516DC7">
            <w:pPr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Exceed the rate of inflation (CPI) by at least 300 basis points (3%);</w:t>
            </w:r>
          </w:p>
          <w:p w:rsidR="00000000" w:rsidRDefault="00516DC7">
            <w:pPr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Exceed the 7.5% actuarial interest rate assumption;</w:t>
            </w:r>
          </w:p>
          <w:p w:rsidR="00000000" w:rsidRDefault="00516DC7">
            <w:pPr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At least meets </w:t>
            </w:r>
            <w:r>
              <w:rPr>
                <w:b/>
                <w:bCs/>
                <w:sz w:val="20"/>
              </w:rPr>
              <w:t>IPERS’ total fund policy benchmark;</w:t>
            </w:r>
          </w:p>
          <w:p w:rsidR="00000000" w:rsidRDefault="00516DC7">
            <w:pPr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Exceeds the median risk-adjusted return of the TUCS Public Funds &gt;$1 Billion Universe.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 of objectives fulfilled.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Track performance to objectives on ongoing basis and recommend adjustment of the investment program as</w:t>
            </w:r>
            <w:r>
              <w:rPr>
                <w:b/>
                <w:bCs/>
                <w:sz w:val="20"/>
              </w:rPr>
              <w:t xml:space="preserve"> necessary to meet objectives.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B.  Negotiation of investment service contractor fees and expenditure of funds for non-contractor costs.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Costs measured on fiscal year basis as basis points of the total fund market value, as defined in IPERS’ administrativ</w:t>
            </w:r>
            <w:r>
              <w:rPr>
                <w:b/>
                <w:bCs/>
                <w:sz w:val="20"/>
              </w:rPr>
              <w:t>e rules.</w:t>
            </w:r>
          </w:p>
        </w:tc>
        <w:tc>
          <w:tcPr>
            <w:tcW w:w="3582" w:type="dxa"/>
          </w:tcPr>
          <w:p w:rsidR="00000000" w:rsidRDefault="00516DC7">
            <w:pPr>
              <w:pStyle w:val="BodyText2"/>
            </w:pPr>
            <w:r>
              <w:t>(1) Program costs on fiscal year basis will not exceed statutory maximum of 40 basis points.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(2) IPERS’ costs will compare favorably with those of similar public pension plans per credible third-party survey.   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(1) Compare fiscal year costs to 40</w:t>
            </w:r>
            <w:r>
              <w:rPr>
                <w:b/>
                <w:bCs/>
                <w:sz w:val="20"/>
              </w:rPr>
              <w:t xml:space="preserve"> basis point statutory maximum.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(2) Participate in and report IPERS’ relative ranking in credible third-party annual surveys.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Administration Services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Org#:  4110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A.  Accounting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See Outcome 1 above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B.  Complete timely and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acc</w:t>
            </w:r>
            <w:r>
              <w:rPr>
                <w:b/>
                <w:bCs/>
                <w:sz w:val="20"/>
              </w:rPr>
              <w:t>urate annual  actuarial valuation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months to receipt of completed report.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Final report concluded within 5 months of end of fiscal year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Monitor progress.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C.  Personnel Services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compliance with segregation of duties for payroll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percent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</w:t>
            </w:r>
            <w:r>
              <w:rPr>
                <w:b/>
                <w:bCs/>
                <w:sz w:val="20"/>
              </w:rPr>
              <w:t>ercise controls.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D.  Budgeting Services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of compliance with DOM standards on monetary resource management.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percent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Monitor budget development against resource standards.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E.  Office Services and Property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Management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weaknesses d</w:t>
            </w:r>
            <w:r>
              <w:rPr>
                <w:b/>
                <w:bCs/>
                <w:sz w:val="20"/>
              </w:rPr>
              <w:t>iscovered in testing of disaster recovery plan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Track and document weaknesses discovered in test plan as indirect measure of test plan effectiveness.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Legal Requirements Developing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Communicating, Enforcing and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Coordina</w:t>
            </w:r>
            <w:r>
              <w:rPr>
                <w:b/>
                <w:bCs/>
                <w:sz w:val="20"/>
              </w:rPr>
              <w:t>ting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Org#:  4110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A.  Iowa Code and Administrative 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Rule Maintenance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administrative rules filed within 6 months of state or federal law changes.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Track administrative rule changes.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pStyle w:val="Heading1"/>
            </w:pPr>
            <w:r>
              <w:t>B.   Assignments Processing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final co</w:t>
            </w:r>
            <w:r>
              <w:rPr>
                <w:b/>
                <w:bCs/>
                <w:sz w:val="20"/>
              </w:rPr>
              <w:t>urt orders reviewed and responded to in 10 working days.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Track time required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   Appeals Coordination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 of appeals from Final Agency Decision forwarded to Division of Administrative Hearings in 10 working days (20 days for disability</w:t>
            </w:r>
            <w:r>
              <w:rPr>
                <w:b/>
                <w:bCs/>
                <w:sz w:val="20"/>
              </w:rPr>
              <w:t xml:space="preserve"> appeals)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Track and document results for appeals sent to Division of Administrative Hearings.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Information Management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 #:  4110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pStyle w:val="Heading1"/>
            </w:pPr>
            <w:r>
              <w:tab/>
              <w:t>A.  Application Developing and</w:t>
            </w:r>
          </w:p>
          <w:p w:rsidR="00000000" w:rsidRDefault="00516DC7">
            <w:pPr>
              <w:pStyle w:val="Heading1"/>
            </w:pPr>
            <w:r>
              <w:t xml:space="preserve">         Maintaining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error reports resolved within 10 days</w:t>
            </w:r>
          </w:p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Track disposition of complaints.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B.  Technology Acquiring and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Managing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 of time that production systems and Domino/Lotus Notes is up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percent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Maintain effort and make necessary enhancements.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C.  Project Management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</w:t>
            </w:r>
            <w:r>
              <w:rPr>
                <w:b/>
                <w:bCs/>
                <w:sz w:val="20"/>
              </w:rPr>
              <w:t>f projects completed on time.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Track and document information on completion time.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 Planning and Research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 #:  4110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pStyle w:val="Heading1"/>
            </w:pPr>
            <w:r>
              <w:tab/>
              <w:t>A.  Strategic Plan Development</w:t>
            </w:r>
          </w:p>
          <w:p w:rsidR="00000000" w:rsidRDefault="00516DC7">
            <w:pPr>
              <w:pStyle w:val="Heading1"/>
            </w:pPr>
            <w:r>
              <w:t xml:space="preserve">         and Revision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goals implemented timely and accurately.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</w:t>
            </w:r>
            <w:r>
              <w:rPr>
                <w:b/>
                <w:bCs/>
                <w:sz w:val="20"/>
              </w:rPr>
              <w:t xml:space="preserve">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Monitor and document implementation progress.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B.  Iowa Excellence Assessment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and Improvement Plans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improvements  completed.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Develop improvement plans and track progress.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C. CEM Benchmarking Survey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See outcome </w:t>
            </w:r>
            <w:r>
              <w:rPr>
                <w:b/>
                <w:bCs/>
                <w:sz w:val="20"/>
              </w:rPr>
              <w:t>measure above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D.  Accountable Government Act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Requirements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requirements implemented timely and accurately.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Determine completion requirements and track progress.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  Internal Audit</w:t>
            </w:r>
          </w:p>
          <w:p w:rsidR="00000000" w:rsidRDefault="00516DC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 #:  4110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516DC7">
            <w:pPr>
              <w:pStyle w:val="Heading1"/>
            </w:pPr>
            <w:r>
              <w:tab/>
              <w:t>A.  Internal Au</w:t>
            </w:r>
            <w:r>
              <w:t xml:space="preserve">dit Plan </w:t>
            </w:r>
          </w:p>
          <w:p w:rsidR="00000000" w:rsidRDefault="00516DC7">
            <w:pPr>
              <w:pStyle w:val="Heading1"/>
            </w:pPr>
            <w:r>
              <w:t xml:space="preserve">          Development and Reviews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of accepted recommendations implemented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Baseline in FY 2004</w:t>
            </w:r>
          </w:p>
        </w:tc>
        <w:tc>
          <w:tcPr>
            <w:tcW w:w="3582" w:type="dxa"/>
          </w:tcPr>
          <w:p w:rsidR="00000000" w:rsidRDefault="00516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Track acceptance and implementation efforts.</w:t>
            </w:r>
          </w:p>
        </w:tc>
      </w:tr>
    </w:tbl>
    <w:p w:rsidR="00000000" w:rsidRDefault="00516DC7">
      <w:pPr>
        <w:rPr>
          <w:b/>
          <w:bCs/>
        </w:rPr>
      </w:pPr>
    </w:p>
    <w:p w:rsidR="00000000" w:rsidRDefault="00516DC7"/>
    <w:sectPr w:rsidR="00000000">
      <w:headerReference w:type="default" r:id="rId7"/>
      <w:footerReference w:type="default" r:id="rId8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16DC7">
      <w:r>
        <w:separator/>
      </w:r>
    </w:p>
  </w:endnote>
  <w:endnote w:type="continuationSeparator" w:id="1">
    <w:p w:rsidR="00000000" w:rsidRDefault="0051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Set SW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DC7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>C:\Documents and Settings\lleto\Local Settings\Temporary Internet Files\OLK4\IPE</w:t>
    </w:r>
    <w:r>
      <w:rPr>
        <w:noProof/>
        <w:sz w:val="20"/>
      </w:rPr>
      <w:t>RS En Perf Ret Services 6.10.03.doc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16DC7">
      <w:r>
        <w:separator/>
      </w:r>
    </w:p>
  </w:footnote>
  <w:footnote w:type="continuationSeparator" w:id="1">
    <w:p w:rsidR="00000000" w:rsidRDefault="0051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6DC7">
    <w:pPr>
      <w:pStyle w:val="Header"/>
      <w:jc w:val="center"/>
      <w:rPr>
        <w:b/>
        <w:bCs/>
      </w:rPr>
    </w:pPr>
    <w:r>
      <w:rPr>
        <w:b/>
        <w:bCs/>
      </w:rPr>
      <w:t>DRAFT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02A"/>
    <w:multiLevelType w:val="hybridMultilevel"/>
    <w:tmpl w:val="A4CA61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55758"/>
    <w:multiLevelType w:val="hybridMultilevel"/>
    <w:tmpl w:val="0848F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12024A"/>
    <w:multiLevelType w:val="hybridMultilevel"/>
    <w:tmpl w:val="16B45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743939"/>
    <w:multiLevelType w:val="hybridMultilevel"/>
    <w:tmpl w:val="E95E38E2"/>
    <w:lvl w:ilvl="0" w:tplc="CF3CA6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 Set SWA" w:hAnsi="Symbol Set SW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89565B"/>
    <w:multiLevelType w:val="hybridMultilevel"/>
    <w:tmpl w:val="3D0669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891792"/>
    <w:multiLevelType w:val="hybridMultilevel"/>
    <w:tmpl w:val="EB28F80E"/>
    <w:lvl w:ilvl="0" w:tplc="B7D2616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E7AD4"/>
    <w:multiLevelType w:val="hybridMultilevel"/>
    <w:tmpl w:val="E22420FC"/>
    <w:lvl w:ilvl="0" w:tplc="6A6E5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 Set SWA" w:hAnsi="Symbol Set SW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120E6F"/>
    <w:multiLevelType w:val="hybridMultilevel"/>
    <w:tmpl w:val="C37E6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F424FF"/>
    <w:multiLevelType w:val="multilevel"/>
    <w:tmpl w:val="C37E6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D0268E"/>
    <w:multiLevelType w:val="hybridMultilevel"/>
    <w:tmpl w:val="7D964182"/>
    <w:lvl w:ilvl="0" w:tplc="CF3CA6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 Set SWA" w:hAnsi="Symbol Set SW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1417B1"/>
    <w:multiLevelType w:val="hybridMultilevel"/>
    <w:tmpl w:val="27FEBC44"/>
    <w:lvl w:ilvl="0" w:tplc="695EA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C346A"/>
    <w:multiLevelType w:val="hybridMultilevel"/>
    <w:tmpl w:val="08FE4D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37056E"/>
    <w:multiLevelType w:val="hybridMultilevel"/>
    <w:tmpl w:val="02BE922C"/>
    <w:lvl w:ilvl="0" w:tplc="CF3CA6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 Set SWA" w:hAnsi="Symbol Set SW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334FDE"/>
    <w:multiLevelType w:val="multilevel"/>
    <w:tmpl w:val="C37E6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2161338"/>
    <w:multiLevelType w:val="hybridMultilevel"/>
    <w:tmpl w:val="0848F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E2008"/>
    <w:multiLevelType w:val="multilevel"/>
    <w:tmpl w:val="16B45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B8679A"/>
    <w:multiLevelType w:val="hybridMultilevel"/>
    <w:tmpl w:val="9BDCE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CB2850"/>
    <w:multiLevelType w:val="multilevel"/>
    <w:tmpl w:val="16B45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5F701A"/>
    <w:multiLevelType w:val="hybridMultilevel"/>
    <w:tmpl w:val="D2F81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5"/>
  </w:num>
  <w:num w:numId="5">
    <w:abstractNumId w:val="6"/>
  </w:num>
  <w:num w:numId="6">
    <w:abstractNumId w:val="17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12"/>
  </w:num>
  <w:num w:numId="12">
    <w:abstractNumId w:val="18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DC7"/>
    <w:rsid w:val="0051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240"/>
      </w:tabs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Cs w:val="20"/>
    </w:rPr>
  </w:style>
  <w:style w:type="paragraph" w:styleId="BodyTextIndent">
    <w:name w:val="Body Text Indent"/>
    <w:basedOn w:val="Normal"/>
    <w:semiHidden/>
    <w:pPr>
      <w:ind w:left="360" w:hanging="360"/>
      <w:jc w:val="both"/>
    </w:pPr>
    <w:rPr>
      <w:b/>
      <w:bCs/>
      <w:sz w:val="20"/>
    </w:rPr>
  </w:style>
  <w:style w:type="paragraph" w:styleId="BodyText2">
    <w:name w:val="Body Text 2"/>
    <w:basedOn w:val="Normal"/>
    <w:semiHidden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1589</Words>
  <Characters>9061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2003-06-12T21:08:00Z</cp:lastPrinted>
  <dcterms:created xsi:type="dcterms:W3CDTF">2009-02-17T21:24:00Z</dcterms:created>
  <dcterms:modified xsi:type="dcterms:W3CDTF">2009-02-17T21:24:00Z</dcterms:modified>
</cp:coreProperties>
</file>