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273">
      <w:pPr>
        <w:pStyle w:val="Title"/>
      </w:pPr>
      <w:r>
        <w:t>AGENCY PERFORMANCE PLAN</w:t>
      </w:r>
    </w:p>
    <w:p w:rsidR="00000000" w:rsidRDefault="00516273">
      <w:pPr>
        <w:jc w:val="center"/>
        <w:rPr>
          <w:b/>
          <w:bCs/>
        </w:rPr>
      </w:pPr>
      <w:r>
        <w:rPr>
          <w:b/>
          <w:bCs/>
        </w:rPr>
        <w:t>FY 2004</w:t>
      </w:r>
    </w:p>
    <w:p w:rsidR="00000000" w:rsidRDefault="00516273">
      <w:pPr>
        <w:jc w:val="center"/>
        <w:rPr>
          <w:b/>
          <w:bCs/>
        </w:rPr>
      </w:pPr>
    </w:p>
    <w:p w:rsidR="00000000" w:rsidRDefault="0051627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9"/>
        <w:gridCol w:w="3195"/>
        <w:gridCol w:w="3185"/>
        <w:gridCol w:w="34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Governor’s Office of Drug Control Policy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Mission:  To serve as a leader and a catalyst for improving the health and safety of all Iowans by promoting strategic approaches and collaboration to red</w:t>
            </w:r>
            <w:r>
              <w:rPr>
                <w:b/>
                <w:bCs/>
                <w:sz w:val="20"/>
              </w:rPr>
              <w:t>uce drug use and related crime.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195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185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09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Advocacy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Develop and implement a comprehensive statewide drug control strategy and update annually to</w:t>
            </w:r>
            <w:r>
              <w:rPr>
                <w:b/>
                <w:bCs/>
                <w:sz w:val="20"/>
              </w:rPr>
              <w:t xml:space="preserve"> coordinate efforts and maximize the utilization of resources between state, federal, and local agencies.  (</w:t>
            </w:r>
            <w:proofErr w:type="gramStart"/>
            <w:r>
              <w:rPr>
                <w:b/>
                <w:bCs/>
                <w:sz w:val="20"/>
              </w:rPr>
              <w:t>reference</w:t>
            </w:r>
            <w:proofErr w:type="gramEnd"/>
            <w:r>
              <w:rPr>
                <w:b/>
                <w:bCs/>
                <w:sz w:val="20"/>
              </w:rPr>
              <w:t>:  http//www.state.is.us/government/odcp/about index.html ).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Percent of state agencies addressing drug use and related crime participating </w:t>
            </w:r>
            <w:r>
              <w:rPr>
                <w:b/>
                <w:bCs/>
                <w:sz w:val="20"/>
              </w:rPr>
              <w:t>in  developing, implementing, and updating of Iowa’s Drug</w:t>
            </w:r>
          </w:p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Strategy.</w:t>
            </w: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Collaborative Iowa Drug Control Strategy is updated annually.</w:t>
            </w: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1:  Enhance coordination and leadership to improve Iowa’s response to drug use and related crime.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Initiate </w:t>
            </w:r>
            <w:r>
              <w:rPr>
                <w:b/>
                <w:bCs/>
                <w:sz w:val="20"/>
              </w:rPr>
              <w:t>innovative approaches and embed</w:t>
            </w:r>
          </w:p>
          <w:p w:rsidR="00000000" w:rsidRDefault="00516273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promising</w:t>
            </w:r>
            <w:proofErr w:type="gramEnd"/>
            <w:r>
              <w:rPr>
                <w:b/>
                <w:bCs/>
                <w:sz w:val="20"/>
              </w:rPr>
              <w:t xml:space="preserve"> or proven techniques to reduce the supply of and demand for illegal drugs.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new/innovative programs meeting or exceeding objectives.</w:t>
            </w: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 of new/innovative programs meeting or exceeding objectives.</w:t>
            </w: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195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185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09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Strategy Development</w:t>
            </w:r>
          </w:p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(1030, 1031, 1150, 1170)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A. Annual Iowa Drug Control Strategy </w:t>
            </w:r>
          </w:p>
        </w:tc>
        <w:tc>
          <w:tcPr>
            <w:tcW w:w="319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strategy objectives achieved annually.</w:t>
            </w:r>
          </w:p>
        </w:tc>
        <w:tc>
          <w:tcPr>
            <w:tcW w:w="3185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5% of strategy objectives are achieved annually.</w:t>
            </w:r>
          </w:p>
        </w:tc>
        <w:tc>
          <w:tcPr>
            <w:tcW w:w="3409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Increase collaboration among state agencies to identify and refine drug control priorities.</w:t>
            </w:r>
          </w:p>
        </w:tc>
      </w:tr>
    </w:tbl>
    <w:p w:rsidR="00000000" w:rsidRDefault="005162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Community Coordination and </w:t>
            </w:r>
            <w:r>
              <w:rPr>
                <w:b/>
                <w:bCs/>
                <w:sz w:val="20"/>
              </w:rPr>
              <w:t>Development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leverage and fairly administer federal grant funds and other resources to strengthen local and state drug enforcement and treatment efforts focusing primarily on criminal offenders in Iowa, and to enhance s</w:t>
            </w:r>
            <w:r>
              <w:rPr>
                <w:b/>
                <w:bCs/>
                <w:sz w:val="20"/>
              </w:rPr>
              <w:t>ubstance abuse prevention efforts at the community level.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Iowa counties warranting receipt of federal grant funds from ODCP.</w:t>
            </w:r>
          </w:p>
          <w:p w:rsidR="00000000" w:rsidRDefault="00516273">
            <w:pPr>
              <w:rPr>
                <w:b/>
                <w:bCs/>
                <w:sz w:val="20"/>
              </w:rPr>
            </w:pPr>
          </w:p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other resources leveraged in support of ODCP federal grant funded projects.</w:t>
            </w:r>
          </w:p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70% of Iowa counties will recei</w:t>
            </w:r>
            <w:r>
              <w:rPr>
                <w:b/>
                <w:bCs/>
                <w:sz w:val="20"/>
              </w:rPr>
              <w:t>ve federal grant funding from ODCP.</w:t>
            </w:r>
          </w:p>
          <w:p w:rsidR="00000000" w:rsidRDefault="00516273">
            <w:pPr>
              <w:rPr>
                <w:b/>
                <w:bCs/>
                <w:sz w:val="20"/>
              </w:rPr>
            </w:pPr>
          </w:p>
          <w:p w:rsidR="00000000" w:rsidRDefault="00516273">
            <w:pPr>
              <w:rPr>
                <w:b/>
                <w:bCs/>
                <w:sz w:val="20"/>
              </w:rPr>
            </w:pPr>
          </w:p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25% of resources supporting ODCP federal grant funded projects will be leveraged through other sources.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#2:  Improve the ability of state and local government, and private partners to enforce drug laws and provide</w:t>
            </w:r>
            <w:r>
              <w:rPr>
                <w:b/>
                <w:bCs/>
                <w:sz w:val="20"/>
              </w:rPr>
              <w:t xml:space="preserve"> substance abuse prevention and treatment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162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Grant Administration</w:t>
            </w:r>
          </w:p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(1031, 1150, 1170, dare)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 Edward Byrne Memorial State &amp; Loc</w:t>
            </w:r>
            <w:r>
              <w:rPr>
                <w:b/>
                <w:bCs/>
                <w:sz w:val="20"/>
              </w:rPr>
              <w:t>al Law Enforcement Assistance Formula Grant Program and the  Residential Substance Abuse Treatment Grant Program</w:t>
            </w:r>
          </w:p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grant funded programs meeting objectives to warrant continued funding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85% of grant funded programs will meet objectives to warrant </w:t>
            </w:r>
            <w:r>
              <w:rPr>
                <w:b/>
                <w:bCs/>
                <w:sz w:val="20"/>
              </w:rPr>
              <w:t>continued funding.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performance-based grant incentives and increase site monitoring/assistance.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B. Local Law Enforcement Block Grant Program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LLEBG grant awards for initiation of a new program &amp;/or to a new recipient agency.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30% of LLEBG</w:t>
            </w:r>
            <w:r>
              <w:rPr>
                <w:b/>
                <w:bCs/>
                <w:sz w:val="20"/>
              </w:rPr>
              <w:t xml:space="preserve"> grant awards will be made for initiation of a new program &amp;/or to a new recipient agency.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Increase outreach to underserved local law enforcement agencies in rural communities.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273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Nonformula grant funds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nonformula grant funds secured through OD</w:t>
            </w:r>
            <w:r>
              <w:rPr>
                <w:b/>
                <w:bCs/>
                <w:sz w:val="20"/>
              </w:rPr>
              <w:t>CP on behalf of Iowans.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10% of all funds administered by ODCP will consist of nonformula grant funding.</w:t>
            </w:r>
          </w:p>
        </w:tc>
        <w:tc>
          <w:tcPr>
            <w:tcW w:w="3582" w:type="dxa"/>
          </w:tcPr>
          <w:p w:rsidR="00000000" w:rsidRDefault="005162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 emerging needs and negotiate nonstate resources to help meet those needs.</w:t>
            </w:r>
          </w:p>
        </w:tc>
      </w:tr>
    </w:tbl>
    <w:p w:rsidR="00000000" w:rsidRDefault="00516273">
      <w:pPr>
        <w:rPr>
          <w:b/>
          <w:bCs/>
        </w:rPr>
      </w:pPr>
    </w:p>
    <w:p w:rsidR="00000000" w:rsidRDefault="00516273">
      <w:pPr>
        <w:rPr>
          <w:b/>
          <w:bCs/>
        </w:rPr>
      </w:pPr>
      <w:r>
        <w:rPr>
          <w:b/>
          <w:bCs/>
        </w:rPr>
        <w:t>* There is no clean funding split between org #’s that support the Co</w:t>
      </w:r>
      <w:r>
        <w:rPr>
          <w:b/>
          <w:bCs/>
        </w:rPr>
        <w:t xml:space="preserve">re Functions, Activities, Services, or Products.  The funding is spread among all the activities listed above. </w:t>
      </w:r>
    </w:p>
    <w:p w:rsidR="00000000" w:rsidRDefault="00516273">
      <w:pPr>
        <w:rPr>
          <w:b/>
          <w:bCs/>
        </w:rPr>
      </w:pPr>
    </w:p>
    <w:sectPr w:rsidR="00000000">
      <w:headerReference w:type="default" r:id="rId6"/>
      <w:footerReference w:type="default" r:id="rId7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16273">
      <w:r>
        <w:separator/>
      </w:r>
    </w:p>
  </w:endnote>
  <w:endnote w:type="continuationSeparator" w:id="1">
    <w:p w:rsidR="00000000" w:rsidRDefault="0051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27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Settings\lleto\Local Settings\Temporary Internet Files\OLK4\AGENCY PERFORMANCE PLAN FY04.doc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16273">
      <w:r>
        <w:separator/>
      </w:r>
    </w:p>
  </w:footnote>
  <w:footnote w:type="continuationSeparator" w:id="1">
    <w:p w:rsidR="00000000" w:rsidRDefault="0051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273">
    <w:pPr>
      <w:pStyle w:val="Header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273"/>
    <w:rsid w:val="0051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2003-06-13T21:06:00Z</cp:lastPrinted>
  <dcterms:created xsi:type="dcterms:W3CDTF">2009-02-17T21:08:00Z</dcterms:created>
  <dcterms:modified xsi:type="dcterms:W3CDTF">2009-02-17T21:08:00Z</dcterms:modified>
</cp:coreProperties>
</file>