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D1" w:rsidRDefault="00DA54D1" w:rsidP="00DA54D1"/>
    <w:tbl>
      <w:tblPr>
        <w:tblW w:w="0" w:type="auto"/>
        <w:tblLayout w:type="fixed"/>
        <w:tblCellMar>
          <w:left w:w="0" w:type="dxa"/>
          <w:right w:w="0" w:type="dxa"/>
        </w:tblCellMar>
        <w:tblLook w:val="04A0"/>
      </w:tblPr>
      <w:tblGrid>
        <w:gridCol w:w="4935"/>
        <w:gridCol w:w="303"/>
        <w:gridCol w:w="5778"/>
      </w:tblGrid>
      <w:tr w:rsidR="00DA54D1" w:rsidTr="00DA54D1">
        <w:tc>
          <w:tcPr>
            <w:tcW w:w="4935" w:type="dxa"/>
            <w:tcBorders>
              <w:top w:val="single" w:sz="8" w:space="0" w:color="auto"/>
              <w:left w:val="single" w:sz="8" w:space="0" w:color="auto"/>
              <w:bottom w:val="single" w:sz="8" w:space="0" w:color="auto"/>
              <w:right w:val="single" w:sz="8" w:space="0" w:color="auto"/>
            </w:tcBorders>
            <w:shd w:val="clear" w:color="auto" w:fill="9966FF"/>
            <w:tcMar>
              <w:top w:w="0" w:type="dxa"/>
              <w:left w:w="108" w:type="dxa"/>
              <w:bottom w:w="0" w:type="dxa"/>
              <w:right w:w="108" w:type="dxa"/>
            </w:tcMar>
          </w:tcPr>
          <w:p w:rsidR="00DA54D1" w:rsidRDefault="00DA54D1">
            <w:pPr>
              <w:rPr>
                <w:rFonts w:ascii="Georgia" w:hAnsi="Georgia"/>
                <w:b/>
                <w:bCs/>
                <w:i/>
                <w:iCs/>
                <w:sz w:val="36"/>
                <w:szCs w:val="36"/>
              </w:rPr>
            </w:pPr>
            <w:r>
              <w:rPr>
                <w:rFonts w:ascii="Georgia" w:hAnsi="Georgia"/>
                <w:b/>
                <w:bCs/>
                <w:i/>
                <w:iCs/>
                <w:sz w:val="36"/>
                <w:szCs w:val="36"/>
              </w:rPr>
              <w:t>GIRL CONNECTION</w:t>
            </w:r>
          </w:p>
          <w:p w:rsidR="00DA54D1" w:rsidRDefault="00DA54D1">
            <w:pPr>
              <w:rPr>
                <w:rFonts w:ascii="Arial" w:hAnsi="Arial" w:cs="Arial"/>
                <w:sz w:val="20"/>
                <w:szCs w:val="20"/>
              </w:rPr>
            </w:pPr>
            <w:r>
              <w:rPr>
                <w:rFonts w:ascii="Arial" w:hAnsi="Arial" w:cs="Arial"/>
                <w:sz w:val="20"/>
                <w:szCs w:val="20"/>
              </w:rPr>
              <w:t>For those who serve adolescent females</w:t>
            </w:r>
          </w:p>
          <w:p w:rsidR="00DA54D1" w:rsidRDefault="00DA54D1">
            <w:pPr>
              <w:rPr>
                <w:rFonts w:ascii="Arial" w:hAnsi="Arial" w:cs="Arial"/>
                <w:sz w:val="20"/>
                <w:szCs w:val="20"/>
              </w:rPr>
            </w:pPr>
            <w:r>
              <w:rPr>
                <w:rFonts w:ascii="Arial" w:hAnsi="Arial" w:cs="Arial"/>
                <w:sz w:val="20"/>
                <w:szCs w:val="20"/>
              </w:rPr>
              <w:t>April 2012</w:t>
            </w:r>
          </w:p>
          <w:p w:rsidR="00DA54D1" w:rsidRDefault="00DA54D1">
            <w:pPr>
              <w:rPr>
                <w:rFonts w:ascii="Arial" w:hAnsi="Arial" w:cs="Arial"/>
                <w:sz w:val="20"/>
                <w:szCs w:val="20"/>
              </w:rPr>
            </w:pPr>
            <w:r>
              <w:rPr>
                <w:rFonts w:ascii="Arial" w:hAnsi="Arial" w:cs="Arial"/>
                <w:sz w:val="20"/>
                <w:szCs w:val="20"/>
              </w:rPr>
              <w:t xml:space="preserve">Division of Criminal and Juvenile Justice Planning </w:t>
            </w:r>
          </w:p>
          <w:p w:rsidR="00DA54D1" w:rsidRDefault="00DA54D1">
            <w:pPr>
              <w:rPr>
                <w:rFonts w:ascii="Arial" w:hAnsi="Arial" w:cs="Arial"/>
                <w:sz w:val="20"/>
                <w:szCs w:val="20"/>
              </w:rPr>
            </w:pPr>
            <w:r>
              <w:rPr>
                <w:rFonts w:ascii="Arial" w:hAnsi="Arial" w:cs="Arial"/>
                <w:sz w:val="20"/>
                <w:szCs w:val="20"/>
              </w:rPr>
              <w:t xml:space="preserve">Department of Human Rights </w:t>
            </w:r>
          </w:p>
          <w:p w:rsidR="00DA54D1" w:rsidRDefault="00DA54D1"/>
        </w:tc>
        <w:tc>
          <w:tcPr>
            <w:tcW w:w="60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4D1" w:rsidRDefault="00DA54D1">
            <w:r>
              <w:rPr>
                <w:noProof/>
              </w:rPr>
              <w:drawing>
                <wp:inline distT="0" distB="0" distL="0" distR="0">
                  <wp:extent cx="3562350" cy="942975"/>
                  <wp:effectExtent l="19050" t="0" r="0" b="0"/>
                  <wp:docPr id="2" name="Picture 0"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tif"/>
                          <pic:cNvPicPr>
                            <a:picLocks noChangeAspect="1" noChangeArrowheads="1"/>
                          </pic:cNvPicPr>
                        </pic:nvPicPr>
                        <pic:blipFill>
                          <a:blip r:embed="rId5" r:link="rId6" cstate="print"/>
                          <a:srcRect/>
                          <a:stretch>
                            <a:fillRect/>
                          </a:stretch>
                        </pic:blipFill>
                        <pic:spPr bwMode="auto">
                          <a:xfrm>
                            <a:off x="0" y="0"/>
                            <a:ext cx="3562350" cy="942975"/>
                          </a:xfrm>
                          <a:prstGeom prst="rect">
                            <a:avLst/>
                          </a:prstGeom>
                          <a:noFill/>
                          <a:ln w="9525">
                            <a:noFill/>
                            <a:miter lim="800000"/>
                            <a:headEnd/>
                            <a:tailEnd/>
                          </a:ln>
                        </pic:spPr>
                      </pic:pic>
                    </a:graphicData>
                  </a:graphic>
                </wp:inline>
              </w:drawing>
            </w:r>
          </w:p>
        </w:tc>
      </w:tr>
      <w:tr w:rsidR="00DA54D1" w:rsidTr="00DA54D1">
        <w:tc>
          <w:tcPr>
            <w:tcW w:w="11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A54D1" w:rsidRDefault="00DA54D1">
            <w:pPr>
              <w:jc w:val="center"/>
            </w:pPr>
          </w:p>
        </w:tc>
      </w:tr>
      <w:tr w:rsidR="00DA54D1" w:rsidTr="00DA54D1">
        <w:tc>
          <w:tcPr>
            <w:tcW w:w="11016" w:type="dxa"/>
            <w:gridSpan w:val="3"/>
            <w:tcBorders>
              <w:top w:val="nil"/>
              <w:left w:val="single" w:sz="8" w:space="0" w:color="auto"/>
              <w:bottom w:val="single" w:sz="8" w:space="0" w:color="auto"/>
              <w:right w:val="single" w:sz="8" w:space="0" w:color="auto"/>
            </w:tcBorders>
            <w:shd w:val="clear" w:color="auto" w:fill="FFFF66"/>
            <w:tcMar>
              <w:top w:w="0" w:type="dxa"/>
              <w:left w:w="108" w:type="dxa"/>
              <w:bottom w:w="0" w:type="dxa"/>
              <w:right w:w="108" w:type="dxa"/>
            </w:tcMar>
            <w:hideMark/>
          </w:tcPr>
          <w:p w:rsidR="00DA54D1" w:rsidRDefault="00DA54D1">
            <w:pPr>
              <w:ind w:left="360"/>
              <w:jc w:val="center"/>
              <w:rPr>
                <w:rFonts w:ascii="Arial" w:hAnsi="Arial" w:cs="Arial"/>
                <w:color w:val="892D4D"/>
                <w:sz w:val="24"/>
                <w:szCs w:val="24"/>
              </w:rPr>
            </w:pPr>
            <w:r>
              <w:rPr>
                <w:rFonts w:ascii="Arial" w:hAnsi="Arial" w:cs="Arial"/>
                <w:color w:val="892D4D"/>
                <w:sz w:val="24"/>
                <w:szCs w:val="24"/>
              </w:rPr>
              <w:t xml:space="preserve">The next Iowa Task Force for Young Women </w:t>
            </w:r>
          </w:p>
          <w:p w:rsidR="00DA54D1" w:rsidRDefault="00DA54D1">
            <w:pPr>
              <w:ind w:left="360"/>
              <w:jc w:val="center"/>
              <w:rPr>
                <w:rFonts w:ascii="Arial" w:hAnsi="Arial" w:cs="Arial"/>
                <w:color w:val="B83D68"/>
                <w:sz w:val="24"/>
                <w:szCs w:val="24"/>
              </w:rPr>
            </w:pPr>
            <w:r>
              <w:rPr>
                <w:rFonts w:ascii="Arial" w:hAnsi="Arial" w:cs="Arial"/>
                <w:color w:val="892D4D"/>
                <w:sz w:val="24"/>
                <w:szCs w:val="24"/>
              </w:rPr>
              <w:t xml:space="preserve">meeting will be held </w:t>
            </w:r>
          </w:p>
          <w:p w:rsidR="00DA54D1" w:rsidRDefault="00DA54D1">
            <w:pPr>
              <w:ind w:left="360"/>
              <w:jc w:val="center"/>
              <w:rPr>
                <w:rFonts w:ascii="Arial" w:hAnsi="Arial" w:cs="Arial"/>
                <w:b/>
                <w:bCs/>
                <w:i/>
                <w:iCs/>
                <w:color w:val="E26206"/>
                <w:sz w:val="24"/>
                <w:szCs w:val="24"/>
              </w:rPr>
            </w:pPr>
            <w:r>
              <w:rPr>
                <w:rFonts w:ascii="Arial" w:hAnsi="Arial" w:cs="Arial"/>
                <w:b/>
                <w:bCs/>
                <w:i/>
                <w:iCs/>
                <w:color w:val="E26206"/>
                <w:sz w:val="24"/>
                <w:szCs w:val="24"/>
              </w:rPr>
              <w:t>May 4th</w:t>
            </w:r>
          </w:p>
          <w:p w:rsidR="00DA54D1" w:rsidRDefault="00DA54D1">
            <w:pPr>
              <w:ind w:left="360"/>
              <w:jc w:val="center"/>
              <w:rPr>
                <w:rFonts w:ascii="Arial" w:hAnsi="Arial" w:cs="Arial"/>
                <w:color w:val="892D4D"/>
                <w:sz w:val="24"/>
                <w:szCs w:val="24"/>
              </w:rPr>
            </w:pPr>
            <w:r>
              <w:rPr>
                <w:rFonts w:ascii="Arial" w:hAnsi="Arial" w:cs="Arial"/>
                <w:color w:val="892D4D"/>
                <w:sz w:val="24"/>
                <w:szCs w:val="24"/>
              </w:rPr>
              <w:t>10am-Noon</w:t>
            </w:r>
          </w:p>
          <w:p w:rsidR="00DA54D1" w:rsidRDefault="00DA54D1">
            <w:pPr>
              <w:ind w:left="360"/>
              <w:jc w:val="center"/>
              <w:rPr>
                <w:rFonts w:ascii="Arial" w:hAnsi="Arial" w:cs="Arial"/>
                <w:color w:val="892D4D"/>
                <w:sz w:val="24"/>
                <w:szCs w:val="24"/>
              </w:rPr>
            </w:pPr>
            <w:r>
              <w:rPr>
                <w:rFonts w:ascii="Arial" w:hAnsi="Arial" w:cs="Arial"/>
                <w:color w:val="892D4D"/>
                <w:sz w:val="24"/>
                <w:szCs w:val="24"/>
              </w:rPr>
              <w:t xml:space="preserve">Urbandale Public Library </w:t>
            </w:r>
          </w:p>
          <w:p w:rsidR="00DA54D1" w:rsidRDefault="00DA54D1">
            <w:pPr>
              <w:ind w:left="360"/>
              <w:jc w:val="center"/>
              <w:rPr>
                <w:rFonts w:ascii="Arial" w:hAnsi="Arial" w:cs="Arial"/>
                <w:color w:val="892D4D"/>
                <w:sz w:val="24"/>
                <w:szCs w:val="24"/>
              </w:rPr>
            </w:pPr>
            <w:r>
              <w:rPr>
                <w:rFonts w:ascii="Arial" w:hAnsi="Arial" w:cs="Arial"/>
                <w:color w:val="892D4D"/>
                <w:sz w:val="24"/>
                <w:szCs w:val="24"/>
              </w:rPr>
              <w:t xml:space="preserve">3520 86th St. </w:t>
            </w:r>
          </w:p>
          <w:p w:rsidR="00DA54D1" w:rsidRDefault="00DA54D1">
            <w:pPr>
              <w:ind w:left="360"/>
              <w:jc w:val="center"/>
              <w:rPr>
                <w:rFonts w:ascii="Arial" w:hAnsi="Arial" w:cs="Arial"/>
                <w:color w:val="892D4D"/>
                <w:sz w:val="24"/>
                <w:szCs w:val="24"/>
              </w:rPr>
            </w:pPr>
            <w:r>
              <w:rPr>
                <w:rFonts w:ascii="Arial" w:hAnsi="Arial" w:cs="Arial"/>
                <w:color w:val="892D4D"/>
                <w:sz w:val="24"/>
                <w:szCs w:val="24"/>
              </w:rPr>
              <w:t xml:space="preserve">Urbandale, IA </w:t>
            </w:r>
          </w:p>
        </w:tc>
      </w:tr>
      <w:tr w:rsidR="00DA54D1" w:rsidTr="00DA54D1">
        <w:tc>
          <w:tcPr>
            <w:tcW w:w="11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A54D1" w:rsidRDefault="00DA54D1">
            <w:pPr>
              <w:jc w:val="center"/>
              <w:rPr>
                <w:rFonts w:ascii="Arial" w:hAnsi="Arial" w:cs="Arial"/>
                <w:b/>
                <w:bCs/>
                <w:i/>
                <w:iCs/>
                <w:color w:val="E26206"/>
                <w:sz w:val="24"/>
                <w:szCs w:val="24"/>
              </w:rPr>
            </w:pPr>
          </w:p>
        </w:tc>
      </w:tr>
      <w:tr w:rsidR="00DA54D1" w:rsidTr="00DA54D1">
        <w:tc>
          <w:tcPr>
            <w:tcW w:w="52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A54D1" w:rsidRDefault="00DA54D1">
            <w:pPr>
              <w:pStyle w:val="NormalWeb"/>
              <w:shd w:val="clear" w:color="auto" w:fill="FFFFFF"/>
              <w:spacing w:before="0" w:after="0"/>
              <w:rPr>
                <w:rFonts w:ascii="Arial" w:hAnsi="Arial" w:cs="Arial"/>
                <w:b/>
                <w:bCs/>
                <w:i/>
                <w:iCs/>
                <w:color w:val="E26206"/>
                <w:sz w:val="24"/>
                <w:szCs w:val="24"/>
              </w:rPr>
            </w:pPr>
            <w:r>
              <w:rPr>
                <w:rFonts w:ascii="Arial" w:hAnsi="Arial" w:cs="Arial"/>
                <w:b/>
                <w:bCs/>
                <w:i/>
                <w:iCs/>
                <w:color w:val="E26206"/>
                <w:sz w:val="24"/>
                <w:szCs w:val="24"/>
              </w:rPr>
              <w:t>Articles, Resources, Funding Opportunities</w:t>
            </w:r>
          </w:p>
          <w:p w:rsidR="00DA54D1" w:rsidRDefault="00DA54D1">
            <w:pPr>
              <w:pStyle w:val="NormalWeb"/>
              <w:shd w:val="clear" w:color="auto" w:fill="FFFFFF"/>
              <w:spacing w:before="0" w:after="0"/>
              <w:rPr>
                <w:rFonts w:ascii="Arial" w:hAnsi="Arial" w:cs="Arial"/>
                <w:color w:val="0070C0"/>
                <w:sz w:val="22"/>
                <w:szCs w:val="22"/>
              </w:rPr>
            </w:pPr>
          </w:p>
          <w:p w:rsidR="00DA54D1" w:rsidRDefault="00DA54D1">
            <w:pPr>
              <w:pStyle w:val="NormalWeb"/>
              <w:shd w:val="clear" w:color="auto" w:fill="FFFFFF"/>
              <w:spacing w:before="0" w:after="0"/>
              <w:rPr>
                <w:rFonts w:ascii="Arial" w:hAnsi="Arial" w:cs="Arial"/>
                <w:color w:val="0070C0"/>
                <w:sz w:val="22"/>
                <w:szCs w:val="22"/>
              </w:rPr>
            </w:pPr>
          </w:p>
          <w:p w:rsidR="00DA54D1" w:rsidRDefault="00DA54D1">
            <w:pPr>
              <w:pStyle w:val="NormalWeb"/>
              <w:shd w:val="clear" w:color="auto" w:fill="FFFFFF"/>
              <w:spacing w:before="0" w:after="0"/>
              <w:rPr>
                <w:rFonts w:ascii="Arial" w:hAnsi="Arial" w:cs="Arial"/>
                <w:b/>
                <w:bCs/>
                <w:color w:val="892D4D"/>
                <w:sz w:val="22"/>
                <w:szCs w:val="22"/>
              </w:rPr>
            </w:pPr>
            <w:r>
              <w:rPr>
                <w:rFonts w:ascii="Arial" w:hAnsi="Arial" w:cs="Arial"/>
                <w:b/>
                <w:bCs/>
                <w:color w:val="892D4D"/>
                <w:sz w:val="22"/>
                <w:szCs w:val="22"/>
              </w:rPr>
              <w:t>Miss Representation – The Film</w:t>
            </w:r>
          </w:p>
          <w:p w:rsidR="00DA54D1" w:rsidRDefault="00DA54D1">
            <w:pPr>
              <w:pStyle w:val="NormalWeb"/>
              <w:shd w:val="clear" w:color="auto" w:fill="FFFFFF"/>
              <w:spacing w:before="0" w:after="0"/>
              <w:rPr>
                <w:rFonts w:ascii="Arial" w:hAnsi="Arial" w:cs="Arial"/>
                <w:sz w:val="22"/>
                <w:szCs w:val="22"/>
              </w:rPr>
            </w:pPr>
          </w:p>
          <w:p w:rsidR="00DA54D1" w:rsidRDefault="00DA54D1">
            <w:pPr>
              <w:rPr>
                <w:rFonts w:ascii="Arial" w:hAnsi="Arial" w:cs="Arial"/>
              </w:rPr>
            </w:pPr>
            <w:r>
              <w:rPr>
                <w:rFonts w:ascii="Arial" w:hAnsi="Arial" w:cs="Arial"/>
              </w:rPr>
              <w:t xml:space="preserve">Like drawing back a curtain to let bright light stream in, </w:t>
            </w:r>
            <w:hyperlink r:id="rId7" w:history="1">
              <w:r>
                <w:rPr>
                  <w:rStyle w:val="Hyperlink"/>
                  <w:rFonts w:ascii="Arial" w:hAnsi="Arial" w:cs="Arial"/>
                  <w:color w:val="0070C0"/>
                </w:rPr>
                <w:t>Miss Representation</w:t>
              </w:r>
            </w:hyperlink>
            <w:r>
              <w:rPr>
                <w:rFonts w:ascii="Arial" w:hAnsi="Arial" w:cs="Arial"/>
              </w:rPr>
              <w:t xml:space="preserve"> (90 min; TV-14 DL) uncovers a glaring reality we live with every day but fail to see. Written and directed by Jennifer Siebel Newsom, the film exposes how mainstream media contribute to the under-representation of women in positions of power and influence in America. The film challenges the media’s limited and often disparaging portrayals of women and girls, which make it difficult for women to achieve leadership positions and for the average woman to feel powerful herself.</w:t>
            </w:r>
          </w:p>
          <w:p w:rsidR="00DA54D1" w:rsidRDefault="00DA54D1">
            <w:pPr>
              <w:rPr>
                <w:rFonts w:ascii="Arial" w:hAnsi="Arial" w:cs="Arial"/>
              </w:rPr>
            </w:pPr>
          </w:p>
          <w:p w:rsidR="00DA54D1" w:rsidRDefault="00DA54D1">
            <w:pPr>
              <w:rPr>
                <w:rFonts w:ascii="Arial" w:hAnsi="Arial" w:cs="Arial"/>
              </w:rPr>
            </w:pPr>
          </w:p>
          <w:p w:rsidR="00DA54D1" w:rsidRDefault="00DA54D1">
            <w:pPr>
              <w:pStyle w:val="Heading1"/>
              <w:spacing w:before="0" w:beforeAutospacing="0" w:after="150" w:afterAutospacing="0"/>
              <w:rPr>
                <w:rFonts w:ascii="Arial" w:eastAsia="Times New Roman" w:hAnsi="Arial" w:cs="Arial"/>
                <w:color w:val="892D4D"/>
                <w:sz w:val="22"/>
                <w:szCs w:val="22"/>
              </w:rPr>
            </w:pPr>
            <w:r>
              <w:rPr>
                <w:rFonts w:ascii="Arial" w:eastAsia="Times New Roman" w:hAnsi="Arial" w:cs="Arial"/>
                <w:color w:val="892D4D"/>
                <w:sz w:val="22"/>
                <w:szCs w:val="22"/>
              </w:rPr>
              <w:t>Announcing the 5th National Conference on Behavioral Health for Women and Girls</w:t>
            </w:r>
          </w:p>
          <w:p w:rsidR="00DA54D1" w:rsidRDefault="00DA54D1">
            <w:pPr>
              <w:pStyle w:val="Heading2"/>
              <w:spacing w:before="0" w:beforeAutospacing="0" w:after="150" w:afterAutospacing="0"/>
              <w:rPr>
                <w:rFonts w:ascii="Arial" w:eastAsia="Times New Roman" w:hAnsi="Arial" w:cs="Arial"/>
                <w:b w:val="0"/>
                <w:bCs w:val="0"/>
                <w:sz w:val="22"/>
                <w:szCs w:val="22"/>
              </w:rPr>
            </w:pPr>
            <w:r>
              <w:rPr>
                <w:rFonts w:ascii="Arial" w:eastAsia="Times New Roman" w:hAnsi="Arial" w:cs="Arial"/>
                <w:b w:val="0"/>
                <w:bCs w:val="0"/>
                <w:sz w:val="22"/>
                <w:szCs w:val="22"/>
              </w:rPr>
              <w:lastRenderedPageBreak/>
              <w:t>Health, Empowerment, Resilience, and Recovery (HERR) Conference; July 17–19, 2012</w:t>
            </w:r>
            <w:proofErr w:type="gramStart"/>
            <w:r>
              <w:rPr>
                <w:rFonts w:ascii="Arial" w:eastAsia="Times New Roman" w:hAnsi="Arial" w:cs="Arial"/>
                <w:b w:val="0"/>
                <w:bCs w:val="0"/>
                <w:sz w:val="22"/>
                <w:szCs w:val="22"/>
              </w:rPr>
              <w:t>  |</w:t>
            </w:r>
            <w:proofErr w:type="gramEnd"/>
            <w:r>
              <w:rPr>
                <w:rFonts w:ascii="Arial" w:eastAsia="Times New Roman" w:hAnsi="Arial" w:cs="Arial"/>
                <w:b w:val="0"/>
                <w:bCs w:val="0"/>
                <w:sz w:val="22"/>
                <w:szCs w:val="22"/>
              </w:rPr>
              <w:t>  San Diego Marriott Marquis and Marina</w:t>
            </w:r>
          </w:p>
          <w:p w:rsidR="00DA54D1" w:rsidRDefault="00DA54D1">
            <w:pPr>
              <w:pStyle w:val="NormalWeb"/>
              <w:rPr>
                <w:rFonts w:ascii="Arial" w:hAnsi="Arial" w:cs="Arial"/>
                <w:color w:val="333333"/>
                <w:sz w:val="22"/>
                <w:szCs w:val="22"/>
              </w:rPr>
            </w:pPr>
            <w:r>
              <w:rPr>
                <w:rFonts w:ascii="Arial" w:hAnsi="Arial" w:cs="Arial"/>
                <w:sz w:val="22"/>
                <w:szCs w:val="22"/>
              </w:rPr>
              <w:t>SAMHSA, in partnership with Mental Health Systems, Inc., is pleased to host the</w:t>
            </w:r>
            <w:r>
              <w:rPr>
                <w:rFonts w:ascii="Arial" w:hAnsi="Arial" w:cs="Arial"/>
                <w:color w:val="333333"/>
                <w:sz w:val="22"/>
                <w:szCs w:val="22"/>
              </w:rPr>
              <w:t xml:space="preserve"> </w:t>
            </w:r>
            <w:hyperlink r:id="rId8" w:history="1">
              <w:r>
                <w:rPr>
                  <w:rStyle w:val="Hyperlink"/>
                  <w:rFonts w:ascii="Arial" w:hAnsi="Arial" w:cs="Arial"/>
                  <w:color w:val="0070C0"/>
                  <w:sz w:val="22"/>
                  <w:szCs w:val="22"/>
                </w:rPr>
                <w:t>5th National Conference on Behavioral Health for Women and Girls: Health, Empowerment, Resilience, and Recovery</w:t>
              </w:r>
            </w:hyperlink>
            <w:r>
              <w:rPr>
                <w:rFonts w:ascii="Arial" w:hAnsi="Arial" w:cs="Arial"/>
                <w:color w:val="0070C0"/>
                <w:sz w:val="22"/>
                <w:szCs w:val="22"/>
              </w:rPr>
              <w:t>.</w:t>
            </w:r>
          </w:p>
          <w:p w:rsidR="00DA54D1" w:rsidRDefault="00DA54D1">
            <w:pPr>
              <w:pStyle w:val="NormalWeb"/>
              <w:rPr>
                <w:rFonts w:ascii="Arial" w:hAnsi="Arial" w:cs="Arial"/>
                <w:sz w:val="22"/>
                <w:szCs w:val="22"/>
              </w:rPr>
            </w:pPr>
            <w:r>
              <w:rPr>
                <w:rFonts w:ascii="Arial" w:hAnsi="Arial" w:cs="Arial"/>
                <w:sz w:val="22"/>
                <w:szCs w:val="22"/>
              </w:rPr>
              <w:t>This 2½-day conference will bring together a diverse audience with an interest in prevention, mental health, and addiction services for women and girls. Join with leaders, colleagues, and stakeholders as we create a 2½-day conference community to discuss the current research, innovations, and trends serving women, girls, and their families.</w:t>
            </w:r>
          </w:p>
          <w:p w:rsidR="00DA54D1" w:rsidRDefault="00DA54D1">
            <w:pPr>
              <w:pStyle w:val="NormalWeb"/>
              <w:spacing w:before="0" w:after="0"/>
              <w:rPr>
                <w:rFonts w:ascii="Arial" w:hAnsi="Arial" w:cs="Arial"/>
                <w:sz w:val="22"/>
                <w:szCs w:val="22"/>
              </w:rPr>
            </w:pPr>
            <w:r>
              <w:rPr>
                <w:rFonts w:ascii="Arial" w:hAnsi="Arial" w:cs="Arial"/>
                <w:sz w:val="22"/>
                <w:szCs w:val="22"/>
              </w:rPr>
              <w:t>As suggested by the conference theme, "It's All About HERR—Health, Empowerment, Resilience, and Recovery," the 2012 conference will be implementation focused; build alignment and unity by 1) creating a better shared understanding across prevention, mental health, and substance abuse treatment and recovery fields; and 2) creating a learning community focused on women and girls. The conference embodies gender-responsive, recovery-oriented, culturally competent, trauma-informed principles and practices and celebrates diversity.</w:t>
            </w:r>
          </w:p>
          <w:p w:rsidR="00DA54D1" w:rsidRDefault="00DA54D1">
            <w:pPr>
              <w:pStyle w:val="NormalWeb"/>
              <w:spacing w:before="0" w:after="0"/>
              <w:rPr>
                <w:rFonts w:ascii="Arial" w:hAnsi="Arial" w:cs="Arial"/>
                <w:sz w:val="22"/>
                <w:szCs w:val="22"/>
              </w:rPr>
            </w:pPr>
          </w:p>
          <w:p w:rsidR="00DA54D1" w:rsidRDefault="00DA54D1">
            <w:pPr>
              <w:pStyle w:val="NormalWeb"/>
              <w:spacing w:before="0" w:after="0"/>
              <w:rPr>
                <w:rFonts w:ascii="Arial" w:hAnsi="Arial" w:cs="Arial"/>
                <w:sz w:val="22"/>
                <w:szCs w:val="22"/>
              </w:rPr>
            </w:pPr>
          </w:p>
          <w:p w:rsidR="00DA54D1" w:rsidRDefault="00DA54D1">
            <w:pPr>
              <w:pStyle w:val="NormalWeb"/>
              <w:spacing w:before="0" w:after="0"/>
              <w:rPr>
                <w:rFonts w:ascii="Arial" w:hAnsi="Arial" w:cs="Arial"/>
                <w:b/>
                <w:bCs/>
                <w:color w:val="892D4D"/>
                <w:sz w:val="22"/>
                <w:szCs w:val="22"/>
              </w:rPr>
            </w:pPr>
            <w:r>
              <w:rPr>
                <w:rFonts w:ascii="Arial" w:hAnsi="Arial" w:cs="Arial"/>
                <w:b/>
                <w:bCs/>
                <w:color w:val="892D4D"/>
                <w:sz w:val="22"/>
                <w:szCs w:val="22"/>
              </w:rPr>
              <w:t>New Online Course on Bullying Prevention</w:t>
            </w:r>
          </w:p>
          <w:p w:rsidR="00DA54D1" w:rsidRDefault="00DA54D1">
            <w:pPr>
              <w:pStyle w:val="NormalWeb"/>
              <w:spacing w:before="0" w:after="0"/>
              <w:rPr>
                <w:rFonts w:ascii="Arial" w:hAnsi="Arial" w:cs="Arial"/>
                <w:sz w:val="22"/>
                <w:szCs w:val="22"/>
              </w:rPr>
            </w:pPr>
          </w:p>
          <w:p w:rsidR="00DA54D1" w:rsidRDefault="00DA54D1">
            <w:pPr>
              <w:pStyle w:val="NormalWeb"/>
              <w:spacing w:before="0" w:after="0"/>
              <w:rPr>
                <w:rFonts w:ascii="Arial" w:hAnsi="Arial" w:cs="Arial"/>
                <w:sz w:val="22"/>
                <w:szCs w:val="22"/>
              </w:rPr>
            </w:pPr>
            <w:r>
              <w:rPr>
                <w:rFonts w:ascii="Arial" w:hAnsi="Arial" w:cs="Arial"/>
                <w:sz w:val="22"/>
                <w:szCs w:val="22"/>
              </w:rPr>
              <w:t xml:space="preserve">The National Center for School Engagement, in collaboration </w:t>
            </w:r>
            <w:r>
              <w:rPr>
                <w:rFonts w:ascii="Arial" w:hAnsi="Arial" w:cs="Arial"/>
                <w:sz w:val="22"/>
                <w:szCs w:val="22"/>
              </w:rPr>
              <w:lastRenderedPageBreak/>
              <w:t>with the Partnership for Families and Children, has released the online course, “</w:t>
            </w:r>
            <w:hyperlink r:id="rId9" w:history="1">
              <w:r>
                <w:rPr>
                  <w:rStyle w:val="Hyperlink"/>
                  <w:rFonts w:ascii="Arial" w:hAnsi="Arial" w:cs="Arial"/>
                  <w:color w:val="0070C0"/>
                  <w:sz w:val="22"/>
                  <w:szCs w:val="22"/>
                </w:rPr>
                <w:t>Getting Serious: A Best Practice Approach to Bullying Prevention</w:t>
              </w:r>
            </w:hyperlink>
            <w:r>
              <w:rPr>
                <w:rFonts w:ascii="Arial" w:hAnsi="Arial" w:cs="Arial"/>
                <w:sz w:val="22"/>
                <w:szCs w:val="22"/>
              </w:rPr>
              <w:t>.” The course provides an overview of bullying concepts and trends, highlights the links between school climate and bullying, and introduces best practices in bullying prevention.</w:t>
            </w:r>
          </w:p>
          <w:p w:rsidR="00DA54D1" w:rsidRDefault="00DA54D1">
            <w:pPr>
              <w:rPr>
                <w:rFonts w:ascii="Arial" w:hAnsi="Arial" w:cs="Arial"/>
              </w:rPr>
            </w:pPr>
          </w:p>
          <w:p w:rsidR="00DA54D1" w:rsidRDefault="00DA54D1">
            <w:pPr>
              <w:rPr>
                <w:rFonts w:ascii="Arial" w:hAnsi="Arial" w:cs="Arial"/>
              </w:rPr>
            </w:pPr>
          </w:p>
          <w:p w:rsidR="00DA54D1" w:rsidRDefault="00DA54D1">
            <w:pPr>
              <w:numPr>
                <w:ilvl w:val="0"/>
                <w:numId w:val="1"/>
              </w:numPr>
              <w:ind w:left="0"/>
              <w:rPr>
                <w:rFonts w:ascii="Arial" w:hAnsi="Arial" w:cs="Arial"/>
                <w:b/>
                <w:bCs/>
                <w:color w:val="7C0041"/>
              </w:rPr>
            </w:pPr>
            <w:hyperlink r:id="rId10" w:tgtFrame="_blank" w:history="1">
              <w:r>
                <w:rPr>
                  <w:rStyle w:val="Hyperlink"/>
                  <w:rFonts w:ascii="Arial" w:hAnsi="Arial" w:cs="Arial"/>
                  <w:b/>
                  <w:bCs/>
                  <w:color w:val="892D4D"/>
                </w:rPr>
                <w:t>"The Hunger Games" could change the face of Hollywood heroes</w:t>
              </w:r>
            </w:hyperlink>
            <w:r>
              <w:rPr>
                <w:rFonts w:ascii="Arial" w:hAnsi="Arial" w:cs="Arial"/>
                <w:color w:val="892D4D"/>
              </w:rPr>
              <w:t xml:space="preserve"> from</w:t>
            </w:r>
            <w:r>
              <w:rPr>
                <w:rFonts w:ascii="Arial" w:hAnsi="Arial" w:cs="Arial"/>
                <w:color w:val="7C0041"/>
              </w:rPr>
              <w:t xml:space="preserve"> the </w:t>
            </w:r>
            <w:proofErr w:type="spellStart"/>
            <w:r>
              <w:rPr>
                <w:rFonts w:ascii="Arial" w:hAnsi="Arial" w:cs="Arial"/>
                <w:color w:val="7C0041"/>
              </w:rPr>
              <w:t>Geena</w:t>
            </w:r>
            <w:proofErr w:type="spellEnd"/>
            <w:r>
              <w:rPr>
                <w:rFonts w:ascii="Arial" w:hAnsi="Arial" w:cs="Arial"/>
                <w:color w:val="7C0041"/>
              </w:rPr>
              <w:t xml:space="preserve"> Davis Institute on Gender in Media</w:t>
            </w:r>
          </w:p>
          <w:p w:rsidR="00DA54D1" w:rsidRDefault="00DA54D1">
            <w:pPr>
              <w:numPr>
                <w:ilvl w:val="0"/>
                <w:numId w:val="1"/>
              </w:numPr>
              <w:ind w:left="0"/>
              <w:rPr>
                <w:rFonts w:ascii="Arial" w:hAnsi="Arial" w:cs="Arial"/>
                <w:b/>
                <w:bCs/>
                <w:color w:val="7C0041"/>
              </w:rPr>
            </w:pPr>
            <w:r>
              <w:rPr>
                <w:rFonts w:ascii="Arial" w:hAnsi="Arial" w:cs="Arial"/>
                <w:b/>
                <w:bCs/>
                <w:color w:val="7C0041"/>
              </w:rPr>
              <w:br/>
            </w:r>
            <w:proofErr w:type="spellStart"/>
            <w:r>
              <w:rPr>
                <w:rFonts w:ascii="Arial" w:hAnsi="Arial" w:cs="Arial"/>
                <w:color w:val="000000"/>
              </w:rPr>
              <w:t>Katniss</w:t>
            </w:r>
            <w:proofErr w:type="spellEnd"/>
            <w:r>
              <w:rPr>
                <w:rFonts w:ascii="Arial" w:hAnsi="Arial" w:cs="Arial"/>
                <w:color w:val="000000"/>
              </w:rPr>
              <w:t xml:space="preserve"> </w:t>
            </w:r>
            <w:proofErr w:type="spellStart"/>
            <w:r>
              <w:rPr>
                <w:rFonts w:ascii="Arial" w:hAnsi="Arial" w:cs="Arial"/>
                <w:color w:val="000000"/>
              </w:rPr>
              <w:t>Everdeen</w:t>
            </w:r>
            <w:proofErr w:type="spellEnd"/>
            <w:r>
              <w:rPr>
                <w:rFonts w:ascii="Arial" w:hAnsi="Arial" w:cs="Arial"/>
                <w:color w:val="000000"/>
              </w:rPr>
              <w:t xml:space="preserve">, the lead character in "The Hunger Games," could set the standard for the modern Hollywood hero -- capable, strong and female. Many observers are hoping the movie, which has achieved blockbuster status through massive ticket sales, will propel Hollywood to come forth with more </w:t>
            </w:r>
            <w:proofErr w:type="gramStart"/>
            <w:r>
              <w:rPr>
                <w:rFonts w:ascii="Arial" w:hAnsi="Arial" w:cs="Arial"/>
                <w:color w:val="000000"/>
              </w:rPr>
              <w:t>females</w:t>
            </w:r>
            <w:proofErr w:type="gramEnd"/>
            <w:r>
              <w:rPr>
                <w:rFonts w:ascii="Arial" w:hAnsi="Arial" w:cs="Arial"/>
                <w:color w:val="000000"/>
              </w:rPr>
              <w:t xml:space="preserve"> heroes in a lead role. </w:t>
            </w:r>
            <w:hyperlink r:id="rId11" w:tgtFrame="_blank" w:history="1">
              <w:r>
                <w:rPr>
                  <w:rStyle w:val="Hyperlink"/>
                  <w:rFonts w:ascii="Arial" w:hAnsi="Arial" w:cs="Arial"/>
                  <w:color w:val="0070C0"/>
                </w:rPr>
                <w:t>Forbes</w:t>
              </w:r>
            </w:hyperlink>
            <w:r>
              <w:rPr>
                <w:rFonts w:ascii="Arial" w:hAnsi="Arial" w:cs="Arial"/>
                <w:color w:val="0070C0"/>
              </w:rPr>
              <w:t xml:space="preserve"> </w:t>
            </w:r>
            <w:r>
              <w:rPr>
                <w:rFonts w:ascii="Arial" w:hAnsi="Arial" w:cs="Arial"/>
                <w:color w:val="666666"/>
              </w:rPr>
              <w:t xml:space="preserve">(3/26), </w:t>
            </w:r>
            <w:hyperlink r:id="rId12" w:tgtFrame="_blank" w:history="1">
              <w:r>
                <w:rPr>
                  <w:rStyle w:val="Hyperlink"/>
                  <w:rFonts w:ascii="Arial" w:hAnsi="Arial" w:cs="Arial"/>
                  <w:color w:val="0070C0"/>
                </w:rPr>
                <w:t>Daily News (New York)</w:t>
              </w:r>
            </w:hyperlink>
            <w:r>
              <w:rPr>
                <w:rFonts w:ascii="Arial" w:hAnsi="Arial" w:cs="Arial"/>
                <w:color w:val="666666"/>
              </w:rPr>
              <w:t xml:space="preserve"> (3/26)</w:t>
            </w:r>
          </w:p>
          <w:p w:rsidR="00DA54D1" w:rsidRDefault="00DA54D1">
            <w:pPr>
              <w:rPr>
                <w:rFonts w:ascii="Arial" w:hAnsi="Arial" w:cs="Arial"/>
                <w:b/>
                <w:bCs/>
                <w:color w:val="7C0041"/>
              </w:rPr>
            </w:pPr>
          </w:p>
          <w:p w:rsidR="00DA54D1" w:rsidRDefault="00DA54D1">
            <w:pPr>
              <w:rPr>
                <w:rFonts w:ascii="Arial" w:hAnsi="Arial" w:cs="Arial"/>
                <w:b/>
                <w:bCs/>
                <w:color w:val="7C0041"/>
              </w:rPr>
            </w:pPr>
          </w:p>
          <w:p w:rsidR="00DA54D1" w:rsidRDefault="00DA54D1">
            <w:pPr>
              <w:numPr>
                <w:ilvl w:val="0"/>
                <w:numId w:val="2"/>
              </w:numPr>
              <w:ind w:left="0"/>
              <w:rPr>
                <w:rFonts w:ascii="Arial" w:hAnsi="Arial" w:cs="Arial"/>
                <w:b/>
                <w:bCs/>
                <w:color w:val="7C0041"/>
              </w:rPr>
            </w:pPr>
            <w:hyperlink r:id="rId13" w:tgtFrame="_blank" w:history="1">
              <w:r>
                <w:rPr>
                  <w:rStyle w:val="Hyperlink"/>
                  <w:rFonts w:ascii="Arial" w:hAnsi="Arial" w:cs="Arial"/>
                  <w:b/>
                  <w:bCs/>
                  <w:color w:val="892D4D"/>
                </w:rPr>
                <w:t>President Obama lauds Title IX's contribution to progress</w:t>
              </w:r>
            </w:hyperlink>
            <w:r>
              <w:rPr>
                <w:rFonts w:ascii="Arial" w:hAnsi="Arial" w:cs="Arial"/>
                <w:color w:val="7C0041"/>
              </w:rPr>
              <w:t xml:space="preserve"> from the </w:t>
            </w:r>
            <w:proofErr w:type="spellStart"/>
            <w:r>
              <w:rPr>
                <w:rFonts w:ascii="Arial" w:hAnsi="Arial" w:cs="Arial"/>
                <w:color w:val="7C0041"/>
              </w:rPr>
              <w:t>Geena</w:t>
            </w:r>
            <w:proofErr w:type="spellEnd"/>
            <w:r>
              <w:rPr>
                <w:rFonts w:ascii="Arial" w:hAnsi="Arial" w:cs="Arial"/>
                <w:color w:val="7C0041"/>
              </w:rPr>
              <w:t xml:space="preserve"> Davis Institute on Gender in Media</w:t>
            </w:r>
          </w:p>
          <w:p w:rsidR="00DA54D1" w:rsidRDefault="00DA54D1">
            <w:pPr>
              <w:numPr>
                <w:ilvl w:val="0"/>
                <w:numId w:val="2"/>
              </w:numPr>
              <w:ind w:left="0"/>
              <w:rPr>
                <w:rFonts w:ascii="Arial" w:hAnsi="Arial" w:cs="Arial"/>
                <w:b/>
                <w:bCs/>
                <w:color w:val="7C0041"/>
              </w:rPr>
            </w:pPr>
            <w:r>
              <w:rPr>
                <w:rFonts w:ascii="Arial" w:hAnsi="Arial" w:cs="Arial"/>
                <w:b/>
                <w:bCs/>
                <w:color w:val="7C0041"/>
              </w:rPr>
              <w:br/>
            </w:r>
            <w:r>
              <w:rPr>
                <w:rFonts w:ascii="Arial" w:hAnsi="Arial" w:cs="Arial"/>
                <w:color w:val="000000"/>
              </w:rPr>
              <w:t xml:space="preserve">Over the last 40 years, Title IX has changed the way American media and society view women’s spots and helped make society more equal in general, U.S. President Barack Obama said in this interview. "I think the challenge is making sure that, in terms of implementation, schools continue to take Title IX seriously … it is good for our society; it will create stronger, more confident women," Obama added. </w:t>
            </w:r>
            <w:hyperlink r:id="rId14" w:tgtFrame="_blank" w:history="1">
              <w:r>
                <w:rPr>
                  <w:rStyle w:val="Hyperlink"/>
                  <w:rFonts w:ascii="Arial" w:hAnsi="Arial" w:cs="Arial"/>
                  <w:color w:val="0070C0"/>
                </w:rPr>
                <w:t>ESPN.com</w:t>
              </w:r>
            </w:hyperlink>
            <w:r>
              <w:rPr>
                <w:rFonts w:ascii="Arial" w:hAnsi="Arial" w:cs="Arial"/>
                <w:color w:val="666666"/>
              </w:rPr>
              <w:t xml:space="preserve"> (3/26)</w:t>
            </w:r>
            <w:r>
              <w:rPr>
                <w:rFonts w:ascii="Arial" w:hAnsi="Arial" w:cs="Arial"/>
                <w:color w:val="000000"/>
              </w:rPr>
              <w:t xml:space="preserve"> </w:t>
            </w:r>
          </w:p>
          <w:p w:rsidR="00DA54D1" w:rsidRDefault="00DA54D1">
            <w:pPr>
              <w:rPr>
                <w:rFonts w:ascii="Arial" w:hAnsi="Arial" w:cs="Arial"/>
                <w:b/>
                <w:bCs/>
                <w:color w:val="7C0041"/>
              </w:rPr>
            </w:pPr>
          </w:p>
          <w:p w:rsidR="00DA54D1" w:rsidRDefault="00DA54D1">
            <w:pPr>
              <w:rPr>
                <w:rFonts w:ascii="Arial" w:hAnsi="Arial" w:cs="Arial"/>
                <w:b/>
                <w:bCs/>
                <w:color w:val="7C0041"/>
              </w:rPr>
            </w:pPr>
          </w:p>
          <w:p w:rsidR="00DA54D1" w:rsidRDefault="00DA54D1">
            <w:pPr>
              <w:rPr>
                <w:rFonts w:ascii="Arial" w:hAnsi="Arial" w:cs="Arial"/>
                <w:b/>
                <w:bCs/>
                <w:color w:val="892D4D"/>
              </w:rPr>
            </w:pPr>
            <w:r>
              <w:rPr>
                <w:rFonts w:ascii="Arial" w:hAnsi="Arial" w:cs="Arial"/>
                <w:b/>
                <w:bCs/>
                <w:color w:val="892D4D"/>
              </w:rPr>
              <w:t>From the New York Times</w:t>
            </w:r>
          </w:p>
          <w:p w:rsidR="00DA54D1" w:rsidRDefault="00DA54D1">
            <w:pPr>
              <w:rPr>
                <w:rFonts w:ascii="Arial" w:hAnsi="Arial" w:cs="Arial"/>
                <w:b/>
                <w:bCs/>
                <w:color w:val="7C0041"/>
              </w:rPr>
            </w:pPr>
          </w:p>
          <w:p w:rsidR="00DA54D1" w:rsidRDefault="00DA54D1">
            <w:pPr>
              <w:pStyle w:val="Heading2"/>
              <w:spacing w:before="0" w:beforeAutospacing="0" w:after="0" w:afterAutospacing="0"/>
              <w:rPr>
                <w:rFonts w:ascii="Arial" w:eastAsia="Times New Roman" w:hAnsi="Arial" w:cs="Arial"/>
                <w:b w:val="0"/>
                <w:bCs w:val="0"/>
                <w:color w:val="0070C0"/>
                <w:sz w:val="22"/>
                <w:szCs w:val="22"/>
              </w:rPr>
            </w:pPr>
            <w:hyperlink r:id="rId15" w:history="1">
              <w:r>
                <w:rPr>
                  <w:rStyle w:val="Hyperlink"/>
                  <w:rFonts w:ascii="Arial" w:eastAsia="Times New Roman" w:hAnsi="Arial" w:cs="Arial"/>
                  <w:b w:val="0"/>
                  <w:bCs w:val="0"/>
                  <w:color w:val="0070C0"/>
                  <w:sz w:val="22"/>
                  <w:szCs w:val="22"/>
                </w:rPr>
                <w:t xml:space="preserve">Puberty </w:t>
              </w:r>
              <w:proofErr w:type="gramStart"/>
              <w:r>
                <w:rPr>
                  <w:rStyle w:val="Hyperlink"/>
                  <w:rFonts w:ascii="Arial" w:eastAsia="Times New Roman" w:hAnsi="Arial" w:cs="Arial"/>
                  <w:b w:val="0"/>
                  <w:bCs w:val="0"/>
                  <w:color w:val="0070C0"/>
                  <w:sz w:val="22"/>
                  <w:szCs w:val="22"/>
                </w:rPr>
                <w:t>Before</w:t>
              </w:r>
              <w:proofErr w:type="gramEnd"/>
              <w:r>
                <w:rPr>
                  <w:rStyle w:val="Hyperlink"/>
                  <w:rFonts w:ascii="Arial" w:eastAsia="Times New Roman" w:hAnsi="Arial" w:cs="Arial"/>
                  <w:b w:val="0"/>
                  <w:bCs w:val="0"/>
                  <w:color w:val="0070C0"/>
                  <w:sz w:val="22"/>
                  <w:szCs w:val="22"/>
                </w:rPr>
                <w:t xml:space="preserve"> Age 10: A New ‘Normal’?</w:t>
              </w:r>
            </w:hyperlink>
          </w:p>
          <w:p w:rsidR="00DA54D1" w:rsidRDefault="00DA54D1">
            <w:pPr>
              <w:pStyle w:val="Heading2"/>
              <w:spacing w:before="0" w:beforeAutospacing="0" w:after="0" w:afterAutospacing="0"/>
              <w:rPr>
                <w:rFonts w:ascii="Arial" w:eastAsia="Times New Roman" w:hAnsi="Arial" w:cs="Arial"/>
                <w:b w:val="0"/>
                <w:bCs w:val="0"/>
                <w:sz w:val="22"/>
                <w:szCs w:val="22"/>
              </w:rPr>
            </w:pPr>
          </w:p>
          <w:p w:rsidR="00DA54D1" w:rsidRDefault="00DA54D1">
            <w:pPr>
              <w:pStyle w:val="Heading2"/>
              <w:spacing w:before="0" w:beforeAutospacing="0" w:after="0" w:afterAutospacing="0"/>
              <w:rPr>
                <w:rFonts w:ascii="Arial" w:eastAsia="Times New Roman" w:hAnsi="Arial" w:cs="Arial"/>
                <w:b w:val="0"/>
                <w:bCs w:val="0"/>
                <w:sz w:val="22"/>
                <w:szCs w:val="22"/>
              </w:rPr>
            </w:pPr>
          </w:p>
          <w:p w:rsidR="00DA54D1" w:rsidRDefault="00DA54D1">
            <w:pPr>
              <w:pStyle w:val="NormalWeb"/>
              <w:spacing w:before="0" w:after="0"/>
              <w:rPr>
                <w:rFonts w:ascii="Arial" w:hAnsi="Arial" w:cs="Arial"/>
                <w:b/>
                <w:bCs/>
                <w:color w:val="892D4D"/>
                <w:sz w:val="22"/>
                <w:szCs w:val="22"/>
              </w:rPr>
            </w:pPr>
            <w:r>
              <w:rPr>
                <w:rFonts w:ascii="Arial" w:hAnsi="Arial" w:cs="Arial"/>
                <w:b/>
                <w:bCs/>
                <w:color w:val="892D4D"/>
                <w:sz w:val="22"/>
                <w:szCs w:val="22"/>
              </w:rPr>
              <w:t>OJJDP Announces FY 2012 Funding Opportunities</w:t>
            </w:r>
          </w:p>
          <w:p w:rsidR="00DA54D1" w:rsidRDefault="00DA54D1">
            <w:pPr>
              <w:pStyle w:val="NormalWeb"/>
              <w:spacing w:before="0" w:after="0"/>
              <w:rPr>
                <w:rFonts w:ascii="Arial" w:hAnsi="Arial" w:cs="Arial"/>
                <w:b/>
                <w:bCs/>
                <w:color w:val="7C0041"/>
                <w:sz w:val="22"/>
                <w:szCs w:val="22"/>
              </w:rPr>
            </w:pPr>
          </w:p>
          <w:p w:rsidR="00DA54D1" w:rsidRDefault="00DA54D1">
            <w:pPr>
              <w:pStyle w:val="NormalWeb"/>
              <w:spacing w:before="0" w:after="0"/>
              <w:rPr>
                <w:rFonts w:ascii="Arial" w:hAnsi="Arial" w:cs="Arial"/>
                <w:sz w:val="22"/>
                <w:szCs w:val="22"/>
              </w:rPr>
            </w:pPr>
            <w:r>
              <w:rPr>
                <w:rFonts w:ascii="Arial" w:hAnsi="Arial" w:cs="Arial"/>
                <w:sz w:val="22"/>
                <w:szCs w:val="22"/>
              </w:rPr>
              <w:t xml:space="preserve">The Office of Juvenile Justice and Delinquency Prevention (OJJDP) has announced the following funding opportunities: </w:t>
            </w:r>
          </w:p>
          <w:p w:rsidR="00DA54D1" w:rsidRDefault="00DA54D1">
            <w:pPr>
              <w:numPr>
                <w:ilvl w:val="0"/>
                <w:numId w:val="3"/>
              </w:numPr>
              <w:rPr>
                <w:rFonts w:ascii="Arial" w:eastAsia="Times New Roman" w:hAnsi="Arial" w:cs="Arial"/>
              </w:rPr>
            </w:pPr>
            <w:hyperlink r:id="rId16" w:history="1">
              <w:r>
                <w:rPr>
                  <w:rStyle w:val="Hyperlink"/>
                  <w:rFonts w:ascii="Arial" w:eastAsia="Times New Roman" w:hAnsi="Arial" w:cs="Arial"/>
                  <w:color w:val="0070C0"/>
                </w:rPr>
                <w:t>Second Chance Act Juvenile Offender Reentry Program</w:t>
              </w:r>
            </w:hyperlink>
            <w:r>
              <w:rPr>
                <w:rFonts w:ascii="Arial" w:eastAsia="Times New Roman" w:hAnsi="Arial" w:cs="Arial"/>
                <w:color w:val="0070C0"/>
              </w:rPr>
              <w:t>.</w:t>
            </w:r>
            <w:r>
              <w:rPr>
                <w:rFonts w:ascii="Arial" w:eastAsia="Times New Roman" w:hAnsi="Arial" w:cs="Arial"/>
              </w:rPr>
              <w:t xml:space="preserve"> Funding is available to provide services and programs to successfully reintegrate juvenile offenders as they return to their communities, families, schools, and the workforce. Applications are due by 11:59 p.m. E.T. on May 14, 2012.</w:t>
            </w:r>
          </w:p>
          <w:p w:rsidR="00DA54D1" w:rsidRDefault="00DA54D1">
            <w:pPr>
              <w:numPr>
                <w:ilvl w:val="0"/>
                <w:numId w:val="3"/>
              </w:numPr>
              <w:rPr>
                <w:rFonts w:ascii="Arial" w:eastAsia="Times New Roman" w:hAnsi="Arial" w:cs="Arial"/>
              </w:rPr>
            </w:pPr>
            <w:hyperlink r:id="rId17" w:history="1">
              <w:r>
                <w:rPr>
                  <w:rStyle w:val="Hyperlink"/>
                  <w:rFonts w:ascii="Arial" w:eastAsia="Times New Roman" w:hAnsi="Arial" w:cs="Arial"/>
                  <w:color w:val="0070C0"/>
                </w:rPr>
                <w:t>Juvenile Drug Courts/Reclaiming Futures</w:t>
              </w:r>
            </w:hyperlink>
            <w:r>
              <w:rPr>
                <w:rFonts w:ascii="Arial" w:eastAsia="Times New Roman" w:hAnsi="Arial" w:cs="Arial"/>
                <w:color w:val="0070C0"/>
              </w:rPr>
              <w:t>.</w:t>
            </w:r>
            <w:r>
              <w:rPr>
                <w:rFonts w:ascii="Arial" w:eastAsia="Times New Roman" w:hAnsi="Arial" w:cs="Arial"/>
              </w:rPr>
              <w:t xml:space="preserve"> This grant opportunity provides funds for building the capacity of states, state and local courts, </w:t>
            </w:r>
            <w:proofErr w:type="gramStart"/>
            <w:r>
              <w:rPr>
                <w:rFonts w:ascii="Arial" w:eastAsia="Times New Roman" w:hAnsi="Arial" w:cs="Arial"/>
              </w:rPr>
              <w:t>units</w:t>
            </w:r>
            <w:proofErr w:type="gramEnd"/>
            <w:r>
              <w:rPr>
                <w:rFonts w:ascii="Arial" w:eastAsia="Times New Roman" w:hAnsi="Arial" w:cs="Arial"/>
              </w:rPr>
              <w:t xml:space="preserve"> of local government, and Indian tribal governments to develop and establish juvenile drug courts for substance abusing juvenile offenders. Applications are due by 11:59 p.m. E.T. on May 16, 2012.</w:t>
            </w:r>
          </w:p>
          <w:p w:rsidR="00DA54D1" w:rsidRDefault="00DA54D1">
            <w:pPr>
              <w:numPr>
                <w:ilvl w:val="0"/>
                <w:numId w:val="3"/>
              </w:numPr>
              <w:rPr>
                <w:rFonts w:ascii="Arial" w:eastAsia="Times New Roman" w:hAnsi="Arial" w:cs="Arial"/>
              </w:rPr>
            </w:pPr>
            <w:hyperlink r:id="rId18" w:history="1">
              <w:r>
                <w:rPr>
                  <w:rStyle w:val="Hyperlink"/>
                  <w:rFonts w:ascii="Arial" w:eastAsia="Times New Roman" w:hAnsi="Arial" w:cs="Arial"/>
                  <w:color w:val="0070C0"/>
                </w:rPr>
                <w:t>Enforcing Underage Drinking Laws Discretionary Program</w:t>
              </w:r>
            </w:hyperlink>
            <w:r>
              <w:rPr>
                <w:rFonts w:ascii="Arial" w:eastAsia="Times New Roman" w:hAnsi="Arial" w:cs="Arial"/>
              </w:rPr>
              <w:t xml:space="preserve">: Initiative to Reduce Underage Drinking in the Military. OJJDP is seeking applicants for this funding </w:t>
            </w:r>
            <w:r>
              <w:rPr>
                <w:rFonts w:ascii="Arial" w:eastAsia="Times New Roman" w:hAnsi="Arial" w:cs="Arial"/>
              </w:rPr>
              <w:lastRenderedPageBreak/>
              <w:t>opportunity to reduce the consumption of alcoholic beverages by underage enlisted personnel serving in the U.S. Air Force and U.S. Marine Corps. Applications are due by 11:59 p.m. E.T. on May 16, 2012.</w:t>
            </w:r>
          </w:p>
          <w:p w:rsidR="00DA54D1" w:rsidRDefault="00DA54D1">
            <w:pPr>
              <w:numPr>
                <w:ilvl w:val="0"/>
                <w:numId w:val="4"/>
              </w:numPr>
              <w:rPr>
                <w:rFonts w:ascii="Arial" w:eastAsia="Times New Roman" w:hAnsi="Arial" w:cs="Arial"/>
              </w:rPr>
            </w:pPr>
            <w:hyperlink r:id="rId19" w:history="1">
              <w:r>
                <w:rPr>
                  <w:rStyle w:val="Hyperlink"/>
                  <w:rFonts w:ascii="Arial" w:eastAsia="Times New Roman" w:hAnsi="Arial" w:cs="Arial"/>
                  <w:color w:val="0070C0"/>
                </w:rPr>
                <w:t>Mentoring Enhancement Demonstration Program</w:t>
              </w:r>
            </w:hyperlink>
            <w:r>
              <w:rPr>
                <w:rFonts w:ascii="Arial" w:eastAsia="Times New Roman" w:hAnsi="Arial" w:cs="Arial"/>
              </w:rPr>
              <w:t>. OJJDP will support evidence-based enhancements to improve the effectiveness of mentoring programs and reduce risk factors for juvenile delinquency. Applications are due by 11:59 p.m. E.T. on May 14, 2012.</w:t>
            </w:r>
          </w:p>
          <w:p w:rsidR="00DA54D1" w:rsidRDefault="00DA54D1">
            <w:pPr>
              <w:numPr>
                <w:ilvl w:val="0"/>
                <w:numId w:val="4"/>
              </w:numPr>
              <w:rPr>
                <w:rFonts w:ascii="Arial" w:eastAsia="Times New Roman" w:hAnsi="Arial" w:cs="Arial"/>
              </w:rPr>
            </w:pPr>
            <w:hyperlink r:id="rId20" w:history="1">
              <w:r>
                <w:rPr>
                  <w:rStyle w:val="Hyperlink"/>
                  <w:rFonts w:ascii="Arial" w:eastAsia="Times New Roman" w:hAnsi="Arial" w:cs="Arial"/>
                  <w:color w:val="0070C0"/>
                </w:rPr>
                <w:t>Multi-State Mentoring Initiative</w:t>
              </w:r>
            </w:hyperlink>
            <w:r>
              <w:rPr>
                <w:rFonts w:ascii="Arial" w:eastAsia="Times New Roman" w:hAnsi="Arial" w:cs="Arial"/>
              </w:rPr>
              <w:t>. This program will fund efforts to build the capacity of organizations to implement mentoring programs across multiple states. Applicants must propose developing or implementing mentoring programming in at least five states. Applications are due by 11:59 p.m. E.T. on May 16, 2012.</w:t>
            </w:r>
          </w:p>
          <w:p w:rsidR="00DA54D1" w:rsidRDefault="00DA54D1">
            <w:pPr>
              <w:numPr>
                <w:ilvl w:val="0"/>
                <w:numId w:val="4"/>
              </w:numPr>
              <w:rPr>
                <w:rFonts w:ascii="Arial" w:eastAsia="Times New Roman" w:hAnsi="Arial" w:cs="Arial"/>
              </w:rPr>
            </w:pPr>
            <w:hyperlink r:id="rId21" w:history="1">
              <w:r>
                <w:rPr>
                  <w:rStyle w:val="Hyperlink"/>
                  <w:rFonts w:ascii="Arial" w:eastAsia="Times New Roman" w:hAnsi="Arial" w:cs="Arial"/>
                  <w:color w:val="0070C0"/>
                </w:rPr>
                <w:t>Local Mentoring Coordinator Program</w:t>
              </w:r>
            </w:hyperlink>
            <w:r>
              <w:rPr>
                <w:rFonts w:ascii="Arial" w:eastAsia="Times New Roman" w:hAnsi="Arial" w:cs="Arial"/>
              </w:rPr>
              <w:t>. This grant opportunity provides funding to support the coordination and enhancement of existing mentoring programs through a mentoring coordinator staff position. Applications are due by 11:59 p.m. E.T. on May 14, 2012.</w:t>
            </w:r>
          </w:p>
          <w:p w:rsidR="00DA54D1" w:rsidRDefault="00DA54D1">
            <w:pPr>
              <w:rPr>
                <w:rFonts w:ascii="Arial" w:hAnsi="Arial" w:cs="Arial"/>
              </w:rPr>
            </w:pPr>
          </w:p>
          <w:p w:rsidR="00DA54D1" w:rsidRDefault="00DA54D1">
            <w:pPr>
              <w:rPr>
                <w:rFonts w:ascii="Arial" w:hAnsi="Arial" w:cs="Arial"/>
              </w:rPr>
            </w:pPr>
          </w:p>
          <w:p w:rsidR="00DA54D1" w:rsidRDefault="00DA54D1">
            <w:pPr>
              <w:pStyle w:val="NormalWeb"/>
              <w:spacing w:before="0" w:after="0"/>
              <w:rPr>
                <w:rFonts w:ascii="Arial" w:hAnsi="Arial" w:cs="Arial"/>
                <w:b/>
                <w:bCs/>
                <w:color w:val="892D4D"/>
                <w:sz w:val="22"/>
                <w:szCs w:val="22"/>
              </w:rPr>
            </w:pPr>
            <w:r>
              <w:rPr>
                <w:rFonts w:ascii="Arial" w:hAnsi="Arial" w:cs="Arial"/>
                <w:b/>
                <w:bCs/>
                <w:color w:val="892D4D"/>
                <w:sz w:val="22"/>
                <w:szCs w:val="22"/>
              </w:rPr>
              <w:t xml:space="preserve">Girls In The Juvenile Justice System - Award Winning PBS </w:t>
            </w:r>
            <w:r>
              <w:rPr>
                <w:rFonts w:ascii="Arial" w:hAnsi="Arial" w:cs="Arial"/>
                <w:b/>
                <w:bCs/>
                <w:color w:val="892D4D"/>
                <w:sz w:val="22"/>
                <w:szCs w:val="22"/>
              </w:rPr>
              <w:lastRenderedPageBreak/>
              <w:t>Documentary</w:t>
            </w:r>
          </w:p>
          <w:p w:rsidR="00DA54D1" w:rsidRDefault="00DA54D1">
            <w:pPr>
              <w:rPr>
                <w:rFonts w:ascii="Arial" w:hAnsi="Arial" w:cs="Arial"/>
              </w:rPr>
            </w:pPr>
          </w:p>
          <w:p w:rsidR="00DA54D1" w:rsidRDefault="00DA54D1">
            <w:pPr>
              <w:rPr>
                <w:rFonts w:ascii="Arial" w:hAnsi="Arial" w:cs="Arial"/>
              </w:rPr>
            </w:pPr>
            <w:hyperlink r:id="rId22" w:tgtFrame="_blank" w:history="1">
              <w:r>
                <w:rPr>
                  <w:rStyle w:val="Hyperlink"/>
                  <w:rFonts w:ascii="Arial" w:hAnsi="Arial" w:cs="Arial"/>
                  <w:b/>
                  <w:bCs/>
                  <w:i/>
                  <w:iCs/>
                  <w:color w:val="0070C0"/>
                </w:rPr>
                <w:t>Girl Trouble</w:t>
              </w:r>
            </w:hyperlink>
            <w:r>
              <w:rPr>
                <w:rFonts w:ascii="Arial" w:hAnsi="Arial" w:cs="Arial"/>
              </w:rPr>
              <w:t> is an award-winning documentary produced by Critical Images Inc., featured on the PBS Nationally-Acclaimed Series: Independent Lens. It is an intimate look at the compelling personal stories of three teenagers entangled in San Francisco's juvenile justice system. The film documents the girls' remarkable successes and heartbreaking setbacks over a four-year period- their daily struggles with poverty, violence, public defenders and homelessness, and exposes a system that fails to end the cycle of incarceration.</w:t>
            </w:r>
          </w:p>
          <w:p w:rsidR="00DA54D1" w:rsidRDefault="00DA54D1"/>
          <w:p w:rsidR="00DA54D1" w:rsidRDefault="00DA54D1">
            <w:pPr>
              <w:rPr>
                <w:rFonts w:ascii="Arial" w:hAnsi="Arial" w:cs="Arial"/>
                <w:b/>
                <w:bCs/>
                <w:color w:val="892D4D"/>
              </w:rPr>
            </w:pPr>
          </w:p>
          <w:p w:rsidR="00DA54D1" w:rsidRDefault="00DA54D1">
            <w:pPr>
              <w:rPr>
                <w:rFonts w:ascii="Arial" w:hAnsi="Arial" w:cs="Arial"/>
                <w:b/>
                <w:bCs/>
                <w:color w:val="892D4D"/>
              </w:rPr>
            </w:pPr>
            <w:r>
              <w:rPr>
                <w:rFonts w:ascii="Arial" w:hAnsi="Arial" w:cs="Arial"/>
                <w:b/>
                <w:bCs/>
                <w:color w:val="892D4D"/>
              </w:rPr>
              <w:t xml:space="preserve">Training Opportunity </w:t>
            </w:r>
          </w:p>
          <w:p w:rsidR="00DA54D1" w:rsidRDefault="00DA54D1">
            <w:pPr>
              <w:rPr>
                <w:rFonts w:ascii="Arial" w:hAnsi="Arial" w:cs="Arial"/>
                <w:b/>
                <w:bCs/>
                <w:color w:val="892D4D"/>
              </w:rPr>
            </w:pPr>
          </w:p>
          <w:p w:rsidR="00DA54D1" w:rsidRDefault="00DA54D1">
            <w:pPr>
              <w:jc w:val="center"/>
              <w:rPr>
                <w:rFonts w:ascii="Arial" w:hAnsi="Arial" w:cs="Arial"/>
                <w:color w:val="FFFFFF"/>
              </w:rPr>
            </w:pPr>
            <w:r>
              <w:rPr>
                <w:rStyle w:val="Strong"/>
                <w:rFonts w:ascii="Arial" w:hAnsi="Arial" w:cs="Arial"/>
                <w:color w:val="000000"/>
              </w:rPr>
              <w:t>Gender – Responsive</w:t>
            </w:r>
            <w:r>
              <w:rPr>
                <w:rFonts w:ascii="Arial" w:hAnsi="Arial" w:cs="Arial"/>
                <w:color w:val="FFFFFF"/>
              </w:rPr>
              <w:t xml:space="preserve">, </w:t>
            </w:r>
            <w:r>
              <w:rPr>
                <w:rStyle w:val="Strong"/>
                <w:rFonts w:ascii="Arial" w:hAnsi="Arial" w:cs="Arial"/>
                <w:color w:val="000000"/>
              </w:rPr>
              <w:t>Trauma - Informed</w:t>
            </w:r>
          </w:p>
          <w:p w:rsidR="00DA54D1" w:rsidRDefault="00DA54D1">
            <w:pPr>
              <w:jc w:val="center"/>
              <w:rPr>
                <w:rFonts w:ascii="Arial" w:hAnsi="Arial" w:cs="Arial"/>
                <w:color w:val="FFFFFF"/>
              </w:rPr>
            </w:pPr>
            <w:r>
              <w:rPr>
                <w:rStyle w:val="Strong"/>
                <w:rFonts w:ascii="Arial" w:hAnsi="Arial" w:cs="Arial"/>
                <w:color w:val="000000"/>
              </w:rPr>
              <w:t>Services For Women and Girls</w:t>
            </w:r>
          </w:p>
          <w:p w:rsidR="00DA54D1" w:rsidRDefault="00DA54D1">
            <w:pPr>
              <w:jc w:val="center"/>
              <w:rPr>
                <w:rFonts w:ascii="Arial" w:hAnsi="Arial" w:cs="Arial"/>
                <w:b/>
                <w:bCs/>
              </w:rPr>
            </w:pPr>
            <w:r>
              <w:rPr>
                <w:rStyle w:val="Strong"/>
                <w:rFonts w:ascii="Arial" w:hAnsi="Arial" w:cs="Arial"/>
                <w:b w:val="0"/>
                <w:bCs w:val="0"/>
              </w:rPr>
              <w:t>3 Days - $159.00 and 21 CEU's </w:t>
            </w:r>
          </w:p>
          <w:p w:rsidR="00DA54D1" w:rsidRDefault="00DA54D1">
            <w:pPr>
              <w:jc w:val="center"/>
              <w:rPr>
                <w:rFonts w:ascii="Arial" w:hAnsi="Arial" w:cs="Arial"/>
                <w:b/>
                <w:bCs/>
                <w:color w:val="FFFFFF"/>
              </w:rPr>
            </w:pPr>
            <w:r>
              <w:rPr>
                <w:rStyle w:val="Strong"/>
                <w:rFonts w:ascii="Arial" w:hAnsi="Arial" w:cs="Arial"/>
                <w:b w:val="0"/>
                <w:bCs w:val="0"/>
                <w:color w:val="000000"/>
              </w:rPr>
              <w:t> Helping Women Recover ~ Beyond Trauma ~ Voices ~</w:t>
            </w:r>
            <w:r>
              <w:rPr>
                <w:rFonts w:ascii="Arial" w:hAnsi="Arial" w:cs="Arial"/>
                <w:b/>
                <w:bCs/>
                <w:color w:val="FFFFFF"/>
              </w:rPr>
              <w:t xml:space="preserve"> </w:t>
            </w:r>
            <w:r>
              <w:rPr>
                <w:rStyle w:val="Strong"/>
                <w:rFonts w:ascii="Arial" w:hAnsi="Arial" w:cs="Arial"/>
                <w:b w:val="0"/>
                <w:bCs w:val="0"/>
                <w:color w:val="000000"/>
              </w:rPr>
              <w:t>A Woman's Way through The Twelve Steps</w:t>
            </w:r>
          </w:p>
          <w:p w:rsidR="00DA54D1" w:rsidRDefault="00DA54D1">
            <w:pPr>
              <w:jc w:val="center"/>
              <w:rPr>
                <w:rFonts w:ascii="Arial" w:hAnsi="Arial" w:cs="Arial"/>
                <w:color w:val="FFFFFF"/>
              </w:rPr>
            </w:pPr>
            <w:r>
              <w:rPr>
                <w:rStyle w:val="Strong"/>
                <w:rFonts w:ascii="Arial" w:hAnsi="Arial" w:cs="Arial"/>
                <w:color w:val="000000"/>
              </w:rPr>
              <w:t> </w:t>
            </w:r>
          </w:p>
          <w:p w:rsidR="00DA54D1" w:rsidRDefault="00DA54D1">
            <w:pPr>
              <w:jc w:val="both"/>
              <w:rPr>
                <w:rFonts w:ascii="Arial" w:hAnsi="Arial" w:cs="Arial"/>
                <w:b/>
                <w:bCs/>
                <w:color w:val="FFFFFF"/>
              </w:rPr>
            </w:pPr>
            <w:r>
              <w:rPr>
                <w:rStyle w:val="Strong"/>
                <w:rFonts w:ascii="Arial" w:hAnsi="Arial" w:cs="Arial"/>
                <w:b w:val="0"/>
                <w:bCs w:val="0"/>
                <w:color w:val="000000"/>
              </w:rPr>
              <w:t>Designed for counselors, therapists, clinical supervisors, and program administrators,</w:t>
            </w:r>
            <w:r>
              <w:rPr>
                <w:rFonts w:ascii="Arial" w:hAnsi="Arial" w:cs="Arial"/>
                <w:b/>
                <w:bCs/>
                <w:color w:val="FFFFFF"/>
              </w:rPr>
              <w:t xml:space="preserve"> </w:t>
            </w:r>
            <w:hyperlink r:id="rId23" w:history="1">
              <w:r>
                <w:rPr>
                  <w:rStyle w:val="Hyperlink"/>
                  <w:rFonts w:ascii="Arial" w:hAnsi="Arial" w:cs="Arial"/>
                  <w:color w:val="0070C0"/>
                </w:rPr>
                <w:t>the training</w:t>
              </w:r>
            </w:hyperlink>
            <w:r>
              <w:rPr>
                <w:rStyle w:val="Strong"/>
                <w:rFonts w:ascii="Arial" w:hAnsi="Arial" w:cs="Arial"/>
                <w:b w:val="0"/>
                <w:bCs w:val="0"/>
                <w:color w:val="000000"/>
              </w:rPr>
              <w:t xml:space="preserve"> focuses on the elements needed for women's recovery services.</w:t>
            </w:r>
            <w:r>
              <w:rPr>
                <w:rFonts w:ascii="Arial" w:hAnsi="Arial" w:cs="Arial"/>
                <w:b/>
                <w:bCs/>
                <w:color w:val="000000"/>
              </w:rPr>
              <w:t> </w:t>
            </w:r>
            <w:r>
              <w:rPr>
                <w:rFonts w:ascii="Arial" w:hAnsi="Arial" w:cs="Arial"/>
                <w:b/>
                <w:bCs/>
                <w:color w:val="FFFFFF"/>
              </w:rPr>
              <w:t> </w:t>
            </w:r>
          </w:p>
          <w:p w:rsidR="00DA54D1" w:rsidRDefault="00DA54D1">
            <w:pPr>
              <w:numPr>
                <w:ilvl w:val="0"/>
                <w:numId w:val="5"/>
              </w:numPr>
              <w:rPr>
                <w:rFonts w:ascii="Arial" w:eastAsia="Times New Roman" w:hAnsi="Arial" w:cs="Arial"/>
                <w:color w:val="000000"/>
              </w:rPr>
            </w:pPr>
            <w:r>
              <w:rPr>
                <w:rFonts w:ascii="Arial" w:eastAsia="Times New Roman" w:hAnsi="Arial" w:cs="Arial"/>
                <w:color w:val="000000"/>
              </w:rPr>
              <w:t>Three day professional training (June 19th, 20th, and 21st) where Dr. Covington and her approved trainers will be presenting and available throughout the conference to address individual or organizational inquiries.</w:t>
            </w:r>
          </w:p>
          <w:p w:rsidR="00DA54D1" w:rsidRDefault="00DA54D1">
            <w:pPr>
              <w:numPr>
                <w:ilvl w:val="0"/>
                <w:numId w:val="5"/>
              </w:numPr>
              <w:rPr>
                <w:rFonts w:ascii="Arial" w:eastAsia="Times New Roman" w:hAnsi="Arial" w:cs="Arial"/>
                <w:color w:val="000000"/>
              </w:rPr>
            </w:pPr>
            <w:r>
              <w:rPr>
                <w:rFonts w:ascii="Arial" w:eastAsia="Times New Roman" w:hAnsi="Arial" w:cs="Arial"/>
                <w:color w:val="000000"/>
              </w:rPr>
              <w:t xml:space="preserve">June 19th and 20th </w:t>
            </w:r>
            <w:r>
              <w:rPr>
                <w:rFonts w:ascii="Arial" w:eastAsia="Times New Roman" w:hAnsi="Arial" w:cs="Arial"/>
                <w:color w:val="000000"/>
              </w:rPr>
              <w:lastRenderedPageBreak/>
              <w:t xml:space="preserve">choose from three different 2-day workshops (Helping Women Recover, Beyond Trauma or Voices) and receive a </w:t>
            </w:r>
            <w:r>
              <w:rPr>
                <w:rStyle w:val="Strong"/>
                <w:rFonts w:ascii="Arial" w:eastAsia="Times New Roman" w:hAnsi="Arial" w:cs="Arial"/>
                <w:color w:val="000000"/>
              </w:rPr>
              <w:t>FREE</w:t>
            </w:r>
            <w:r>
              <w:rPr>
                <w:rFonts w:ascii="Arial" w:eastAsia="Times New Roman" w:hAnsi="Arial" w:cs="Arial"/>
                <w:color w:val="000000"/>
              </w:rPr>
              <w:t xml:space="preserve"> journal for that curriculum.</w:t>
            </w:r>
          </w:p>
          <w:p w:rsidR="00DA54D1" w:rsidRDefault="00DA54D1">
            <w:pPr>
              <w:numPr>
                <w:ilvl w:val="0"/>
                <w:numId w:val="5"/>
              </w:numPr>
              <w:rPr>
                <w:rFonts w:ascii="Arial" w:eastAsia="Times New Roman" w:hAnsi="Arial" w:cs="Arial"/>
                <w:color w:val="000000"/>
              </w:rPr>
            </w:pPr>
            <w:r>
              <w:rPr>
                <w:rFonts w:ascii="Arial" w:eastAsia="Times New Roman" w:hAnsi="Arial" w:cs="Arial"/>
                <w:color w:val="000000"/>
              </w:rPr>
              <w:t>June 20th, 5-7 pm Dr. Covington will present a special session that addresses the needs of women in the correctional system.</w:t>
            </w:r>
          </w:p>
          <w:p w:rsidR="00DA54D1" w:rsidRDefault="00DA54D1">
            <w:pPr>
              <w:numPr>
                <w:ilvl w:val="0"/>
                <w:numId w:val="5"/>
              </w:numPr>
              <w:rPr>
                <w:rFonts w:ascii="Arial" w:eastAsia="Times New Roman" w:hAnsi="Arial" w:cs="Arial"/>
                <w:color w:val="000000"/>
              </w:rPr>
            </w:pPr>
            <w:r>
              <w:rPr>
                <w:rFonts w:ascii="Arial" w:eastAsia="Times New Roman" w:hAnsi="Arial" w:cs="Arial"/>
                <w:color w:val="000000"/>
              </w:rPr>
              <w:t xml:space="preserve">June 21st </w:t>
            </w:r>
            <w:r>
              <w:rPr>
                <w:rStyle w:val="Emphasis"/>
                <w:rFonts w:ascii="Arial" w:eastAsia="Times New Roman" w:hAnsi="Arial" w:cs="Arial"/>
                <w:color w:val="000000"/>
              </w:rPr>
              <w:t xml:space="preserve">A Woman's Way through </w:t>
            </w:r>
            <w:proofErr w:type="gramStart"/>
            <w:r>
              <w:rPr>
                <w:rStyle w:val="Emphasis"/>
                <w:rFonts w:ascii="Arial" w:eastAsia="Times New Roman" w:hAnsi="Arial" w:cs="Arial"/>
                <w:color w:val="000000"/>
              </w:rPr>
              <w:t>The</w:t>
            </w:r>
            <w:proofErr w:type="gramEnd"/>
            <w:r>
              <w:rPr>
                <w:rStyle w:val="Emphasis"/>
                <w:rFonts w:ascii="Arial" w:eastAsia="Times New Roman" w:hAnsi="Arial" w:cs="Arial"/>
                <w:color w:val="000000"/>
              </w:rPr>
              <w:t xml:space="preserve"> Twelve Steps </w:t>
            </w:r>
            <w:r>
              <w:rPr>
                <w:rFonts w:ascii="Arial" w:eastAsia="Times New Roman" w:hAnsi="Arial" w:cs="Arial"/>
                <w:color w:val="000000"/>
              </w:rPr>
              <w:t xml:space="preserve">workshop presented by Dr. Covington and receive </w:t>
            </w:r>
            <w:r>
              <w:rPr>
                <w:rStyle w:val="Strong"/>
                <w:rFonts w:ascii="Arial" w:eastAsia="Times New Roman" w:hAnsi="Arial" w:cs="Arial"/>
                <w:color w:val="000000"/>
              </w:rPr>
              <w:t>FREE</w:t>
            </w:r>
            <w:r>
              <w:rPr>
                <w:rFonts w:ascii="Arial" w:eastAsia="Times New Roman" w:hAnsi="Arial" w:cs="Arial"/>
                <w:color w:val="000000"/>
              </w:rPr>
              <w:t xml:space="preserve"> A Woman's Way through The Twelve Steps book.</w:t>
            </w:r>
          </w:p>
          <w:p w:rsidR="00DA54D1" w:rsidRDefault="00DA54D1">
            <w:pPr>
              <w:numPr>
                <w:ilvl w:val="0"/>
                <w:numId w:val="5"/>
              </w:numPr>
              <w:rPr>
                <w:rFonts w:ascii="Arial" w:eastAsia="Times New Roman" w:hAnsi="Arial" w:cs="Arial"/>
                <w:color w:val="000000"/>
              </w:rPr>
            </w:pPr>
            <w:r>
              <w:rPr>
                <w:rFonts w:ascii="Arial" w:eastAsia="Times New Roman" w:hAnsi="Arial" w:cs="Arial"/>
                <w:color w:val="000000"/>
              </w:rPr>
              <w:t xml:space="preserve">Onsite bookstore provided by </w:t>
            </w:r>
            <w:proofErr w:type="spellStart"/>
            <w:r>
              <w:rPr>
                <w:rFonts w:ascii="Arial" w:eastAsia="Times New Roman" w:hAnsi="Arial" w:cs="Arial"/>
                <w:color w:val="000000"/>
              </w:rPr>
              <w:t>Hazelden</w:t>
            </w:r>
            <w:proofErr w:type="spellEnd"/>
          </w:p>
          <w:p w:rsidR="00DA54D1" w:rsidRDefault="00DA54D1">
            <w:pPr>
              <w:ind w:left="360"/>
              <w:rPr>
                <w:rFonts w:ascii="Arial" w:hAnsi="Arial" w:cs="Arial"/>
                <w:color w:val="000000"/>
              </w:rPr>
            </w:pPr>
          </w:p>
          <w:p w:rsidR="00DA54D1" w:rsidRPr="00DA54D1" w:rsidRDefault="00DA54D1">
            <w:pPr>
              <w:pStyle w:val="NormalWeb"/>
              <w:spacing w:before="0" w:after="0"/>
              <w:rPr>
                <w:rFonts w:ascii="Arial" w:hAnsi="Arial" w:cs="Arial"/>
                <w:b/>
                <w:bCs/>
                <w:color w:val="000000"/>
                <w:sz w:val="22"/>
                <w:szCs w:val="22"/>
              </w:rPr>
            </w:pPr>
            <w:r>
              <w:rPr>
                <w:rStyle w:val="Strong"/>
                <w:rFonts w:ascii="Arial" w:hAnsi="Arial" w:cs="Arial"/>
                <w:b w:val="0"/>
                <w:bCs w:val="0"/>
                <w:color w:val="000000"/>
                <w:sz w:val="22"/>
                <w:szCs w:val="22"/>
              </w:rPr>
              <w:t>Reserve dates June 19th &amp; 20th @ $159.00 &amp; get June 21st for free (21 CEU's). Separate cost if attending only Thursday, June 21st (3rd day) training, the cost is $49 for 7 CEUs.</w:t>
            </w:r>
          </w:p>
        </w:tc>
        <w:tc>
          <w:tcPr>
            <w:tcW w:w="5778" w:type="dxa"/>
            <w:tcBorders>
              <w:top w:val="nil"/>
              <w:left w:val="nil"/>
              <w:bottom w:val="single" w:sz="8" w:space="0" w:color="auto"/>
              <w:right w:val="single" w:sz="8" w:space="0" w:color="auto"/>
            </w:tcBorders>
            <w:tcMar>
              <w:top w:w="0" w:type="dxa"/>
              <w:left w:w="108" w:type="dxa"/>
              <w:bottom w:w="0" w:type="dxa"/>
              <w:right w:w="108" w:type="dxa"/>
            </w:tcMar>
          </w:tcPr>
          <w:p w:rsidR="00DA54D1" w:rsidRDefault="00DA54D1">
            <w:pPr>
              <w:jc w:val="center"/>
              <w:rPr>
                <w:rFonts w:ascii="Arial" w:hAnsi="Arial" w:cs="Arial"/>
                <w:b/>
                <w:bCs/>
                <w:i/>
                <w:iCs/>
                <w:color w:val="E26206"/>
                <w:sz w:val="24"/>
                <w:szCs w:val="24"/>
              </w:rPr>
            </w:pPr>
            <w:r>
              <w:rPr>
                <w:rFonts w:ascii="Arial" w:hAnsi="Arial" w:cs="Arial"/>
                <w:b/>
                <w:bCs/>
                <w:i/>
                <w:iCs/>
                <w:color w:val="E26206"/>
                <w:sz w:val="24"/>
                <w:szCs w:val="24"/>
              </w:rPr>
              <w:lastRenderedPageBreak/>
              <w:t xml:space="preserve">“A Female Responsive Approach </w:t>
            </w:r>
          </w:p>
          <w:p w:rsidR="00DA54D1" w:rsidRDefault="00DA54D1">
            <w:pPr>
              <w:jc w:val="center"/>
              <w:rPr>
                <w:rFonts w:ascii="Arial" w:hAnsi="Arial" w:cs="Arial"/>
                <w:b/>
                <w:bCs/>
                <w:i/>
                <w:iCs/>
                <w:color w:val="E26206"/>
                <w:sz w:val="24"/>
                <w:szCs w:val="24"/>
              </w:rPr>
            </w:pPr>
            <w:r>
              <w:rPr>
                <w:rFonts w:ascii="Arial" w:hAnsi="Arial" w:cs="Arial"/>
                <w:b/>
                <w:bCs/>
                <w:i/>
                <w:iCs/>
                <w:color w:val="E26206"/>
                <w:sz w:val="24"/>
                <w:szCs w:val="24"/>
              </w:rPr>
              <w:t>to Substance Abuse”</w:t>
            </w:r>
          </w:p>
          <w:p w:rsidR="00DA54D1" w:rsidRDefault="00DA54D1">
            <w:pPr>
              <w:jc w:val="center"/>
              <w:rPr>
                <w:rFonts w:ascii="Arial" w:hAnsi="Arial" w:cs="Arial"/>
                <w:i/>
                <w:iCs/>
                <w:color w:val="E26206"/>
                <w:sz w:val="20"/>
                <w:szCs w:val="20"/>
              </w:rPr>
            </w:pPr>
            <w:r>
              <w:rPr>
                <w:rFonts w:ascii="Arial" w:hAnsi="Arial" w:cs="Arial"/>
                <w:i/>
                <w:iCs/>
                <w:color w:val="E26206"/>
                <w:sz w:val="20"/>
                <w:szCs w:val="20"/>
              </w:rPr>
              <w:t>by Kathy Nesteby</w:t>
            </w:r>
          </w:p>
          <w:p w:rsidR="00DA54D1" w:rsidRDefault="00DA54D1">
            <w:pPr>
              <w:rPr>
                <w:rFonts w:ascii="Arial" w:hAnsi="Arial" w:cs="Arial"/>
              </w:rPr>
            </w:pPr>
          </w:p>
          <w:p w:rsidR="00DA54D1" w:rsidRDefault="00DA54D1">
            <w:pPr>
              <w:rPr>
                <w:rFonts w:ascii="Arial" w:hAnsi="Arial" w:cs="Arial"/>
              </w:rPr>
            </w:pPr>
          </w:p>
          <w:p w:rsidR="00DA54D1" w:rsidRDefault="00DA54D1">
            <w:pPr>
              <w:jc w:val="both"/>
              <w:rPr>
                <w:rFonts w:ascii="Arial" w:hAnsi="Arial" w:cs="Arial"/>
              </w:rPr>
            </w:pPr>
            <w:r>
              <w:rPr>
                <w:rFonts w:ascii="Arial" w:hAnsi="Arial" w:cs="Arial"/>
              </w:rPr>
              <w:t xml:space="preserve">Equality does not equal sameness is a phrase often heard in female-responsive service circles and it certainly holds true when applied to substance abuse settings as well. Providing young women services designed for young men is not equal and so-called “gender neutral” services are rarely neutral. But, making the shift to being more female-responsive need not be an overwhelming undertaking. </w:t>
            </w:r>
          </w:p>
          <w:p w:rsidR="00DA54D1" w:rsidRDefault="00DA54D1">
            <w:pPr>
              <w:jc w:val="both"/>
              <w:rPr>
                <w:rFonts w:ascii="Arial" w:hAnsi="Arial" w:cs="Arial"/>
              </w:rPr>
            </w:pPr>
          </w:p>
          <w:p w:rsidR="00DA54D1" w:rsidRDefault="00DA54D1">
            <w:pPr>
              <w:jc w:val="both"/>
              <w:rPr>
                <w:rFonts w:ascii="Arial" w:hAnsi="Arial" w:cs="Arial"/>
              </w:rPr>
            </w:pPr>
            <w:r>
              <w:rPr>
                <w:rFonts w:ascii="Arial" w:hAnsi="Arial" w:cs="Arial"/>
              </w:rPr>
              <w:t xml:space="preserve">Learning to be female-responsive can start with something as simple as recognizing that although females tend to be more verbal, communication in mixed-gender groups may still </w:t>
            </w:r>
            <w:proofErr w:type="gramStart"/>
            <w:r>
              <w:rPr>
                <w:rFonts w:ascii="Arial" w:hAnsi="Arial" w:cs="Arial"/>
              </w:rPr>
              <w:t>be</w:t>
            </w:r>
            <w:proofErr w:type="gramEnd"/>
            <w:r>
              <w:rPr>
                <w:rFonts w:ascii="Arial" w:hAnsi="Arial" w:cs="Arial"/>
              </w:rPr>
              <w:t xml:space="preserve"> male-dominated due to cultural expectations that females defer to others and males “take charge”. </w:t>
            </w:r>
          </w:p>
          <w:p w:rsidR="00DA54D1" w:rsidRDefault="00DA54D1">
            <w:pPr>
              <w:jc w:val="both"/>
              <w:rPr>
                <w:rFonts w:ascii="Arial" w:hAnsi="Arial" w:cs="Arial"/>
              </w:rPr>
            </w:pPr>
          </w:p>
          <w:p w:rsidR="00DA54D1" w:rsidRDefault="00DA54D1">
            <w:pPr>
              <w:jc w:val="both"/>
              <w:rPr>
                <w:rFonts w:ascii="Arial" w:hAnsi="Arial" w:cs="Arial"/>
              </w:rPr>
            </w:pPr>
            <w:r>
              <w:rPr>
                <w:rFonts w:ascii="Arial" w:hAnsi="Arial" w:cs="Arial"/>
              </w:rPr>
              <w:t xml:space="preserve">It can also start by challenging accepted but unproven notions like “girls need to be in mixed-gender settings in order to learn to interact appropriately with boys.” After all, if someone had been attacked by a shark, would you begin to treat their fear by throwing them in a shark tank? </w:t>
            </w:r>
          </w:p>
          <w:p w:rsidR="00DA54D1" w:rsidRDefault="00DA54D1">
            <w:pPr>
              <w:jc w:val="both"/>
              <w:rPr>
                <w:rFonts w:ascii="Arial" w:hAnsi="Arial" w:cs="Arial"/>
              </w:rPr>
            </w:pPr>
          </w:p>
          <w:p w:rsidR="00DA54D1" w:rsidRDefault="00DA54D1">
            <w:pPr>
              <w:jc w:val="both"/>
              <w:rPr>
                <w:rFonts w:ascii="Arial" w:hAnsi="Arial" w:cs="Arial"/>
              </w:rPr>
            </w:pPr>
            <w:r>
              <w:rPr>
                <w:rFonts w:ascii="Arial" w:hAnsi="Arial" w:cs="Arial"/>
              </w:rPr>
              <w:t xml:space="preserve">Females with substance abuse problems often have extensive histories of sexual abuse at the hands of males. Although males in the treatment environment are highly unlikely to be the same “sharks” who abused her that doesn’t make her fear any less valid or debilitating. It is </w:t>
            </w:r>
            <w:r>
              <w:rPr>
                <w:rFonts w:ascii="Arial" w:hAnsi="Arial" w:cs="Arial"/>
              </w:rPr>
              <w:lastRenderedPageBreak/>
              <w:t>difficult to work on your substance abuse issues, when you are constantly looking over your shoulder in fear. There are other ways to help her work on her interactions with males that don’t involve throwing her straight into the deep end.</w:t>
            </w:r>
          </w:p>
          <w:p w:rsidR="00DA54D1" w:rsidRDefault="00DA54D1">
            <w:pPr>
              <w:jc w:val="both"/>
              <w:rPr>
                <w:rFonts w:ascii="Arial" w:hAnsi="Arial" w:cs="Arial"/>
              </w:rPr>
            </w:pPr>
          </w:p>
          <w:p w:rsidR="00DA54D1" w:rsidRPr="00DA54D1" w:rsidRDefault="00DA54D1" w:rsidP="00DA54D1">
            <w:pPr>
              <w:jc w:val="both"/>
              <w:rPr>
                <w:rFonts w:ascii="Arial" w:hAnsi="Arial" w:cs="Arial"/>
              </w:rPr>
            </w:pPr>
            <w:r>
              <w:rPr>
                <w:rFonts w:ascii="Arial" w:hAnsi="Arial" w:cs="Arial"/>
              </w:rPr>
              <w:t xml:space="preserve">Below you will find information about other areas of gender divergence specific to substance abuse as well as practical suggestions for incorporating female-responsive practice. </w:t>
            </w:r>
          </w:p>
          <w:p w:rsidR="00DA54D1" w:rsidRDefault="00DA54D1">
            <w:pPr>
              <w:rPr>
                <w:rFonts w:ascii="Arial" w:hAnsi="Arial" w:cs="Arial"/>
                <w:u w:val="single"/>
              </w:rPr>
            </w:pPr>
          </w:p>
          <w:p w:rsidR="00DA54D1" w:rsidRDefault="00DA54D1">
            <w:pPr>
              <w:rPr>
                <w:rFonts w:ascii="Arial" w:hAnsi="Arial" w:cs="Arial"/>
                <w:u w:val="single"/>
              </w:rPr>
            </w:pPr>
            <w:r>
              <w:rPr>
                <w:rFonts w:ascii="Arial" w:hAnsi="Arial" w:cs="Arial"/>
                <w:u w:val="single"/>
              </w:rPr>
              <w:t xml:space="preserve">Gender Divergence in Substance Abuse </w:t>
            </w:r>
          </w:p>
          <w:p w:rsidR="00DA54D1" w:rsidRDefault="00DA54D1" w:rsidP="00DA54D1">
            <w:pPr>
              <w:pStyle w:val="ListParagraph"/>
              <w:numPr>
                <w:ilvl w:val="0"/>
                <w:numId w:val="6"/>
              </w:numPr>
              <w:spacing w:after="0" w:line="240" w:lineRule="auto"/>
              <w:rPr>
                <w:rFonts w:ascii="Arial" w:hAnsi="Arial" w:cs="Arial"/>
              </w:rPr>
            </w:pPr>
            <w:r>
              <w:rPr>
                <w:rFonts w:ascii="Arial" w:hAnsi="Arial" w:cs="Arial"/>
              </w:rPr>
              <w:t>Alcohol-dependent females have greater histories of psychiatric disorders and earlier onset of mental illness than males.</w:t>
            </w:r>
            <w:r>
              <w:rPr>
                <w:rFonts w:ascii="Arial" w:hAnsi="Arial" w:cs="Arial"/>
                <w:vertAlign w:val="superscript"/>
              </w:rPr>
              <w:t>1</w:t>
            </w:r>
            <w:r>
              <w:rPr>
                <w:rFonts w:ascii="Arial" w:hAnsi="Arial" w:cs="Arial"/>
              </w:rPr>
              <w:t xml:space="preserve">  </w:t>
            </w:r>
          </w:p>
          <w:p w:rsidR="00DA54D1" w:rsidRDefault="00DA54D1" w:rsidP="00DA54D1">
            <w:pPr>
              <w:pStyle w:val="ListParagraph"/>
              <w:numPr>
                <w:ilvl w:val="0"/>
                <w:numId w:val="6"/>
              </w:numPr>
              <w:spacing w:after="0" w:line="240" w:lineRule="auto"/>
              <w:rPr>
                <w:rFonts w:ascii="Arial" w:hAnsi="Arial" w:cs="Arial"/>
              </w:rPr>
            </w:pPr>
            <w:r>
              <w:rPr>
                <w:rFonts w:ascii="Arial" w:hAnsi="Arial" w:cs="Arial"/>
              </w:rPr>
              <w:t>Cognitive behavioral therapies focus on recognizing “cues” and “triggers” but these are often different for females.</w:t>
            </w:r>
            <w:r>
              <w:rPr>
                <w:rFonts w:ascii="Arial" w:hAnsi="Arial" w:cs="Arial"/>
                <w:vertAlign w:val="superscript"/>
              </w:rPr>
              <w:t>2</w:t>
            </w:r>
          </w:p>
          <w:p w:rsidR="00DA54D1" w:rsidRDefault="00DA54D1" w:rsidP="00DA54D1">
            <w:pPr>
              <w:pStyle w:val="ListParagraph"/>
              <w:numPr>
                <w:ilvl w:val="0"/>
                <w:numId w:val="6"/>
              </w:numPr>
              <w:spacing w:after="0" w:line="240" w:lineRule="auto"/>
              <w:rPr>
                <w:rFonts w:ascii="Arial" w:hAnsi="Arial" w:cs="Arial"/>
              </w:rPr>
            </w:pPr>
            <w:r>
              <w:rPr>
                <w:rFonts w:ascii="Arial" w:hAnsi="Arial" w:cs="Arial"/>
              </w:rPr>
              <w:t>For females a “no” carries more risk due to their prioritization of relationships. Females may abuse substances in an attempt to build or maintain relationships. They are also more apt to be introduced to substances by a romantic partner.</w:t>
            </w:r>
            <w:r>
              <w:rPr>
                <w:rFonts w:ascii="Arial" w:hAnsi="Arial" w:cs="Arial"/>
                <w:vertAlign w:val="superscript"/>
              </w:rPr>
              <w:t>3</w:t>
            </w:r>
          </w:p>
          <w:p w:rsidR="00DA54D1" w:rsidRDefault="00DA54D1" w:rsidP="00DA54D1">
            <w:pPr>
              <w:pStyle w:val="ListParagraph"/>
              <w:numPr>
                <w:ilvl w:val="0"/>
                <w:numId w:val="6"/>
              </w:numPr>
              <w:spacing w:after="0" w:line="240" w:lineRule="auto"/>
              <w:rPr>
                <w:rFonts w:ascii="Arial" w:hAnsi="Arial" w:cs="Arial"/>
              </w:rPr>
            </w:pPr>
            <w:r>
              <w:rPr>
                <w:rFonts w:ascii="Arial" w:hAnsi="Arial" w:cs="Arial"/>
              </w:rPr>
              <w:t>Child abuse, particularly sexual abuse, predicts all kinds of pathology, but the strongest association is with drug and alcohol abuse.</w:t>
            </w:r>
            <w:r>
              <w:rPr>
                <w:rFonts w:ascii="Arial" w:hAnsi="Arial" w:cs="Arial"/>
                <w:vertAlign w:val="superscript"/>
              </w:rPr>
              <w:t>4</w:t>
            </w:r>
            <w:r>
              <w:rPr>
                <w:rFonts w:ascii="Arial" w:hAnsi="Arial" w:cs="Arial"/>
              </w:rPr>
              <w:t xml:space="preserve"> Females sexual abuse victims outnumber male victims. </w:t>
            </w:r>
          </w:p>
          <w:p w:rsidR="00DA54D1" w:rsidRDefault="00DA54D1" w:rsidP="00DA54D1">
            <w:pPr>
              <w:pStyle w:val="ListParagraph"/>
              <w:numPr>
                <w:ilvl w:val="0"/>
                <w:numId w:val="6"/>
              </w:numPr>
              <w:spacing w:after="0" w:line="240" w:lineRule="auto"/>
              <w:rPr>
                <w:rFonts w:ascii="Arial" w:hAnsi="Arial" w:cs="Arial"/>
              </w:rPr>
            </w:pPr>
            <w:r>
              <w:rPr>
                <w:rFonts w:ascii="Arial" w:hAnsi="Arial" w:cs="Arial"/>
              </w:rPr>
              <w:t>While gender itself is not a strong predictor of treatment retention, completion, or outcomes, females do benefit from longer treatment duration and receipt of simultaneous mental health services.</w:t>
            </w:r>
            <w:r>
              <w:rPr>
                <w:rFonts w:ascii="Arial" w:hAnsi="Arial" w:cs="Arial"/>
                <w:vertAlign w:val="superscript"/>
              </w:rPr>
              <w:t>2</w:t>
            </w:r>
            <w:r>
              <w:rPr>
                <w:rFonts w:ascii="Arial" w:hAnsi="Arial" w:cs="Arial"/>
              </w:rPr>
              <w:t xml:space="preserve"> </w:t>
            </w:r>
          </w:p>
          <w:p w:rsidR="00DA54D1" w:rsidRDefault="00DA54D1" w:rsidP="00DA54D1">
            <w:pPr>
              <w:pStyle w:val="ListParagraph"/>
              <w:numPr>
                <w:ilvl w:val="0"/>
                <w:numId w:val="6"/>
              </w:numPr>
              <w:spacing w:after="0" w:line="240" w:lineRule="auto"/>
              <w:rPr>
                <w:rFonts w:ascii="Arial" w:hAnsi="Arial" w:cs="Arial"/>
              </w:rPr>
            </w:pPr>
            <w:r>
              <w:rPr>
                <w:rFonts w:ascii="Arial" w:hAnsi="Arial" w:cs="Arial"/>
              </w:rPr>
              <w:t xml:space="preserve">Females have a heightened sensitivity to some of the </w:t>
            </w:r>
            <w:proofErr w:type="spellStart"/>
            <w:r>
              <w:rPr>
                <w:rFonts w:ascii="Arial" w:hAnsi="Arial" w:cs="Arial"/>
              </w:rPr>
              <w:t>neurochemical</w:t>
            </w:r>
            <w:proofErr w:type="spellEnd"/>
            <w:r>
              <w:rPr>
                <w:rFonts w:ascii="Arial" w:hAnsi="Arial" w:cs="Arial"/>
              </w:rPr>
              <w:t xml:space="preserve"> effects of drugs. This adverse impact on the central nervous system alters the same neurotransmitters that are involved in affective and mood disorders.</w:t>
            </w:r>
            <w:r>
              <w:rPr>
                <w:rFonts w:ascii="Arial" w:hAnsi="Arial" w:cs="Arial"/>
                <w:vertAlign w:val="superscript"/>
              </w:rPr>
              <w:t>4</w:t>
            </w:r>
            <w:r>
              <w:rPr>
                <w:rFonts w:ascii="Arial" w:hAnsi="Arial" w:cs="Arial"/>
              </w:rPr>
              <w:t xml:space="preserve"> So, it is essential that females with mood or anxiety diagnosis be assessed for substance abuse and vice versa. </w:t>
            </w:r>
          </w:p>
          <w:p w:rsidR="00DA54D1" w:rsidRDefault="00DA54D1" w:rsidP="00DA54D1">
            <w:pPr>
              <w:pStyle w:val="ListParagraph"/>
              <w:numPr>
                <w:ilvl w:val="0"/>
                <w:numId w:val="6"/>
              </w:numPr>
              <w:spacing w:after="0" w:line="240" w:lineRule="auto"/>
              <w:rPr>
                <w:rFonts w:ascii="Arial" w:hAnsi="Arial" w:cs="Arial"/>
              </w:rPr>
            </w:pPr>
            <w:r>
              <w:rPr>
                <w:rFonts w:ascii="Arial" w:hAnsi="Arial" w:cs="Arial"/>
              </w:rPr>
              <w:t xml:space="preserve">Females “telescope” more quickly than their male counterparts. Telescoping refers to the progression of drug/alcohol abuse from first time use to addiction </w:t>
            </w:r>
            <w:r>
              <w:rPr>
                <w:rFonts w:ascii="Arial" w:hAnsi="Arial" w:cs="Arial"/>
              </w:rPr>
              <w:lastRenderedPageBreak/>
              <w:t xml:space="preserve">to admission to treatment. </w:t>
            </w:r>
          </w:p>
          <w:p w:rsidR="00DA54D1" w:rsidRPr="00DA54D1" w:rsidRDefault="00DA54D1">
            <w:pPr>
              <w:rPr>
                <w:rFonts w:ascii="Arial" w:hAnsi="Arial" w:cs="Arial"/>
              </w:rPr>
            </w:pPr>
            <w:r>
              <w:rPr>
                <w:rFonts w:ascii="Arial" w:hAnsi="Arial" w:cs="Arial"/>
              </w:rPr>
            </w:r>
            <w:r>
              <w:rPr>
                <w:rFonts w:ascii="Arial" w:hAnsi="Arial" w:cs="Arial"/>
              </w:rPr>
              <w:pict>
                <v:shapetype id="_x0000_t202" coordsize="21600,21600" o:spt="202" path="m,l,21600r21600,l21600,xe">
                  <v:stroke joinstyle="miter"/>
                  <v:path gradientshapeok="t" o:connecttype="rect"/>
                </v:shapetype>
                <v:shape id="_x0000_s1026" type="#_x0000_t202" style="width:290.25pt;height:72.75pt;mso-left-percent:-10001;mso-top-percent:-10001;mso-position-horizontal:absolute;mso-position-horizontal-relative:char;mso-position-vertical:absolute;mso-position-vertical-relative:line;mso-left-percent:-10001;mso-top-percent:-10001" fillcolor="#fa8d3d" strokecolor="#f2f2f2 [3041]" strokeweight="3pt">
                  <v:shadow type="perspective" color="#964104" opacity=".5" offset="1pt" offset2="-1pt"/>
                  <v:textbox style="mso-next-textbox:#_x0000_s1026">
                    <w:txbxContent>
                      <w:p w:rsidR="00DA54D1" w:rsidRDefault="00DA54D1" w:rsidP="00DA54D1">
                        <w:pPr>
                          <w:jc w:val="center"/>
                          <w:rPr>
                            <w:rFonts w:ascii="Georgia" w:hAnsi="Georgia"/>
                            <w:b/>
                            <w:bCs/>
                            <w:i/>
                            <w:iCs/>
                          </w:rPr>
                        </w:pPr>
                        <w:r>
                          <w:rPr>
                            <w:rFonts w:ascii="Georgia" w:hAnsi="Georgia"/>
                            <w:b/>
                            <w:bCs/>
                            <w:i/>
                            <w:iCs/>
                          </w:rPr>
                          <w:t>DID YOU KNOW?</w:t>
                        </w:r>
                      </w:p>
                      <w:p w:rsidR="00DA54D1" w:rsidRDefault="00DA54D1" w:rsidP="00DA54D1">
                        <w:pPr>
                          <w:jc w:val="center"/>
                          <w:rPr>
                            <w:rFonts w:ascii="Arial" w:hAnsi="Arial" w:cs="Arial"/>
                          </w:rPr>
                        </w:pPr>
                        <w:r>
                          <w:rPr>
                            <w:rFonts w:ascii="Arial" w:hAnsi="Arial" w:cs="Arial"/>
                          </w:rPr>
                          <w:t xml:space="preserve">There is a greater craving for nicotine during the follicular phase of menstruation, so setting a quit date during the </w:t>
                        </w:r>
                        <w:proofErr w:type="spellStart"/>
                        <w:r>
                          <w:rPr>
                            <w:rFonts w:ascii="Arial" w:hAnsi="Arial" w:cs="Arial"/>
                          </w:rPr>
                          <w:t>luteal</w:t>
                        </w:r>
                        <w:proofErr w:type="spellEnd"/>
                        <w:r>
                          <w:rPr>
                            <w:rFonts w:ascii="Arial" w:hAnsi="Arial" w:cs="Arial"/>
                          </w:rPr>
                          <w:t xml:space="preserve"> phase may have greater success. This may also hold true for other addictive substances.</w:t>
                        </w:r>
                        <w:r>
                          <w:rPr>
                            <w:rFonts w:ascii="Arial" w:hAnsi="Arial" w:cs="Arial"/>
                            <w:vertAlign w:val="superscript"/>
                          </w:rPr>
                          <w:t>4</w:t>
                        </w:r>
                      </w:p>
                      <w:p w:rsidR="00DA54D1" w:rsidRDefault="00DA54D1" w:rsidP="00DA54D1"/>
                    </w:txbxContent>
                  </v:textbox>
                  <w10:wrap type="none"/>
                  <w10:anchorlock/>
                </v:shape>
              </w:pict>
            </w:r>
          </w:p>
          <w:p w:rsidR="00DA54D1" w:rsidRDefault="00DA54D1">
            <w:pPr>
              <w:rPr>
                <w:rFonts w:ascii="Arial" w:hAnsi="Arial" w:cs="Arial"/>
                <w:u w:val="single"/>
              </w:rPr>
            </w:pPr>
          </w:p>
          <w:p w:rsidR="00DA54D1" w:rsidRDefault="00DA54D1">
            <w:pPr>
              <w:rPr>
                <w:rFonts w:ascii="Arial" w:hAnsi="Arial" w:cs="Arial"/>
                <w:u w:val="single"/>
              </w:rPr>
            </w:pPr>
            <w:r>
              <w:rPr>
                <w:rFonts w:ascii="Arial" w:hAnsi="Arial" w:cs="Arial"/>
                <w:u w:val="single"/>
              </w:rPr>
              <w:t xml:space="preserve">Female-Responsive Components and Examples </w:t>
            </w:r>
          </w:p>
          <w:p w:rsidR="00DA54D1" w:rsidRDefault="00DA54D1">
            <w:pPr>
              <w:rPr>
                <w:rFonts w:ascii="Arial" w:hAnsi="Arial" w:cs="Arial"/>
              </w:rPr>
            </w:pPr>
          </w:p>
          <w:p w:rsidR="00DA54D1" w:rsidRDefault="00DA54D1">
            <w:pPr>
              <w:pStyle w:val="ListParagraph"/>
              <w:numPr>
                <w:ilvl w:val="0"/>
                <w:numId w:val="7"/>
              </w:numPr>
              <w:spacing w:after="0" w:line="240" w:lineRule="auto"/>
              <w:rPr>
                <w:rFonts w:ascii="Arial" w:hAnsi="Arial" w:cs="Arial"/>
              </w:rPr>
            </w:pPr>
            <w:r>
              <w:rPr>
                <w:rFonts w:ascii="Arial" w:hAnsi="Arial" w:cs="Arial"/>
              </w:rPr>
              <w:t>Provide emotional and physical safety</w:t>
            </w:r>
          </w:p>
          <w:p w:rsidR="00DA54D1" w:rsidRDefault="00DA54D1">
            <w:pPr>
              <w:pStyle w:val="ListParagraph"/>
              <w:numPr>
                <w:ilvl w:val="0"/>
                <w:numId w:val="8"/>
              </w:numPr>
              <w:spacing w:after="0" w:line="240" w:lineRule="auto"/>
              <w:rPr>
                <w:rFonts w:ascii="Arial" w:hAnsi="Arial" w:cs="Arial"/>
              </w:rPr>
            </w:pPr>
            <w:r>
              <w:rPr>
                <w:rFonts w:ascii="Arial" w:hAnsi="Arial" w:cs="Arial"/>
              </w:rPr>
              <w:t>Single gender environment focused on female issues with a high degree of confidentiality</w:t>
            </w:r>
          </w:p>
          <w:p w:rsidR="00DA54D1" w:rsidRDefault="00DA54D1">
            <w:pPr>
              <w:pStyle w:val="ListParagraph"/>
              <w:numPr>
                <w:ilvl w:val="0"/>
                <w:numId w:val="8"/>
              </w:numPr>
              <w:spacing w:after="0" w:line="240" w:lineRule="auto"/>
              <w:rPr>
                <w:rFonts w:ascii="Arial" w:hAnsi="Arial" w:cs="Arial"/>
              </w:rPr>
            </w:pPr>
            <w:r>
              <w:rPr>
                <w:rFonts w:ascii="Arial" w:hAnsi="Arial" w:cs="Arial"/>
              </w:rPr>
              <w:t>Staff are respectful and non-exploitive and there is a clear and simple grievance procedure for clients</w:t>
            </w:r>
          </w:p>
          <w:p w:rsidR="00DA54D1" w:rsidRDefault="00DA54D1">
            <w:pPr>
              <w:pStyle w:val="ListParagraph"/>
              <w:numPr>
                <w:ilvl w:val="0"/>
                <w:numId w:val="7"/>
              </w:numPr>
              <w:spacing w:after="0" w:line="240" w:lineRule="auto"/>
              <w:rPr>
                <w:rFonts w:ascii="Arial" w:hAnsi="Arial" w:cs="Arial"/>
              </w:rPr>
            </w:pPr>
            <w:r>
              <w:rPr>
                <w:rFonts w:ascii="Arial" w:hAnsi="Arial" w:cs="Arial"/>
              </w:rPr>
              <w:t>Be culturally appropriate</w:t>
            </w:r>
          </w:p>
          <w:p w:rsidR="00DA54D1" w:rsidRDefault="00DA54D1">
            <w:pPr>
              <w:pStyle w:val="ListParagraph"/>
              <w:numPr>
                <w:ilvl w:val="0"/>
                <w:numId w:val="9"/>
              </w:numPr>
              <w:spacing w:after="0" w:line="240" w:lineRule="auto"/>
              <w:rPr>
                <w:rFonts w:ascii="Arial" w:hAnsi="Arial" w:cs="Arial"/>
              </w:rPr>
            </w:pPr>
            <w:r>
              <w:rPr>
                <w:rFonts w:ascii="Arial" w:hAnsi="Arial" w:cs="Arial"/>
              </w:rPr>
              <w:t>Definition of an individual’s culture and its role is left to client and respected by staff</w:t>
            </w:r>
          </w:p>
          <w:p w:rsidR="00DA54D1" w:rsidRDefault="00DA54D1">
            <w:pPr>
              <w:pStyle w:val="ListParagraph"/>
              <w:numPr>
                <w:ilvl w:val="0"/>
                <w:numId w:val="9"/>
              </w:numPr>
              <w:spacing w:after="0" w:line="240" w:lineRule="auto"/>
              <w:rPr>
                <w:rFonts w:ascii="Arial" w:hAnsi="Arial" w:cs="Arial"/>
              </w:rPr>
            </w:pPr>
            <w:r>
              <w:rPr>
                <w:rFonts w:ascii="Arial" w:hAnsi="Arial" w:cs="Arial"/>
              </w:rPr>
              <w:t xml:space="preserve">Program materials are inclusive and broadly define culture </w:t>
            </w:r>
          </w:p>
          <w:p w:rsidR="00DA54D1" w:rsidRDefault="00DA54D1">
            <w:pPr>
              <w:pStyle w:val="ListParagraph"/>
              <w:numPr>
                <w:ilvl w:val="0"/>
                <w:numId w:val="7"/>
              </w:numPr>
              <w:spacing w:after="0" w:line="240" w:lineRule="auto"/>
              <w:rPr>
                <w:rFonts w:ascii="Arial" w:hAnsi="Arial" w:cs="Arial"/>
              </w:rPr>
            </w:pPr>
            <w:r>
              <w:rPr>
                <w:rFonts w:ascii="Arial" w:hAnsi="Arial" w:cs="Arial"/>
              </w:rPr>
              <w:t>Be relationship-based</w:t>
            </w:r>
          </w:p>
          <w:p w:rsidR="00DA54D1" w:rsidRDefault="00DA54D1">
            <w:pPr>
              <w:pStyle w:val="ListParagraph"/>
              <w:numPr>
                <w:ilvl w:val="0"/>
                <w:numId w:val="10"/>
              </w:numPr>
              <w:spacing w:after="0" w:line="240" w:lineRule="auto"/>
              <w:rPr>
                <w:rFonts w:ascii="Arial" w:hAnsi="Arial" w:cs="Arial"/>
              </w:rPr>
            </w:pPr>
            <w:r>
              <w:rPr>
                <w:rFonts w:ascii="Arial" w:hAnsi="Arial" w:cs="Arial"/>
              </w:rPr>
              <w:t>Supportive rather than confrontational group environments which emphasize self-worth and assertiveness</w:t>
            </w:r>
          </w:p>
          <w:p w:rsidR="00DA54D1" w:rsidRDefault="00DA54D1">
            <w:pPr>
              <w:pStyle w:val="ListParagraph"/>
              <w:numPr>
                <w:ilvl w:val="0"/>
                <w:numId w:val="10"/>
              </w:numPr>
              <w:spacing w:after="0" w:line="240" w:lineRule="auto"/>
              <w:rPr>
                <w:rFonts w:ascii="Arial" w:hAnsi="Arial" w:cs="Arial"/>
              </w:rPr>
            </w:pPr>
            <w:r>
              <w:rPr>
                <w:rFonts w:ascii="Arial" w:hAnsi="Arial" w:cs="Arial"/>
              </w:rPr>
              <w:t>Staff relationships with clients are not based on behavior compliance</w:t>
            </w:r>
          </w:p>
          <w:p w:rsidR="00DA54D1" w:rsidRDefault="00DA54D1">
            <w:pPr>
              <w:pStyle w:val="ListParagraph"/>
              <w:numPr>
                <w:ilvl w:val="0"/>
                <w:numId w:val="7"/>
              </w:numPr>
              <w:spacing w:after="0" w:line="240" w:lineRule="auto"/>
              <w:rPr>
                <w:rFonts w:ascii="Arial" w:hAnsi="Arial" w:cs="Arial"/>
              </w:rPr>
            </w:pPr>
            <w:r>
              <w:rPr>
                <w:rFonts w:ascii="Arial" w:hAnsi="Arial" w:cs="Arial"/>
              </w:rPr>
              <w:t>Provide positive female role models and mentors</w:t>
            </w:r>
          </w:p>
          <w:p w:rsidR="00DA54D1" w:rsidRDefault="00DA54D1">
            <w:pPr>
              <w:pStyle w:val="ListParagraph"/>
              <w:numPr>
                <w:ilvl w:val="0"/>
                <w:numId w:val="11"/>
              </w:numPr>
              <w:spacing w:after="0" w:line="240" w:lineRule="auto"/>
              <w:rPr>
                <w:rFonts w:ascii="Arial" w:hAnsi="Arial" w:cs="Arial"/>
              </w:rPr>
            </w:pPr>
            <w:r>
              <w:rPr>
                <w:rFonts w:ascii="Arial" w:hAnsi="Arial" w:cs="Arial"/>
              </w:rPr>
              <w:t>Programs have females in recovery on staff or as outside mentors who are able to guide young women while allowing them to find their own path to recovery</w:t>
            </w:r>
          </w:p>
          <w:p w:rsidR="00DA54D1" w:rsidRDefault="00DA54D1">
            <w:pPr>
              <w:pStyle w:val="ListParagraph"/>
              <w:numPr>
                <w:ilvl w:val="0"/>
                <w:numId w:val="11"/>
              </w:numPr>
              <w:spacing w:after="0" w:line="240" w:lineRule="auto"/>
              <w:rPr>
                <w:rFonts w:ascii="Arial" w:hAnsi="Arial" w:cs="Arial"/>
              </w:rPr>
            </w:pPr>
            <w:r>
              <w:rPr>
                <w:rFonts w:ascii="Arial" w:hAnsi="Arial" w:cs="Arial"/>
              </w:rPr>
              <w:t xml:space="preserve">Staff challenge examples of role models from the wider world who support negative stereotypes </w:t>
            </w:r>
          </w:p>
          <w:p w:rsidR="00DA54D1" w:rsidRDefault="00DA54D1">
            <w:pPr>
              <w:pStyle w:val="ListParagraph"/>
              <w:numPr>
                <w:ilvl w:val="0"/>
                <w:numId w:val="7"/>
              </w:numPr>
              <w:spacing w:after="0" w:line="240" w:lineRule="auto"/>
              <w:rPr>
                <w:rFonts w:ascii="Arial" w:hAnsi="Arial" w:cs="Arial"/>
              </w:rPr>
            </w:pPr>
            <w:r>
              <w:rPr>
                <w:rFonts w:ascii="Arial" w:hAnsi="Arial" w:cs="Arial"/>
              </w:rPr>
              <w:t>Address the abuse in girls’ lives</w:t>
            </w:r>
          </w:p>
          <w:p w:rsidR="00DA54D1" w:rsidRDefault="00DA54D1">
            <w:pPr>
              <w:pStyle w:val="ListParagraph"/>
              <w:numPr>
                <w:ilvl w:val="0"/>
                <w:numId w:val="11"/>
              </w:numPr>
              <w:spacing w:after="0" w:line="240" w:lineRule="auto"/>
              <w:rPr>
                <w:rFonts w:ascii="Arial" w:hAnsi="Arial" w:cs="Arial"/>
              </w:rPr>
            </w:pPr>
            <w:r>
              <w:rPr>
                <w:rFonts w:ascii="Arial" w:hAnsi="Arial" w:cs="Arial"/>
              </w:rPr>
              <w:t>Staff are trained to provide trauma-informed care (see below) which is integrated in all levels of program/policy</w:t>
            </w:r>
          </w:p>
          <w:p w:rsidR="00DA54D1" w:rsidRDefault="00DA54D1">
            <w:pPr>
              <w:pStyle w:val="ListParagraph"/>
              <w:numPr>
                <w:ilvl w:val="0"/>
                <w:numId w:val="11"/>
              </w:numPr>
              <w:spacing w:after="0" w:line="240" w:lineRule="auto"/>
              <w:rPr>
                <w:rFonts w:ascii="Arial" w:hAnsi="Arial" w:cs="Arial"/>
              </w:rPr>
            </w:pPr>
            <w:r>
              <w:rPr>
                <w:rFonts w:ascii="Arial" w:hAnsi="Arial" w:cs="Arial"/>
              </w:rPr>
              <w:t xml:space="preserve">Programs integrate mental health, substance abuse and victim services </w:t>
            </w:r>
          </w:p>
          <w:p w:rsidR="00DA54D1" w:rsidRDefault="00DA54D1">
            <w:pPr>
              <w:pStyle w:val="ListParagraph"/>
              <w:numPr>
                <w:ilvl w:val="0"/>
                <w:numId w:val="7"/>
              </w:numPr>
              <w:spacing w:after="0" w:line="240" w:lineRule="auto"/>
              <w:rPr>
                <w:rFonts w:ascii="Arial" w:hAnsi="Arial" w:cs="Arial"/>
              </w:rPr>
            </w:pPr>
            <w:r>
              <w:rPr>
                <w:rFonts w:ascii="Arial" w:hAnsi="Arial" w:cs="Arial"/>
              </w:rPr>
              <w:t>Address sexuality, pregnancy, and parenting</w:t>
            </w:r>
          </w:p>
          <w:p w:rsidR="00DA54D1" w:rsidRDefault="00DA54D1">
            <w:pPr>
              <w:pStyle w:val="ListParagraph"/>
              <w:numPr>
                <w:ilvl w:val="0"/>
                <w:numId w:val="12"/>
              </w:numPr>
              <w:spacing w:after="0" w:line="240" w:lineRule="auto"/>
              <w:rPr>
                <w:rFonts w:ascii="Arial" w:hAnsi="Arial" w:cs="Arial"/>
              </w:rPr>
            </w:pPr>
            <w:r>
              <w:rPr>
                <w:rFonts w:ascii="Arial" w:hAnsi="Arial" w:cs="Arial"/>
              </w:rPr>
              <w:t>Staff provide young women with the opportunity to identify personal sexual limits and rehearse communicating those to a potential partner</w:t>
            </w:r>
          </w:p>
          <w:p w:rsidR="00DA54D1" w:rsidRDefault="00DA54D1">
            <w:pPr>
              <w:pStyle w:val="ListParagraph"/>
              <w:numPr>
                <w:ilvl w:val="0"/>
                <w:numId w:val="12"/>
              </w:numPr>
              <w:spacing w:after="0" w:line="240" w:lineRule="auto"/>
              <w:rPr>
                <w:rFonts w:ascii="Arial" w:hAnsi="Arial" w:cs="Arial"/>
              </w:rPr>
            </w:pPr>
            <w:r>
              <w:rPr>
                <w:rFonts w:ascii="Arial" w:hAnsi="Arial" w:cs="Arial"/>
              </w:rPr>
              <w:t xml:space="preserve">Programs address conflicting societal messages and double standards about sexual behavior </w:t>
            </w:r>
          </w:p>
          <w:p w:rsidR="00DA54D1" w:rsidRDefault="00DA54D1">
            <w:pPr>
              <w:pStyle w:val="ListParagraph"/>
              <w:numPr>
                <w:ilvl w:val="0"/>
                <w:numId w:val="7"/>
              </w:numPr>
              <w:spacing w:after="0" w:line="240" w:lineRule="auto"/>
              <w:rPr>
                <w:rFonts w:ascii="Arial" w:hAnsi="Arial" w:cs="Arial"/>
              </w:rPr>
            </w:pPr>
            <w:r>
              <w:rPr>
                <w:rFonts w:ascii="Arial" w:hAnsi="Arial" w:cs="Arial"/>
              </w:rPr>
              <w:t>Be strength-based</w:t>
            </w:r>
          </w:p>
          <w:p w:rsidR="00DA54D1" w:rsidRDefault="00DA54D1">
            <w:pPr>
              <w:pStyle w:val="ListParagraph"/>
              <w:numPr>
                <w:ilvl w:val="0"/>
                <w:numId w:val="13"/>
              </w:numPr>
              <w:spacing w:after="0" w:line="240" w:lineRule="auto"/>
              <w:rPr>
                <w:rFonts w:ascii="Arial" w:hAnsi="Arial" w:cs="Arial"/>
              </w:rPr>
            </w:pPr>
            <w:r>
              <w:rPr>
                <w:rFonts w:ascii="Arial" w:hAnsi="Arial" w:cs="Arial"/>
              </w:rPr>
              <w:t xml:space="preserve">Staff avoid use of negative labels (e.g. manipulative, attention-seeking, etc.) that describe normal human behavior </w:t>
            </w:r>
          </w:p>
          <w:p w:rsidR="00DA54D1" w:rsidRDefault="00DA54D1">
            <w:pPr>
              <w:pStyle w:val="ListParagraph"/>
              <w:numPr>
                <w:ilvl w:val="0"/>
                <w:numId w:val="13"/>
              </w:numPr>
              <w:spacing w:after="0" w:line="240" w:lineRule="auto"/>
              <w:rPr>
                <w:rFonts w:ascii="Arial" w:hAnsi="Arial" w:cs="Arial"/>
              </w:rPr>
            </w:pPr>
            <w:r>
              <w:rPr>
                <w:rFonts w:ascii="Arial" w:hAnsi="Arial" w:cs="Arial"/>
              </w:rPr>
              <w:lastRenderedPageBreak/>
              <w:t>Structure meaningful opportunities for young women to set goals and achieve success</w:t>
            </w:r>
          </w:p>
          <w:p w:rsidR="00DA54D1" w:rsidRDefault="00DA54D1">
            <w:pPr>
              <w:pStyle w:val="ListParagraph"/>
              <w:numPr>
                <w:ilvl w:val="0"/>
                <w:numId w:val="7"/>
              </w:numPr>
              <w:spacing w:after="0" w:line="240" w:lineRule="auto"/>
              <w:rPr>
                <w:rFonts w:ascii="Arial" w:hAnsi="Arial" w:cs="Arial"/>
              </w:rPr>
            </w:pPr>
            <w:r>
              <w:rPr>
                <w:rFonts w:ascii="Arial" w:hAnsi="Arial" w:cs="Arial"/>
              </w:rPr>
              <w:t>Provide opportunities that promote educational success and employability</w:t>
            </w:r>
          </w:p>
          <w:p w:rsidR="00DA54D1" w:rsidRDefault="00DA54D1">
            <w:pPr>
              <w:pStyle w:val="ListParagraph"/>
              <w:numPr>
                <w:ilvl w:val="0"/>
                <w:numId w:val="14"/>
              </w:numPr>
              <w:spacing w:after="0" w:line="240" w:lineRule="auto"/>
              <w:rPr>
                <w:rFonts w:ascii="Arial" w:hAnsi="Arial" w:cs="Arial"/>
              </w:rPr>
            </w:pPr>
            <w:r>
              <w:rPr>
                <w:rFonts w:ascii="Arial" w:hAnsi="Arial" w:cs="Arial"/>
              </w:rPr>
              <w:t xml:space="preserve">Programs invite women from a variety of fields to discuss their career path </w:t>
            </w:r>
          </w:p>
          <w:p w:rsidR="00DA54D1" w:rsidRDefault="00DA54D1">
            <w:pPr>
              <w:pStyle w:val="ListParagraph"/>
              <w:numPr>
                <w:ilvl w:val="0"/>
                <w:numId w:val="14"/>
              </w:numPr>
              <w:spacing w:after="0" w:line="240" w:lineRule="auto"/>
              <w:rPr>
                <w:rFonts w:ascii="Arial" w:hAnsi="Arial" w:cs="Arial"/>
              </w:rPr>
            </w:pPr>
            <w:r>
              <w:rPr>
                <w:rFonts w:ascii="Arial" w:hAnsi="Arial" w:cs="Arial"/>
              </w:rPr>
              <w:t xml:space="preserve">Programs encourage consideration of non-traditional careers </w:t>
            </w:r>
          </w:p>
          <w:p w:rsidR="00DA54D1" w:rsidRDefault="00DA54D1">
            <w:pPr>
              <w:pStyle w:val="ListParagraph"/>
              <w:numPr>
                <w:ilvl w:val="0"/>
                <w:numId w:val="7"/>
              </w:numPr>
              <w:spacing w:after="0" w:line="240" w:lineRule="auto"/>
              <w:rPr>
                <w:rFonts w:ascii="Arial" w:hAnsi="Arial" w:cs="Arial"/>
              </w:rPr>
            </w:pPr>
            <w:r>
              <w:rPr>
                <w:rFonts w:ascii="Arial" w:hAnsi="Arial" w:cs="Arial"/>
              </w:rPr>
              <w:t>Address the unique health needs of females, including nutritional concerns and regular physical activity</w:t>
            </w:r>
          </w:p>
          <w:p w:rsidR="00DA54D1" w:rsidRDefault="00DA54D1">
            <w:pPr>
              <w:pStyle w:val="ListParagraph"/>
              <w:numPr>
                <w:ilvl w:val="0"/>
                <w:numId w:val="15"/>
              </w:numPr>
              <w:spacing w:after="0" w:line="240" w:lineRule="auto"/>
              <w:rPr>
                <w:rFonts w:ascii="Arial" w:hAnsi="Arial" w:cs="Arial"/>
              </w:rPr>
            </w:pPr>
            <w:r>
              <w:rPr>
                <w:rFonts w:ascii="Arial" w:hAnsi="Arial" w:cs="Arial"/>
              </w:rPr>
              <w:t xml:space="preserve">Programs offer a reasonable range of physical exercise options </w:t>
            </w:r>
          </w:p>
          <w:p w:rsidR="00DA54D1" w:rsidRDefault="00DA54D1">
            <w:pPr>
              <w:pStyle w:val="ListParagraph"/>
              <w:numPr>
                <w:ilvl w:val="0"/>
                <w:numId w:val="15"/>
              </w:numPr>
              <w:spacing w:after="0" w:line="240" w:lineRule="auto"/>
              <w:rPr>
                <w:rFonts w:ascii="Arial" w:hAnsi="Arial" w:cs="Arial"/>
              </w:rPr>
            </w:pPr>
            <w:r>
              <w:rPr>
                <w:rFonts w:ascii="Arial" w:hAnsi="Arial" w:cs="Arial"/>
              </w:rPr>
              <w:t xml:space="preserve">Programs offer multiple health care options whenever possible </w:t>
            </w:r>
          </w:p>
          <w:p w:rsidR="00DA54D1" w:rsidRDefault="00DA54D1">
            <w:pPr>
              <w:pStyle w:val="ListParagraph"/>
              <w:numPr>
                <w:ilvl w:val="0"/>
                <w:numId w:val="7"/>
              </w:numPr>
              <w:spacing w:after="0" w:line="240" w:lineRule="auto"/>
              <w:rPr>
                <w:rFonts w:ascii="Arial" w:hAnsi="Arial" w:cs="Arial"/>
              </w:rPr>
            </w:pPr>
            <w:r>
              <w:rPr>
                <w:rFonts w:ascii="Arial" w:hAnsi="Arial" w:cs="Arial"/>
              </w:rPr>
              <w:t>Provide opportunities for spiritual expression</w:t>
            </w:r>
          </w:p>
          <w:p w:rsidR="00DA54D1" w:rsidRDefault="00DA54D1">
            <w:pPr>
              <w:pStyle w:val="ListParagraph"/>
              <w:numPr>
                <w:ilvl w:val="0"/>
                <w:numId w:val="16"/>
              </w:numPr>
              <w:spacing w:after="0" w:line="240" w:lineRule="auto"/>
              <w:rPr>
                <w:rFonts w:ascii="Arial" w:hAnsi="Arial" w:cs="Arial"/>
              </w:rPr>
            </w:pPr>
            <w:proofErr w:type="gramStart"/>
            <w:r>
              <w:rPr>
                <w:rFonts w:ascii="Arial" w:hAnsi="Arial" w:cs="Arial"/>
              </w:rPr>
              <w:t>Staff do</w:t>
            </w:r>
            <w:proofErr w:type="gramEnd"/>
            <w:r>
              <w:rPr>
                <w:rFonts w:ascii="Arial" w:hAnsi="Arial" w:cs="Arial"/>
              </w:rPr>
              <w:t xml:space="preserve"> not interfere with young women changing the language in any materials referencing a spiritual being from “he” to “she” or a non-gender alternative.  </w:t>
            </w:r>
          </w:p>
          <w:p w:rsidR="00DA54D1" w:rsidRDefault="00DA54D1">
            <w:pPr>
              <w:pStyle w:val="ListParagraph"/>
              <w:numPr>
                <w:ilvl w:val="0"/>
                <w:numId w:val="16"/>
              </w:numPr>
              <w:spacing w:after="0" w:line="240" w:lineRule="auto"/>
              <w:rPr>
                <w:rFonts w:ascii="Arial" w:hAnsi="Arial" w:cs="Arial"/>
              </w:rPr>
            </w:pPr>
            <w:r>
              <w:rPr>
                <w:rFonts w:ascii="Arial" w:hAnsi="Arial" w:cs="Arial"/>
              </w:rPr>
              <w:t xml:space="preserve">Staff treat all spiritual beliefs, including the absence of belief, respectfully </w:t>
            </w:r>
          </w:p>
          <w:p w:rsidR="00DA54D1" w:rsidRDefault="00DA54D1">
            <w:pPr>
              <w:pStyle w:val="ListParagraph"/>
              <w:numPr>
                <w:ilvl w:val="0"/>
                <w:numId w:val="7"/>
              </w:numPr>
              <w:spacing w:after="0" w:line="240" w:lineRule="auto"/>
              <w:rPr>
                <w:rFonts w:ascii="Arial" w:hAnsi="Arial" w:cs="Arial"/>
              </w:rPr>
            </w:pPr>
            <w:r>
              <w:rPr>
                <w:rFonts w:ascii="Arial" w:hAnsi="Arial" w:cs="Arial"/>
              </w:rPr>
              <w:t xml:space="preserve">Involve members of girls’ families and/or support networks </w:t>
            </w:r>
          </w:p>
          <w:p w:rsidR="00DA54D1" w:rsidRDefault="00DA54D1">
            <w:pPr>
              <w:pStyle w:val="ListParagraph"/>
              <w:numPr>
                <w:ilvl w:val="0"/>
                <w:numId w:val="17"/>
              </w:numPr>
              <w:spacing w:after="0" w:line="240" w:lineRule="auto"/>
              <w:rPr>
                <w:rFonts w:ascii="Arial" w:hAnsi="Arial" w:cs="Arial"/>
              </w:rPr>
            </w:pPr>
            <w:r>
              <w:rPr>
                <w:rFonts w:ascii="Arial" w:hAnsi="Arial" w:cs="Arial"/>
              </w:rPr>
              <w:t>Programs address the relationships young women have with other substance abusing family members</w:t>
            </w:r>
          </w:p>
          <w:p w:rsidR="00DA54D1" w:rsidRDefault="00DA54D1">
            <w:pPr>
              <w:pStyle w:val="ListParagraph"/>
              <w:numPr>
                <w:ilvl w:val="0"/>
                <w:numId w:val="17"/>
              </w:numPr>
              <w:spacing w:after="0" w:line="240" w:lineRule="auto"/>
              <w:rPr>
                <w:rFonts w:ascii="Arial" w:hAnsi="Arial" w:cs="Arial"/>
              </w:rPr>
            </w:pPr>
            <w:r>
              <w:rPr>
                <w:rFonts w:ascii="Arial" w:hAnsi="Arial" w:cs="Arial"/>
              </w:rPr>
              <w:t xml:space="preserve">Programs do not use restriction of family visits as punishment </w:t>
            </w:r>
          </w:p>
          <w:p w:rsidR="00DA54D1" w:rsidRDefault="00DA54D1">
            <w:pPr>
              <w:rPr>
                <w:rFonts w:ascii="Arial" w:hAnsi="Arial" w:cs="Arial"/>
              </w:rPr>
            </w:pPr>
          </w:p>
          <w:p w:rsidR="00DA54D1" w:rsidRDefault="00DA54D1">
            <w:pPr>
              <w:rPr>
                <w:rFonts w:ascii="Arial" w:hAnsi="Arial" w:cs="Arial"/>
              </w:rPr>
            </w:pPr>
            <w:r>
              <w:rPr>
                <w:rFonts w:ascii="Arial" w:hAnsi="Arial" w:cs="Arial"/>
                <w:u w:val="single"/>
              </w:rPr>
              <w:t>Trauma-Informed Care</w:t>
            </w:r>
            <w:r>
              <w:rPr>
                <w:rFonts w:ascii="Arial" w:hAnsi="Arial" w:cs="Arial"/>
                <w:vertAlign w:val="superscript"/>
              </w:rPr>
              <w:t>5</w:t>
            </w:r>
            <w:r>
              <w:rPr>
                <w:rFonts w:ascii="Arial" w:hAnsi="Arial" w:cs="Arial"/>
              </w:rPr>
              <w:t xml:space="preserve"> </w:t>
            </w:r>
          </w:p>
          <w:p w:rsidR="00DA54D1" w:rsidRDefault="00DA54D1">
            <w:pPr>
              <w:rPr>
                <w:rFonts w:ascii="Arial" w:hAnsi="Arial" w:cs="Arial"/>
              </w:rPr>
            </w:pPr>
            <w:r>
              <w:rPr>
                <w:rFonts w:ascii="Arial" w:hAnsi="Arial" w:cs="Arial"/>
              </w:rPr>
              <w:t xml:space="preserve">By no means </w:t>
            </w:r>
            <w:proofErr w:type="gramStart"/>
            <w:r>
              <w:rPr>
                <w:rFonts w:ascii="Arial" w:hAnsi="Arial" w:cs="Arial"/>
              </w:rPr>
              <w:t>comprehensive, this list is</w:t>
            </w:r>
            <w:proofErr w:type="gramEnd"/>
            <w:r>
              <w:rPr>
                <w:rFonts w:ascii="Arial" w:hAnsi="Arial" w:cs="Arial"/>
              </w:rPr>
              <w:t xml:space="preserve"> simply intended as a place to start for those wishing to provide services in a more trauma-informed way. </w:t>
            </w:r>
          </w:p>
          <w:p w:rsidR="00DA54D1" w:rsidRDefault="00DA54D1">
            <w:pPr>
              <w:pStyle w:val="ListParagraph"/>
              <w:numPr>
                <w:ilvl w:val="0"/>
                <w:numId w:val="18"/>
              </w:numPr>
              <w:spacing w:after="0" w:line="240" w:lineRule="auto"/>
              <w:rPr>
                <w:rFonts w:ascii="Arial" w:hAnsi="Arial" w:cs="Arial"/>
              </w:rPr>
            </w:pPr>
            <w:r>
              <w:rPr>
                <w:rFonts w:ascii="Arial" w:hAnsi="Arial" w:cs="Arial"/>
              </w:rPr>
              <w:t>Respect privacy</w:t>
            </w:r>
          </w:p>
          <w:p w:rsidR="00DA54D1" w:rsidRDefault="00DA54D1">
            <w:pPr>
              <w:pStyle w:val="ListParagraph"/>
              <w:numPr>
                <w:ilvl w:val="0"/>
                <w:numId w:val="18"/>
              </w:numPr>
              <w:spacing w:after="0" w:line="240" w:lineRule="auto"/>
              <w:rPr>
                <w:rFonts w:ascii="Arial" w:hAnsi="Arial" w:cs="Arial"/>
              </w:rPr>
            </w:pPr>
            <w:r>
              <w:rPr>
                <w:rFonts w:ascii="Arial" w:hAnsi="Arial" w:cs="Arial"/>
              </w:rPr>
              <w:t xml:space="preserve">Maximize the number of choices available </w:t>
            </w:r>
          </w:p>
          <w:p w:rsidR="00DA54D1" w:rsidRDefault="00DA54D1">
            <w:pPr>
              <w:pStyle w:val="ListParagraph"/>
              <w:numPr>
                <w:ilvl w:val="0"/>
                <w:numId w:val="18"/>
              </w:numPr>
              <w:spacing w:after="0" w:line="240" w:lineRule="auto"/>
              <w:rPr>
                <w:rFonts w:ascii="Arial" w:hAnsi="Arial" w:cs="Arial"/>
              </w:rPr>
            </w:pPr>
            <w:r>
              <w:rPr>
                <w:rFonts w:ascii="Arial" w:hAnsi="Arial" w:cs="Arial"/>
              </w:rPr>
              <w:t>Pay attention to boundaries (e.g. saying “no” to hugs is OK)</w:t>
            </w:r>
          </w:p>
          <w:p w:rsidR="00DA54D1" w:rsidRDefault="00DA54D1">
            <w:pPr>
              <w:pStyle w:val="ListParagraph"/>
              <w:numPr>
                <w:ilvl w:val="0"/>
                <w:numId w:val="18"/>
              </w:numPr>
              <w:spacing w:after="0" w:line="240" w:lineRule="auto"/>
              <w:rPr>
                <w:rFonts w:ascii="Arial" w:hAnsi="Arial" w:cs="Arial"/>
              </w:rPr>
            </w:pPr>
            <w:r>
              <w:rPr>
                <w:rFonts w:ascii="Arial" w:hAnsi="Arial" w:cs="Arial"/>
              </w:rPr>
              <w:t xml:space="preserve">Use language and practice that communicates and demonstrates the value of empowerment </w:t>
            </w:r>
          </w:p>
          <w:p w:rsidR="00DA54D1" w:rsidRDefault="00DA54D1">
            <w:pPr>
              <w:pStyle w:val="ListParagraph"/>
              <w:numPr>
                <w:ilvl w:val="0"/>
                <w:numId w:val="18"/>
              </w:numPr>
              <w:spacing w:after="0" w:line="240" w:lineRule="auto"/>
              <w:rPr>
                <w:rFonts w:ascii="Arial" w:hAnsi="Arial" w:cs="Arial"/>
              </w:rPr>
            </w:pPr>
            <w:r>
              <w:rPr>
                <w:rFonts w:ascii="Arial" w:hAnsi="Arial" w:cs="Arial"/>
              </w:rPr>
              <w:t>Educate women about trauma and Post-Traumatic Stress Disorder (PTSD) – information is power!</w:t>
            </w:r>
          </w:p>
          <w:p w:rsidR="00DA54D1" w:rsidRDefault="00DA54D1">
            <w:pPr>
              <w:pStyle w:val="ListParagraph"/>
              <w:numPr>
                <w:ilvl w:val="0"/>
                <w:numId w:val="18"/>
              </w:numPr>
              <w:spacing w:after="0" w:line="240" w:lineRule="auto"/>
              <w:rPr>
                <w:rFonts w:ascii="Arial" w:hAnsi="Arial" w:cs="Arial"/>
              </w:rPr>
            </w:pPr>
            <w:r>
              <w:rPr>
                <w:rFonts w:ascii="Arial" w:hAnsi="Arial" w:cs="Arial"/>
              </w:rPr>
              <w:t>Normalize PTSD reactions – (i.e. trauma responses are normal reactions to abnormal situations, they don’t mean something is inherently abnormal about her)</w:t>
            </w:r>
          </w:p>
          <w:p w:rsidR="00DA54D1" w:rsidRDefault="00DA54D1">
            <w:pPr>
              <w:pStyle w:val="ListParagraph"/>
              <w:numPr>
                <w:ilvl w:val="0"/>
                <w:numId w:val="18"/>
              </w:numPr>
              <w:spacing w:after="0" w:line="240" w:lineRule="auto"/>
              <w:rPr>
                <w:rFonts w:ascii="Arial" w:hAnsi="Arial" w:cs="Arial"/>
              </w:rPr>
            </w:pPr>
            <w:r>
              <w:rPr>
                <w:rFonts w:ascii="Arial" w:hAnsi="Arial" w:cs="Arial"/>
              </w:rPr>
              <w:t>Include calming coping skills in all basic skill-building – (e.g. self-soothing, breathing techniques, meditation, etc.)</w:t>
            </w:r>
          </w:p>
          <w:p w:rsidR="00DA54D1" w:rsidRDefault="00DA54D1">
            <w:pPr>
              <w:pStyle w:val="ListParagraph"/>
              <w:numPr>
                <w:ilvl w:val="0"/>
                <w:numId w:val="18"/>
              </w:numPr>
              <w:spacing w:after="0" w:line="240" w:lineRule="auto"/>
              <w:rPr>
                <w:rFonts w:ascii="Arial" w:hAnsi="Arial" w:cs="Arial"/>
              </w:rPr>
            </w:pPr>
            <w:r>
              <w:rPr>
                <w:rFonts w:ascii="Arial" w:hAnsi="Arial" w:cs="Arial"/>
              </w:rPr>
              <w:t xml:space="preserve">Move from confrontation to empowerment models </w:t>
            </w:r>
          </w:p>
          <w:p w:rsidR="00DA54D1" w:rsidRDefault="00DA54D1">
            <w:pPr>
              <w:pStyle w:val="ListParagraph"/>
              <w:numPr>
                <w:ilvl w:val="0"/>
                <w:numId w:val="18"/>
              </w:numPr>
              <w:spacing w:after="0" w:line="240" w:lineRule="auto"/>
              <w:rPr>
                <w:rFonts w:ascii="Arial" w:hAnsi="Arial" w:cs="Arial"/>
              </w:rPr>
            </w:pPr>
            <w:r>
              <w:rPr>
                <w:rFonts w:ascii="Arial" w:hAnsi="Arial" w:cs="Arial"/>
              </w:rPr>
              <w:t xml:space="preserve">Do NOT use purely punitive approaches (e.g. </w:t>
            </w:r>
            <w:r>
              <w:rPr>
                <w:rFonts w:ascii="Arial" w:hAnsi="Arial" w:cs="Arial"/>
              </w:rPr>
              <w:lastRenderedPageBreak/>
              <w:t xml:space="preserve">shaming, intrusive monitoring, etc.) </w:t>
            </w:r>
          </w:p>
          <w:p w:rsidR="00DA54D1" w:rsidRDefault="00DA54D1">
            <w:pPr>
              <w:pStyle w:val="ListParagraph"/>
              <w:numPr>
                <w:ilvl w:val="0"/>
                <w:numId w:val="18"/>
              </w:numPr>
              <w:spacing w:after="0" w:line="240" w:lineRule="auto"/>
              <w:rPr>
                <w:rFonts w:ascii="Arial" w:hAnsi="Arial" w:cs="Arial"/>
              </w:rPr>
            </w:pPr>
            <w:r>
              <w:rPr>
                <w:rFonts w:ascii="Arial" w:hAnsi="Arial" w:cs="Arial"/>
              </w:rPr>
              <w:t xml:space="preserve">Maintain a “first do no harm” credo. Ask yourself if you are making matters better or worse. Are you in a power struggle? Are you causing or exacerbating existing trauma?  </w:t>
            </w:r>
          </w:p>
          <w:p w:rsidR="00DA54D1" w:rsidRDefault="00DA54D1">
            <w:pPr>
              <w:pStyle w:val="ListParagraph"/>
              <w:numPr>
                <w:ilvl w:val="0"/>
                <w:numId w:val="18"/>
              </w:numPr>
              <w:spacing w:after="0" w:line="240" w:lineRule="auto"/>
              <w:rPr>
                <w:rFonts w:ascii="Arial" w:hAnsi="Arial" w:cs="Arial"/>
              </w:rPr>
            </w:pPr>
            <w:r>
              <w:rPr>
                <w:rFonts w:ascii="Arial" w:hAnsi="Arial" w:cs="Arial"/>
              </w:rPr>
              <w:t>Minimize potentially re-traumatizing practices (e.g. searches, seclusion and restraint)</w:t>
            </w:r>
          </w:p>
          <w:p w:rsidR="00DA54D1" w:rsidRDefault="00DA54D1">
            <w:pPr>
              <w:pStyle w:val="ListParagraph"/>
              <w:spacing w:after="0" w:line="240" w:lineRule="auto"/>
              <w:rPr>
                <w:rFonts w:ascii="Arial" w:hAnsi="Arial" w:cs="Arial"/>
              </w:rPr>
            </w:pPr>
          </w:p>
          <w:p w:rsidR="00DA54D1" w:rsidRDefault="00DA54D1">
            <w:r>
              <w:rPr>
                <w:noProof/>
              </w:rPr>
              <w:drawing>
                <wp:inline distT="0" distB="0" distL="0" distR="0">
                  <wp:extent cx="3514725" cy="495300"/>
                  <wp:effectExtent l="19050" t="0" r="9525" b="0"/>
                  <wp:docPr id="3" name="Picture 36" descr="MC9004360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436093[1]"/>
                          <pic:cNvPicPr>
                            <a:picLocks noChangeAspect="1" noChangeArrowheads="1"/>
                          </pic:cNvPicPr>
                        </pic:nvPicPr>
                        <pic:blipFill>
                          <a:blip r:embed="rId24" r:link="rId25" cstate="print"/>
                          <a:srcRect/>
                          <a:stretch>
                            <a:fillRect/>
                          </a:stretch>
                        </pic:blipFill>
                        <pic:spPr bwMode="auto">
                          <a:xfrm>
                            <a:off x="0" y="0"/>
                            <a:ext cx="3514725" cy="495300"/>
                          </a:xfrm>
                          <a:prstGeom prst="rect">
                            <a:avLst/>
                          </a:prstGeom>
                          <a:noFill/>
                          <a:ln w="9525">
                            <a:noFill/>
                            <a:miter lim="800000"/>
                            <a:headEnd/>
                            <a:tailEnd/>
                          </a:ln>
                        </pic:spPr>
                      </pic:pic>
                    </a:graphicData>
                  </a:graphic>
                </wp:inline>
              </w:drawing>
            </w:r>
          </w:p>
          <w:p w:rsidR="00DA54D1" w:rsidRDefault="00DA54D1">
            <w:pPr>
              <w:jc w:val="center"/>
              <w:rPr>
                <w:rFonts w:ascii="Arial" w:hAnsi="Arial" w:cs="Arial"/>
                <w:b/>
                <w:bCs/>
                <w:i/>
                <w:iCs/>
                <w:color w:val="E26206"/>
                <w:sz w:val="24"/>
                <w:szCs w:val="24"/>
              </w:rPr>
            </w:pPr>
          </w:p>
          <w:p w:rsidR="00DA54D1" w:rsidRDefault="00DA54D1">
            <w:pPr>
              <w:jc w:val="center"/>
              <w:rPr>
                <w:rFonts w:ascii="Arial" w:hAnsi="Arial" w:cs="Arial"/>
                <w:b/>
                <w:bCs/>
                <w:i/>
                <w:iCs/>
                <w:color w:val="E26206"/>
                <w:sz w:val="24"/>
                <w:szCs w:val="24"/>
              </w:rPr>
            </w:pPr>
            <w:r>
              <w:rPr>
                <w:rFonts w:ascii="Arial" w:hAnsi="Arial" w:cs="Arial"/>
                <w:b/>
                <w:bCs/>
                <w:i/>
                <w:iCs/>
                <w:color w:val="E26206"/>
                <w:sz w:val="24"/>
                <w:szCs w:val="24"/>
              </w:rPr>
              <w:t>Now Available: Gender Responsive Program Assessment tool, site visit and technical assistance</w:t>
            </w:r>
          </w:p>
          <w:p w:rsidR="00DA54D1" w:rsidRDefault="00DA54D1">
            <w:pPr>
              <w:rPr>
                <w:rFonts w:ascii="Arial" w:hAnsi="Arial" w:cs="Arial"/>
              </w:rPr>
            </w:pPr>
          </w:p>
          <w:p w:rsidR="00DA54D1" w:rsidRDefault="00DA54D1">
            <w:pPr>
              <w:rPr>
                <w:rFonts w:ascii="Arial" w:hAnsi="Arial" w:cs="Arial"/>
              </w:rPr>
            </w:pPr>
            <w:r>
              <w:rPr>
                <w:rFonts w:ascii="Arial" w:hAnsi="Arial" w:cs="Arial"/>
              </w:rPr>
              <w:t xml:space="preserve">Created by Dr. Stephanie Covington and Dr. Barbara Bloom (Center for Gender and Justice) and based on their earlier work for the National Institute of Corrections, the Gender Responsive Program Assessment tool© facilitates program evaluation of services to females involved in or at risk for involvement in the juvenile justice system, whether in single or mixed gender environments. </w:t>
            </w:r>
          </w:p>
          <w:p w:rsidR="00DA54D1" w:rsidRDefault="00DA54D1">
            <w:pPr>
              <w:rPr>
                <w:rFonts w:ascii="Arial" w:hAnsi="Arial" w:cs="Arial"/>
              </w:rPr>
            </w:pPr>
          </w:p>
          <w:p w:rsidR="00DA54D1" w:rsidRDefault="00DA54D1">
            <w:pPr>
              <w:jc w:val="center"/>
              <w:rPr>
                <w:rFonts w:ascii="Arial" w:hAnsi="Arial" w:cs="Arial"/>
              </w:rPr>
            </w:pPr>
            <w:r>
              <w:rPr>
                <w:rFonts w:ascii="Arial" w:hAnsi="Arial" w:cs="Arial"/>
              </w:rPr>
              <w:t xml:space="preserve">For more information, please visit our </w:t>
            </w:r>
          </w:p>
          <w:p w:rsidR="00DA54D1" w:rsidRPr="00DA54D1" w:rsidRDefault="00DA54D1" w:rsidP="00DA54D1">
            <w:pPr>
              <w:jc w:val="center"/>
              <w:rPr>
                <w:rFonts w:ascii="Arial" w:hAnsi="Arial" w:cs="Arial"/>
              </w:rPr>
            </w:pPr>
            <w:hyperlink r:id="rId26" w:history="1">
              <w:r>
                <w:rPr>
                  <w:rStyle w:val="Hyperlink"/>
                  <w:rFonts w:ascii="Arial" w:hAnsi="Arial" w:cs="Arial"/>
                  <w:color w:val="0070C0"/>
                </w:rPr>
                <w:t>WEBSITE</w:t>
              </w:r>
            </w:hyperlink>
            <w:r>
              <w:rPr>
                <w:rFonts w:ascii="Arial" w:hAnsi="Arial" w:cs="Arial"/>
              </w:rPr>
              <w:t>.</w:t>
            </w:r>
          </w:p>
        </w:tc>
      </w:tr>
      <w:tr w:rsidR="00DA54D1" w:rsidTr="00DA54D1">
        <w:tc>
          <w:tcPr>
            <w:tcW w:w="11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4D1" w:rsidRDefault="00DA54D1">
            <w:pPr>
              <w:ind w:left="360"/>
              <w:jc w:val="center"/>
              <w:rPr>
                <w:rFonts w:ascii="Arial" w:hAnsi="Arial" w:cs="Arial"/>
              </w:rPr>
            </w:pPr>
            <w:r>
              <w:rPr>
                <w:rFonts w:ascii="Arial" w:hAnsi="Arial" w:cs="Arial"/>
              </w:rPr>
              <w:lastRenderedPageBreak/>
              <w:t>REFERENCES</w:t>
            </w:r>
          </w:p>
        </w:tc>
      </w:tr>
      <w:tr w:rsidR="00DA54D1" w:rsidTr="00DA54D1">
        <w:tc>
          <w:tcPr>
            <w:tcW w:w="11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4D1" w:rsidRDefault="00DA54D1">
            <w:pPr>
              <w:pStyle w:val="ListParagraph"/>
              <w:numPr>
                <w:ilvl w:val="0"/>
                <w:numId w:val="19"/>
              </w:numPr>
              <w:spacing w:after="0" w:line="240" w:lineRule="auto"/>
              <w:rPr>
                <w:rFonts w:ascii="Arial" w:hAnsi="Arial" w:cs="Arial"/>
                <w:sz w:val="18"/>
                <w:szCs w:val="18"/>
              </w:rPr>
            </w:pPr>
            <w:r>
              <w:rPr>
                <w:rFonts w:ascii="Arial" w:hAnsi="Arial" w:cs="Arial"/>
                <w:sz w:val="18"/>
                <w:szCs w:val="18"/>
              </w:rPr>
              <w:t xml:space="preserve">Bright, Charlotte, Victoria Osborne and Geoffrey Greif. “One Dozen Considerations When Working with Women in Substance Abuse Groups.” </w:t>
            </w:r>
            <w:r>
              <w:rPr>
                <w:rFonts w:ascii="Arial" w:hAnsi="Arial" w:cs="Arial"/>
                <w:i/>
                <w:iCs/>
                <w:sz w:val="18"/>
                <w:szCs w:val="18"/>
                <w:u w:val="single"/>
              </w:rPr>
              <w:t>Journal of Psychoactive Drugs</w:t>
            </w:r>
            <w:r>
              <w:rPr>
                <w:rFonts w:ascii="Arial" w:hAnsi="Arial" w:cs="Arial"/>
                <w:sz w:val="18"/>
                <w:szCs w:val="18"/>
              </w:rPr>
              <w:t xml:space="preserve">. Vol. 43 (1), 64-68. 2011. </w:t>
            </w:r>
          </w:p>
          <w:p w:rsidR="00DA54D1" w:rsidRDefault="00DA54D1">
            <w:pPr>
              <w:pStyle w:val="ListParagraph"/>
              <w:numPr>
                <w:ilvl w:val="0"/>
                <w:numId w:val="19"/>
              </w:numPr>
              <w:spacing w:after="0" w:line="240" w:lineRule="auto"/>
              <w:rPr>
                <w:rFonts w:ascii="Arial" w:hAnsi="Arial" w:cs="Arial"/>
                <w:sz w:val="18"/>
                <w:szCs w:val="18"/>
              </w:rPr>
            </w:pPr>
            <w:proofErr w:type="spellStart"/>
            <w:r>
              <w:rPr>
                <w:rFonts w:ascii="Arial" w:hAnsi="Arial" w:cs="Arial"/>
                <w:sz w:val="18"/>
                <w:szCs w:val="18"/>
              </w:rPr>
              <w:t>Grella</w:t>
            </w:r>
            <w:proofErr w:type="spellEnd"/>
            <w:r>
              <w:rPr>
                <w:rFonts w:ascii="Arial" w:hAnsi="Arial" w:cs="Arial"/>
                <w:sz w:val="18"/>
                <w:szCs w:val="18"/>
              </w:rPr>
              <w:t xml:space="preserve">, Christine. “From Generic to Gender-Responsive Treatment: Changes in Social Policies, Treatment Services and Outcomes of Women in Substance Abuse Treatment.” </w:t>
            </w:r>
            <w:r>
              <w:rPr>
                <w:rFonts w:ascii="Arial" w:hAnsi="Arial" w:cs="Arial"/>
                <w:sz w:val="18"/>
                <w:szCs w:val="18"/>
                <w:u w:val="single"/>
              </w:rPr>
              <w:t>Journal of Psychoactive Drugs</w:t>
            </w:r>
            <w:r>
              <w:rPr>
                <w:rFonts w:ascii="Arial" w:hAnsi="Arial" w:cs="Arial"/>
                <w:sz w:val="18"/>
                <w:szCs w:val="18"/>
              </w:rPr>
              <w:t xml:space="preserve">. Sup. 5, Nov. 2008. </w:t>
            </w:r>
          </w:p>
          <w:p w:rsidR="00DA54D1" w:rsidRDefault="00DA54D1">
            <w:pPr>
              <w:pStyle w:val="ListParagraph"/>
              <w:numPr>
                <w:ilvl w:val="0"/>
                <w:numId w:val="19"/>
              </w:numPr>
              <w:spacing w:after="0" w:line="240" w:lineRule="auto"/>
              <w:rPr>
                <w:rFonts w:ascii="Arial" w:hAnsi="Arial" w:cs="Arial"/>
                <w:sz w:val="18"/>
                <w:szCs w:val="18"/>
              </w:rPr>
            </w:pPr>
            <w:proofErr w:type="spellStart"/>
            <w:r>
              <w:rPr>
                <w:rFonts w:ascii="Arial" w:hAnsi="Arial" w:cs="Arial"/>
                <w:sz w:val="18"/>
                <w:szCs w:val="18"/>
              </w:rPr>
              <w:t>Yih-Ing</w:t>
            </w:r>
            <w:proofErr w:type="spellEnd"/>
            <w:r>
              <w:rPr>
                <w:rFonts w:ascii="Arial" w:hAnsi="Arial" w:cs="Arial"/>
                <w:sz w:val="18"/>
                <w:szCs w:val="18"/>
              </w:rPr>
              <w:t xml:space="preserve">, </w:t>
            </w:r>
            <w:proofErr w:type="spellStart"/>
            <w:r>
              <w:rPr>
                <w:rFonts w:ascii="Arial" w:hAnsi="Arial" w:cs="Arial"/>
                <w:sz w:val="18"/>
                <w:szCs w:val="18"/>
              </w:rPr>
              <w:t>Hser</w:t>
            </w:r>
            <w:proofErr w:type="spellEnd"/>
            <w:r>
              <w:rPr>
                <w:rFonts w:ascii="Arial" w:hAnsi="Arial" w:cs="Arial"/>
                <w:sz w:val="18"/>
                <w:szCs w:val="18"/>
              </w:rPr>
              <w:t xml:space="preserve"> and </w:t>
            </w:r>
            <w:proofErr w:type="spellStart"/>
            <w:r>
              <w:rPr>
                <w:rFonts w:ascii="Arial" w:hAnsi="Arial" w:cs="Arial"/>
                <w:sz w:val="18"/>
                <w:szCs w:val="18"/>
              </w:rPr>
              <w:t>Niv</w:t>
            </w:r>
            <w:proofErr w:type="spellEnd"/>
            <w:r>
              <w:rPr>
                <w:rFonts w:ascii="Arial" w:hAnsi="Arial" w:cs="Arial"/>
                <w:sz w:val="18"/>
                <w:szCs w:val="18"/>
              </w:rPr>
              <w:t xml:space="preserve"> </w:t>
            </w:r>
            <w:proofErr w:type="spellStart"/>
            <w:r>
              <w:rPr>
                <w:rFonts w:ascii="Arial" w:hAnsi="Arial" w:cs="Arial"/>
                <w:sz w:val="18"/>
                <w:szCs w:val="18"/>
              </w:rPr>
              <w:t>Noosha</w:t>
            </w:r>
            <w:proofErr w:type="spellEnd"/>
            <w:r>
              <w:rPr>
                <w:rFonts w:ascii="Arial" w:hAnsi="Arial" w:cs="Arial"/>
                <w:sz w:val="18"/>
                <w:szCs w:val="18"/>
              </w:rPr>
              <w:t xml:space="preserve">. “Pregnant Women in Women-Only and Mixed-Gender Substance Abuse Treatment Programs: A Comparison of Client Characteristics and Program Services.” </w:t>
            </w:r>
            <w:r>
              <w:rPr>
                <w:rFonts w:ascii="Arial" w:hAnsi="Arial" w:cs="Arial"/>
                <w:sz w:val="18"/>
                <w:szCs w:val="18"/>
                <w:u w:val="single"/>
              </w:rPr>
              <w:t>Journal of Behavioral Health Services &amp; Research</w:t>
            </w:r>
            <w:r>
              <w:rPr>
                <w:rFonts w:ascii="Arial" w:hAnsi="Arial" w:cs="Arial"/>
                <w:sz w:val="18"/>
                <w:szCs w:val="18"/>
              </w:rPr>
              <w:t>.  Oct 2006. 431-441.</w:t>
            </w:r>
          </w:p>
          <w:p w:rsidR="00DA54D1" w:rsidRDefault="00DA54D1">
            <w:pPr>
              <w:pStyle w:val="ListParagraph"/>
              <w:numPr>
                <w:ilvl w:val="0"/>
                <w:numId w:val="19"/>
              </w:numPr>
              <w:spacing w:after="0" w:line="240" w:lineRule="auto"/>
              <w:rPr>
                <w:rFonts w:ascii="Arial" w:hAnsi="Arial" w:cs="Arial"/>
                <w:sz w:val="18"/>
                <w:szCs w:val="18"/>
              </w:rPr>
            </w:pPr>
            <w:r>
              <w:rPr>
                <w:rFonts w:ascii="Arial" w:hAnsi="Arial" w:cs="Arial"/>
                <w:sz w:val="18"/>
                <w:szCs w:val="18"/>
              </w:rPr>
              <w:t xml:space="preserve">Godfrey, Jodi. “Conversation with the Experts-Toward Optimal Health: Kathleen Brady, PhD, MD, Discusses Challenges of Substance Abuse in Women.” </w:t>
            </w:r>
            <w:r>
              <w:rPr>
                <w:rFonts w:ascii="Arial" w:hAnsi="Arial" w:cs="Arial"/>
                <w:sz w:val="18"/>
                <w:szCs w:val="18"/>
                <w:u w:val="single"/>
              </w:rPr>
              <w:t>Journal of Women’s Health</w:t>
            </w:r>
            <w:r>
              <w:rPr>
                <w:rFonts w:ascii="Arial" w:hAnsi="Arial" w:cs="Arial"/>
                <w:sz w:val="18"/>
                <w:szCs w:val="18"/>
              </w:rPr>
              <w:t>. Vol. 16, N. 2, 2007.</w:t>
            </w:r>
          </w:p>
          <w:p w:rsidR="00DA54D1" w:rsidRDefault="00DA54D1">
            <w:pPr>
              <w:pStyle w:val="ListParagraph"/>
              <w:numPr>
                <w:ilvl w:val="0"/>
                <w:numId w:val="19"/>
              </w:numPr>
              <w:spacing w:after="0" w:line="240" w:lineRule="auto"/>
              <w:rPr>
                <w:rFonts w:ascii="Arial" w:hAnsi="Arial" w:cs="Arial"/>
                <w:sz w:val="18"/>
                <w:szCs w:val="18"/>
              </w:rPr>
            </w:pPr>
            <w:r>
              <w:rPr>
                <w:rFonts w:ascii="Arial" w:hAnsi="Arial" w:cs="Arial"/>
                <w:sz w:val="18"/>
                <w:szCs w:val="18"/>
              </w:rPr>
              <w:t xml:space="preserve">Covington, Stephanie. “Women and Addiction: A Trauma-Informed Approach.” </w:t>
            </w:r>
            <w:r>
              <w:rPr>
                <w:rFonts w:ascii="Arial" w:hAnsi="Arial" w:cs="Arial"/>
                <w:sz w:val="18"/>
                <w:szCs w:val="18"/>
                <w:u w:val="single"/>
              </w:rPr>
              <w:t>Journal of Psychoactive Drugs</w:t>
            </w:r>
            <w:r>
              <w:rPr>
                <w:rFonts w:ascii="Arial" w:hAnsi="Arial" w:cs="Arial"/>
                <w:sz w:val="18"/>
                <w:szCs w:val="18"/>
              </w:rPr>
              <w:t xml:space="preserve">. Sup. 5. Nov. 2008. </w:t>
            </w:r>
          </w:p>
        </w:tc>
      </w:tr>
      <w:tr w:rsidR="00DA54D1" w:rsidTr="00DA54D1">
        <w:tc>
          <w:tcPr>
            <w:tcW w:w="11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A54D1" w:rsidRDefault="00DA54D1">
            <w:pPr>
              <w:jc w:val="center"/>
              <w:rPr>
                <w:rFonts w:ascii="Arial" w:hAnsi="Arial" w:cs="Arial"/>
                <w:i/>
                <w:iCs/>
              </w:rPr>
            </w:pPr>
          </w:p>
          <w:p w:rsidR="00DA54D1" w:rsidRDefault="00DA54D1">
            <w:pPr>
              <w:jc w:val="center"/>
              <w:rPr>
                <w:rFonts w:ascii="Arial" w:hAnsi="Arial" w:cs="Arial"/>
              </w:rPr>
            </w:pPr>
            <w:r>
              <w:rPr>
                <w:rFonts w:ascii="Arial" w:hAnsi="Arial" w:cs="Arial"/>
                <w:i/>
                <w:iCs/>
              </w:rPr>
              <w:t>The Girl Connection</w:t>
            </w:r>
            <w:r>
              <w:rPr>
                <w:rFonts w:ascii="Arial" w:hAnsi="Arial" w:cs="Arial"/>
              </w:rPr>
              <w:t xml:space="preserve"> newsletter is provided as a service of the Iowa Task Force for Young Women (ITFYW). For back issues, more information about the ITFYW or any information included in this newsletter, please contact:</w:t>
            </w:r>
          </w:p>
          <w:p w:rsidR="00DA54D1" w:rsidRDefault="00DA54D1">
            <w:pPr>
              <w:jc w:val="center"/>
              <w:rPr>
                <w:rFonts w:ascii="Arial" w:hAnsi="Arial" w:cs="Arial"/>
              </w:rPr>
            </w:pPr>
          </w:p>
          <w:p w:rsidR="00DA54D1" w:rsidRDefault="00DA54D1">
            <w:pPr>
              <w:jc w:val="center"/>
              <w:rPr>
                <w:rFonts w:ascii="Arial" w:hAnsi="Arial" w:cs="Arial"/>
              </w:rPr>
            </w:pPr>
            <w:r>
              <w:rPr>
                <w:rFonts w:ascii="Arial" w:hAnsi="Arial" w:cs="Arial"/>
              </w:rPr>
              <w:t>Kathy Nesteby</w:t>
            </w:r>
          </w:p>
          <w:p w:rsidR="00DA54D1" w:rsidRDefault="00DA54D1">
            <w:pPr>
              <w:jc w:val="center"/>
              <w:rPr>
                <w:rFonts w:ascii="Arial" w:hAnsi="Arial" w:cs="Arial"/>
              </w:rPr>
            </w:pPr>
            <w:r>
              <w:rPr>
                <w:rFonts w:ascii="Arial" w:hAnsi="Arial" w:cs="Arial"/>
              </w:rPr>
              <w:t>515-281-6915</w:t>
            </w:r>
          </w:p>
          <w:p w:rsidR="00DA54D1" w:rsidRDefault="00DA54D1">
            <w:pPr>
              <w:jc w:val="center"/>
              <w:rPr>
                <w:rFonts w:ascii="Arial" w:hAnsi="Arial" w:cs="Arial"/>
                <w:color w:val="0070C0"/>
              </w:rPr>
            </w:pPr>
            <w:hyperlink r:id="rId27" w:history="1">
              <w:r>
                <w:rPr>
                  <w:rStyle w:val="Hyperlink"/>
                  <w:rFonts w:ascii="Arial" w:hAnsi="Arial" w:cs="Arial"/>
                  <w:color w:val="0070C0"/>
                </w:rPr>
                <w:t>Kathy.Nesteby@iowa.gov</w:t>
              </w:r>
            </w:hyperlink>
          </w:p>
          <w:p w:rsidR="00DA54D1" w:rsidRDefault="00DA54D1">
            <w:pPr>
              <w:jc w:val="center"/>
              <w:rPr>
                <w:rFonts w:ascii="Arial" w:hAnsi="Arial" w:cs="Arial"/>
                <w:color w:val="0070C0"/>
              </w:rPr>
            </w:pPr>
            <w:hyperlink r:id="rId28" w:history="1">
              <w:r>
                <w:rPr>
                  <w:rStyle w:val="Hyperlink"/>
                  <w:rFonts w:ascii="Arial" w:hAnsi="Arial" w:cs="Arial"/>
                  <w:color w:val="0070C0"/>
                </w:rPr>
                <w:t>www.women.iowa.gov/girls</w:t>
              </w:r>
            </w:hyperlink>
          </w:p>
          <w:p w:rsidR="00DA54D1" w:rsidRDefault="00DA54D1">
            <w:pPr>
              <w:jc w:val="center"/>
              <w:rPr>
                <w:rFonts w:ascii="Arial" w:hAnsi="Arial" w:cs="Arial"/>
                <w:color w:val="0070C0"/>
              </w:rPr>
            </w:pPr>
          </w:p>
        </w:tc>
      </w:tr>
    </w:tbl>
    <w:p w:rsidR="00DA54D1" w:rsidRDefault="00DA54D1" w:rsidP="00DA54D1"/>
    <w:p w:rsidR="00A23DD3" w:rsidRDefault="00A23DD3"/>
    <w:sectPr w:rsidR="00A23DD3" w:rsidSect="00DA54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4179"/>
    <w:multiLevelType w:val="hybridMultilevel"/>
    <w:tmpl w:val="DD9ADB4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693E9C"/>
    <w:multiLevelType w:val="hybridMultilevel"/>
    <w:tmpl w:val="D308943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0939D2"/>
    <w:multiLevelType w:val="hybridMultilevel"/>
    <w:tmpl w:val="C34A7C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A3307D"/>
    <w:multiLevelType w:val="hybridMultilevel"/>
    <w:tmpl w:val="F4506A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FA6C9A"/>
    <w:multiLevelType w:val="hybridMultilevel"/>
    <w:tmpl w:val="3A5C45F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7103946"/>
    <w:multiLevelType w:val="hybridMultilevel"/>
    <w:tmpl w:val="D8E6AC1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AF5B12"/>
    <w:multiLevelType w:val="hybridMultilevel"/>
    <w:tmpl w:val="3532103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CA41A7"/>
    <w:multiLevelType w:val="hybridMultilevel"/>
    <w:tmpl w:val="7FFEB98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C267701"/>
    <w:multiLevelType w:val="multilevel"/>
    <w:tmpl w:val="516CE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3E0A15"/>
    <w:multiLevelType w:val="hybridMultilevel"/>
    <w:tmpl w:val="CC0A1F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1E55EFC"/>
    <w:multiLevelType w:val="hybridMultilevel"/>
    <w:tmpl w:val="6E00827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FA51D3"/>
    <w:multiLevelType w:val="multilevel"/>
    <w:tmpl w:val="9B56A28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9732CDC"/>
    <w:multiLevelType w:val="multilevel"/>
    <w:tmpl w:val="651C48E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D00D93"/>
    <w:multiLevelType w:val="hybridMultilevel"/>
    <w:tmpl w:val="07A46806"/>
    <w:lvl w:ilvl="0" w:tplc="D0B2C37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CF5492B"/>
    <w:multiLevelType w:val="multilevel"/>
    <w:tmpl w:val="5BC4C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F804C23"/>
    <w:multiLevelType w:val="hybridMultilevel"/>
    <w:tmpl w:val="55B095B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8D71B50"/>
    <w:multiLevelType w:val="multilevel"/>
    <w:tmpl w:val="143C9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D7D028C"/>
    <w:multiLevelType w:val="hybridMultilevel"/>
    <w:tmpl w:val="DFC0764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DBC7827"/>
    <w:multiLevelType w:val="hybridMultilevel"/>
    <w:tmpl w:val="9750586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54D1"/>
    <w:rsid w:val="00A23DD3"/>
    <w:rsid w:val="00DA5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D1"/>
    <w:pPr>
      <w:spacing w:after="0" w:line="240" w:lineRule="auto"/>
    </w:pPr>
    <w:rPr>
      <w:rFonts w:ascii="Trebuchet MS" w:hAnsi="Trebuchet MS" w:cs="Times New Roman"/>
    </w:rPr>
  </w:style>
  <w:style w:type="paragraph" w:styleId="Heading1">
    <w:name w:val="heading 1"/>
    <w:basedOn w:val="Normal"/>
    <w:link w:val="Heading1Char"/>
    <w:uiPriority w:val="9"/>
    <w:qFormat/>
    <w:rsid w:val="00DA54D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semiHidden/>
    <w:unhideWhenUsed/>
    <w:qFormat/>
    <w:rsid w:val="00DA54D1"/>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D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A54D1"/>
    <w:rPr>
      <w:rFonts w:ascii="Times New Roman" w:hAnsi="Times New Roman" w:cs="Times New Roman"/>
      <w:b/>
      <w:bCs/>
      <w:sz w:val="36"/>
      <w:szCs w:val="36"/>
    </w:rPr>
  </w:style>
  <w:style w:type="character" w:styleId="Hyperlink">
    <w:name w:val="Hyperlink"/>
    <w:basedOn w:val="DefaultParagraphFont"/>
    <w:uiPriority w:val="99"/>
    <w:semiHidden/>
    <w:unhideWhenUsed/>
    <w:rsid w:val="00DA54D1"/>
    <w:rPr>
      <w:color w:val="FFDE66"/>
      <w:u w:val="single"/>
    </w:rPr>
  </w:style>
  <w:style w:type="paragraph" w:styleId="NormalWeb">
    <w:name w:val="Normal (Web)"/>
    <w:basedOn w:val="Normal"/>
    <w:uiPriority w:val="99"/>
    <w:unhideWhenUsed/>
    <w:rsid w:val="00DA54D1"/>
    <w:pPr>
      <w:spacing w:before="150" w:after="150"/>
    </w:pPr>
    <w:rPr>
      <w:rFonts w:ascii="Times New Roman" w:hAnsi="Times New Roman"/>
      <w:sz w:val="20"/>
      <w:szCs w:val="20"/>
    </w:rPr>
  </w:style>
  <w:style w:type="paragraph" w:styleId="ListParagraph">
    <w:name w:val="List Paragraph"/>
    <w:basedOn w:val="Normal"/>
    <w:uiPriority w:val="34"/>
    <w:qFormat/>
    <w:rsid w:val="00DA54D1"/>
    <w:pPr>
      <w:spacing w:after="200" w:line="276" w:lineRule="auto"/>
      <w:ind w:left="720"/>
    </w:pPr>
  </w:style>
  <w:style w:type="character" w:styleId="Strong">
    <w:name w:val="Strong"/>
    <w:basedOn w:val="DefaultParagraphFont"/>
    <w:uiPriority w:val="22"/>
    <w:qFormat/>
    <w:rsid w:val="00DA54D1"/>
    <w:rPr>
      <w:b/>
      <w:bCs/>
    </w:rPr>
  </w:style>
  <w:style w:type="character" w:styleId="Emphasis">
    <w:name w:val="Emphasis"/>
    <w:basedOn w:val="DefaultParagraphFont"/>
    <w:uiPriority w:val="20"/>
    <w:qFormat/>
    <w:rsid w:val="00DA54D1"/>
    <w:rPr>
      <w:i/>
      <w:iCs/>
    </w:rPr>
  </w:style>
  <w:style w:type="paragraph" w:styleId="BalloonText">
    <w:name w:val="Balloon Text"/>
    <w:basedOn w:val="Normal"/>
    <w:link w:val="BalloonTextChar"/>
    <w:uiPriority w:val="99"/>
    <w:semiHidden/>
    <w:unhideWhenUsed/>
    <w:rsid w:val="00DA54D1"/>
    <w:rPr>
      <w:rFonts w:ascii="Tahoma" w:hAnsi="Tahoma" w:cs="Tahoma"/>
      <w:sz w:val="16"/>
      <w:szCs w:val="16"/>
    </w:rPr>
  </w:style>
  <w:style w:type="character" w:customStyle="1" w:styleId="BalloonTextChar">
    <w:name w:val="Balloon Text Char"/>
    <w:basedOn w:val="DefaultParagraphFont"/>
    <w:link w:val="BalloonText"/>
    <w:uiPriority w:val="99"/>
    <w:semiHidden/>
    <w:rsid w:val="00DA5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58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IwMzE5LjYyNTcxMDEmbWVzc2FnZWlkPU1EQi1QUkQtQlVMLTIwMTIwMzE5LjYyNTcxMDEmZGF0YWJhc2VpZD0xMDAxJnNlcmlhbD0xNjkxNzc3MyZlbWFpbGlkPWxpbmRhLm1jZ2lubmlzQGlkcGguaW93YS5nb3YmdXNlcmlkPWxpbmRhLm1jZ2lubmlzQGlkcGguaW93YS5nb3YmZmw9JmV4dHJhPU11bHRpdmFyaWF0ZUlkPSYmJg==&amp;&amp;&amp;103&amp;&amp;&amp;http://samhsawomensconference.org/" TargetMode="External"/><Relationship Id="rId13" Type="http://schemas.openxmlformats.org/officeDocument/2006/relationships/hyperlink" Target="http://r.smartbrief.com/resp/dAnfCczMrkCcycbnCidanXBWcNfyyF?format=standard" TargetMode="External"/><Relationship Id="rId18" Type="http://schemas.openxmlformats.org/officeDocument/2006/relationships/hyperlink" Target="http://www.ojjdp.gov/grants/solicitations/FY2012/EUDLDisc.pdf" TargetMode="External"/><Relationship Id="rId26" Type="http://schemas.openxmlformats.org/officeDocument/2006/relationships/hyperlink" Target="http://www.women.iowa.gov/girls/" TargetMode="External"/><Relationship Id="rId3" Type="http://schemas.openxmlformats.org/officeDocument/2006/relationships/settings" Target="settings.xml"/><Relationship Id="rId21" Type="http://schemas.openxmlformats.org/officeDocument/2006/relationships/hyperlink" Target="http://www.ojjdp.gov/grants/solicitations/FY2012/LocalMentoringCoordination.pdf" TargetMode="External"/><Relationship Id="rId7" Type="http://schemas.openxmlformats.org/officeDocument/2006/relationships/hyperlink" Target="http://www.missrepresentation.org/the-film/" TargetMode="External"/><Relationship Id="rId12" Type="http://schemas.openxmlformats.org/officeDocument/2006/relationships/hyperlink" Target="http://r.smartbrief.com/resp/dAnfCczMrkCcycbkCidanXBWcNQRDC?format=standard" TargetMode="External"/><Relationship Id="rId17" Type="http://schemas.openxmlformats.org/officeDocument/2006/relationships/hyperlink" Target="http://www.ojjdp.gov/grants/solicitations/FY2012/JuvDrugCtrf.pdf" TargetMode="External"/><Relationship Id="rId25" Type="http://schemas.openxmlformats.org/officeDocument/2006/relationships/image" Target="cid:image003.png@01CD276B.2F90DFE0" TargetMode="External"/><Relationship Id="rId2" Type="http://schemas.openxmlformats.org/officeDocument/2006/relationships/styles" Target="styles.xml"/><Relationship Id="rId16" Type="http://schemas.openxmlformats.org/officeDocument/2006/relationships/hyperlink" Target="http://www.ojjdp.gov/grants/solicitations/FY2012/SecondChanceActDemo.pdf" TargetMode="External"/><Relationship Id="rId20" Type="http://schemas.openxmlformats.org/officeDocument/2006/relationships/hyperlink" Target="http://www.ojjdp.gov/grants/solicitations/FY2012/Multistatementoring.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CD276B.2F90DFE0" TargetMode="External"/><Relationship Id="rId11" Type="http://schemas.openxmlformats.org/officeDocument/2006/relationships/hyperlink" Target="http://r.smartbrief.com/resp/dAnfCczMrkCcycbjCidanXBWcNOMVB?format=standard" TargetMode="External"/><Relationship Id="rId24"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www.nytimes.com/2012/04/01/magazine/puberty-before-age-10-a-new-normal.html" TargetMode="External"/><Relationship Id="rId23" Type="http://schemas.openxmlformats.org/officeDocument/2006/relationships/hyperlink" Target="http://riverridgetreatmentcenter.com/training.html" TargetMode="External"/><Relationship Id="rId28" Type="http://schemas.openxmlformats.org/officeDocument/2006/relationships/hyperlink" Target="http://www.women.iowa.gov/girls" TargetMode="External"/><Relationship Id="rId10" Type="http://schemas.openxmlformats.org/officeDocument/2006/relationships/hyperlink" Target="http://r.smartbrief.com/resp/dAnfCczMrkCcycbjCidanXBWcNOMVB?format=standard" TargetMode="External"/><Relationship Id="rId19" Type="http://schemas.openxmlformats.org/officeDocument/2006/relationships/hyperlink" Target="http://www.ojjdp.gov/grants/solicitations/FY2012/MentoringEnhancementDemonstrationProgram.pdf" TargetMode="External"/><Relationship Id="rId4" Type="http://schemas.openxmlformats.org/officeDocument/2006/relationships/webSettings" Target="webSettings.xml"/><Relationship Id="rId9" Type="http://schemas.openxmlformats.org/officeDocument/2006/relationships/hyperlink" Target="http://partnershipuniversity.org/new-course-getting-serious-best-practice-approach-bullying-prevention-0" TargetMode="External"/><Relationship Id="rId14" Type="http://schemas.openxmlformats.org/officeDocument/2006/relationships/hyperlink" Target="http://r.smartbrief.com/resp/dAnfCczMrkCcycbnCidanXBWcNfyyF?format=standard" TargetMode="External"/><Relationship Id="rId22" Type="http://schemas.openxmlformats.org/officeDocument/2006/relationships/hyperlink" Target="http://t.ymlp290.net/jwaiamsbuacaemeavaeuwue/click.php" TargetMode="External"/><Relationship Id="rId27" Type="http://schemas.openxmlformats.org/officeDocument/2006/relationships/hyperlink" Target="mailto:Kathy.Nesteby@iow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2732</Words>
  <Characters>15577</Characters>
  <Application>Microsoft Office Word</Application>
  <DocSecurity>0</DocSecurity>
  <Lines>129</Lines>
  <Paragraphs>36</Paragraphs>
  <ScaleCrop>false</ScaleCrop>
  <Company>State of Iowa</Company>
  <LinksUpToDate>false</LinksUpToDate>
  <CharactersWithSpaces>18273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knesteb</dc:creator>
  <cp:lastModifiedBy>knesteb</cp:lastModifiedBy>
  <cp:revision>1</cp:revision>
  <dcterms:created xsi:type="dcterms:W3CDTF">2012-05-01T14:53:00Z</dcterms:created>
  <dcterms:modified xsi:type="dcterms:W3CDTF">2012-05-01T15:01:00Z</dcterms:modified>
</cp:coreProperties>
</file>