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16D7">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3632" from="36pt,42.45pt" to="568.8pt,42.45pt" o:allowincell="f" strokeweight="2pt"/>
        </w:pict>
      </w:r>
      <w:r>
        <w:tab/>
        <w:t>FISCAL UPDATE</w:t>
      </w:r>
      <w:r>
        <w:tab/>
      </w:r>
      <w:r>
        <w:rPr>
          <w:sz w:val="36"/>
        </w:rPr>
        <w:t>February 18, 2002</w:t>
      </w:r>
    </w:p>
    <w:p w:rsidR="00000000" w:rsidRDefault="00DE16D7">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DE16D7">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http://staffweb.legis.state.ia.us/lfb/</w:t>
        </w:r>
      </w:hyperlink>
    </w:p>
    <w:p w:rsidR="00000000" w:rsidRDefault="00DE16D7">
      <w:pPr>
        <w:pStyle w:val="Blurbtitle"/>
      </w:pPr>
      <w:bookmarkStart w:id="0" w:name="FU2DCPA"/>
    </w:p>
    <w:p w:rsidR="00000000" w:rsidRDefault="00DE16D7">
      <w:pPr>
        <w:pStyle w:val="Blurbtitle"/>
      </w:pPr>
      <w:r>
        <w:t>Revenue estimating conference Meeting Scheduled</w:t>
      </w:r>
      <w:bookmarkEnd w:id="0"/>
    </w:p>
    <w:p w:rsidR="00000000" w:rsidRDefault="00DE16D7">
      <w:pPr>
        <w:framePr w:w="534" w:h="1384" w:hRule="exact" w:hSpace="187" w:wrap="around" w:vAnchor="text" w:hAnchor="page" w:x="1535" w:y="495"/>
        <w:pBdr>
          <w:top w:val="single" w:sz="12" w:space="5" w:color="auto" w:shadow="1"/>
          <w:left w:val="single" w:sz="12" w:space="5" w:color="auto" w:shadow="1"/>
          <w:bottom w:val="single" w:sz="12" w:space="5" w:color="auto" w:shadow="1"/>
          <w:right w:val="single" w:sz="12" w:space="5" w:color="auto" w:shadow="1"/>
        </w:pBdr>
      </w:pPr>
      <w:r>
        <w:object w:dxaOrig="1140"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50.65pt" o:ole="">
            <v:imagedata r:id="rId8" o:title=""/>
          </v:shape>
          <o:OLEObject Type="Embed" ProgID="Word.Picture.8" ShapeID="_x0000_i1025" DrawAspect="Content" ObjectID="_1315221953" r:id="rId9"/>
        </w:object>
      </w:r>
    </w:p>
    <w:p w:rsidR="00000000" w:rsidRDefault="00DE16D7">
      <w:pPr>
        <w:pStyle w:val="textup"/>
      </w:pPr>
      <w:r>
        <w:rPr>
          <w:b/>
        </w:rPr>
        <w:t>REC Meeting</w:t>
      </w:r>
      <w:r>
        <w:tab/>
        <w:t>The next meeting of the Revenue Estimating Conference (REC) has been scheduled for Thursday, February 21, in Room 116 at 11:00 a.m.  The REC will review the revenue projections for FY 2002 and FY 2003.  The December Conference establishe</w:t>
      </w:r>
      <w:r>
        <w:t>d projected growth rates of 1.5% for FY 2002 and 2.1% for FY 2003.  If the Conference revises the FY 2003 estimate downward, the Governor will be required to resubmit a revised budget for FY 2003 within 14 days.</w:t>
      </w:r>
    </w:p>
    <w:p w:rsidR="00000000" w:rsidRDefault="00DE16D7">
      <w:pPr>
        <w:pStyle w:val="textup"/>
      </w:pPr>
      <w:r>
        <w:rPr>
          <w:b/>
        </w:rPr>
        <w:t>Information Available</w:t>
      </w:r>
      <w:r>
        <w:tab/>
        <w:t xml:space="preserve">Decisions made by the </w:t>
      </w:r>
      <w:r>
        <w:t xml:space="preserve">REC will be published on the LFB web site and in the next </w:t>
      </w:r>
      <w:r>
        <w:rPr>
          <w:b/>
          <w:bCs/>
          <w:u w:val="single"/>
        </w:rPr>
        <w:t>Fiscal Update</w:t>
      </w:r>
      <w:r>
        <w:t>.</w:t>
      </w:r>
    </w:p>
    <w:p w:rsidR="00000000" w:rsidRDefault="00DE16D7">
      <w:pPr>
        <w:pStyle w:val="Contactup"/>
      </w:pPr>
      <w:r>
        <w:t>STAFF CONTACT:  Dennis Prouty (Ext. 13509)  Jeff Robinson (Ext. 14614)</w:t>
      </w:r>
    </w:p>
    <w:p w:rsidR="00000000" w:rsidRDefault="00DE16D7">
      <w:pPr>
        <w:pStyle w:val="Blurbtitle"/>
      </w:pPr>
      <w:bookmarkStart w:id="1" w:name="FU2MASA"/>
      <w:r>
        <w:t>SF 2168 - University of Iowa Hospital Revenue Bond Authority</w:t>
      </w:r>
      <w:bookmarkEnd w:id="1"/>
    </w:p>
    <w:p w:rsidR="00000000" w:rsidRDefault="00DE16D7">
      <w:pPr>
        <w:pStyle w:val="textup"/>
      </w:pPr>
      <w:r>
        <w:rPr>
          <w:b/>
          <w:noProof/>
        </w:rPr>
        <w:pict>
          <v:shapetype id="_x0000_t202" coordsize="21600,21600" o:spt="202" path="m,l,21600r21600,l21600,xe">
            <v:stroke joinstyle="miter"/>
            <v:path gradientshapeok="t" o:connecttype="rect"/>
          </v:shapetype>
          <v:shape id="_x0000_s1028" type="#_x0000_t202" style="position:absolute;margin-left:-130.95pt;margin-top:32.75pt;width:43.7pt;height:48.5pt;z-index:251655680">
            <v:textbox>
              <w:txbxContent>
                <w:p w:rsidR="00000000" w:rsidRDefault="00DE16D7">
                  <w:r>
                    <w:rPr>
                      <w:noProof/>
                    </w:rPr>
                    <w:drawing>
                      <wp:inline distT="0" distB="0" distL="0" distR="0">
                        <wp:extent cx="361950" cy="51244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61950" cy="512445"/>
                                </a:xfrm>
                                <a:prstGeom prst="rect">
                                  <a:avLst/>
                                </a:prstGeom>
                                <a:noFill/>
                                <a:ln w="9525">
                                  <a:noFill/>
                                  <a:miter lim="800000"/>
                                  <a:headEnd/>
                                  <a:tailEnd/>
                                </a:ln>
                              </pic:spPr>
                            </pic:pic>
                          </a:graphicData>
                        </a:graphic>
                      </wp:inline>
                    </w:drawing>
                  </w:r>
                </w:p>
              </w:txbxContent>
            </v:textbox>
          </v:shape>
        </w:pict>
      </w:r>
      <w:r>
        <w:rPr>
          <w:b/>
        </w:rPr>
        <w:t>SF 2168 – Bonding Auth.</w:t>
      </w:r>
      <w:r>
        <w:tab/>
        <w:t xml:space="preserve">The Senate Appropriations </w:t>
      </w:r>
      <w:r>
        <w:t>Committee approved SF 2168 (University of Iowa Hospital Revenue Bond Authority) on February 13.  Highlights of the Bill include:</w:t>
      </w:r>
    </w:p>
    <w:p w:rsidR="00000000" w:rsidRDefault="00DE16D7">
      <w:pPr>
        <w:pStyle w:val="Bulletup"/>
      </w:pPr>
      <w:r>
        <w:t>States that the General Assembly finds that the University of Iowa Hospital is inadequate to meet present and future demands fo</w:t>
      </w:r>
      <w:r>
        <w:t>r Statewide specialty care, modern and emerging technology, and teaching services.</w:t>
      </w:r>
    </w:p>
    <w:p w:rsidR="00000000" w:rsidRDefault="00DE16D7">
      <w:pPr>
        <w:pStyle w:val="Bulletup"/>
      </w:pPr>
      <w:r>
        <w:t>Authorizes the Board of Regents to issue bonds of up to $100.0 million to upgrade facilities at the Hospital.  At the Board’s discretion, the dollar limitation for the bonds</w:t>
      </w:r>
      <w:r>
        <w:t xml:space="preserve"> may be exceeded to cover the capitalization and issuance costs of the bonds.  The Bill also gives the Board the authority to issue bonds at times and in amounts determined by the Board.</w:t>
      </w:r>
    </w:p>
    <w:tbl>
      <w:tblPr>
        <w:tblpPr w:leftFromText="180" w:rightFromText="180" w:vertAnchor="text" w:horzAnchor="page" w:tblpXSpec="center" w:tblpY="1228"/>
        <w:tblW w:w="9936"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1582"/>
        <w:gridCol w:w="4397"/>
        <w:gridCol w:w="3957"/>
      </w:tblGrid>
      <w:tr w:rsidR="00000000">
        <w:tblPrEx>
          <w:tblCellMar>
            <w:top w:w="0" w:type="dxa"/>
            <w:bottom w:w="0" w:type="dxa"/>
          </w:tblCellMar>
        </w:tblPrEx>
        <w:trPr>
          <w:jc w:val="center"/>
        </w:trPr>
        <w:tc>
          <w:tcPr>
            <w:tcW w:w="1548" w:type="dxa"/>
          </w:tcPr>
          <w:p w:rsidR="00000000" w:rsidRDefault="00DE16D7">
            <w:pPr>
              <w:pStyle w:val="ISSUE"/>
              <w:framePr w:w="0" w:hRule="auto" w:hSpace="0" w:wrap="auto" w:vAnchor="margin" w:hAnchor="text" w:xAlign="left" w:yAlign="inline"/>
              <w:ind w:left="342" w:hanging="342"/>
              <w:rPr>
                <w:b/>
              </w:rPr>
            </w:pPr>
          </w:p>
        </w:tc>
        <w:tc>
          <w:tcPr>
            <w:tcW w:w="4301" w:type="dxa"/>
          </w:tcPr>
          <w:p w:rsidR="00000000" w:rsidRDefault="00DE16D7">
            <w:pPr>
              <w:pStyle w:val="ISSUE"/>
              <w:framePr w:w="0" w:hRule="auto" w:hSpace="0" w:wrap="auto" w:vAnchor="margin" w:hAnchor="text" w:xAlign="left" w:yAlign="inline"/>
              <w:ind w:left="342" w:hanging="342"/>
            </w:pPr>
          </w:p>
        </w:tc>
        <w:tc>
          <w:tcPr>
            <w:tcW w:w="3871" w:type="dxa"/>
          </w:tcPr>
          <w:p w:rsidR="00000000" w:rsidRDefault="00DE16D7">
            <w:pPr>
              <w:pStyle w:val="ISSUE"/>
              <w:framePr w:w="0" w:hRule="auto" w:hSpace="0" w:wrap="auto" w:vAnchor="margin" w:hAnchor="text" w:xAlign="left" w:yAlign="inline"/>
              <w:tabs>
                <w:tab w:val="left" w:pos="9360"/>
              </w:tabs>
              <w:ind w:left="342" w:hanging="342"/>
            </w:pPr>
          </w:p>
        </w:tc>
      </w:tr>
      <w:tr w:rsidR="00000000">
        <w:tblPrEx>
          <w:tblCellMar>
            <w:top w:w="0" w:type="dxa"/>
            <w:bottom w:w="0" w:type="dxa"/>
          </w:tblCellMar>
        </w:tblPrEx>
        <w:trPr>
          <w:jc w:val="center"/>
        </w:trPr>
        <w:tc>
          <w:tcPr>
            <w:tcW w:w="1548" w:type="dxa"/>
          </w:tcPr>
          <w:p w:rsidR="00000000" w:rsidRDefault="00DE16D7">
            <w:pPr>
              <w:pStyle w:val="ISSUE"/>
              <w:framePr w:w="0" w:hRule="auto" w:hSpace="0" w:wrap="auto" w:vAnchor="margin" w:hAnchor="text" w:xAlign="left" w:yAlign="inline"/>
              <w:ind w:left="342" w:hanging="342"/>
              <w:rPr>
                <w:b/>
                <w:u w:val="single"/>
              </w:rPr>
            </w:pPr>
            <w:r>
              <w:rPr>
                <w:b/>
                <w:u w:val="single"/>
              </w:rPr>
              <w:t>IN THIS ISSUE:</w:t>
            </w:r>
          </w:p>
        </w:tc>
        <w:tc>
          <w:tcPr>
            <w:tcW w:w="4301" w:type="dxa"/>
          </w:tcPr>
          <w:p w:rsidR="00000000" w:rsidRDefault="00DE16D7">
            <w:pPr>
              <w:pStyle w:val="ISSUE"/>
              <w:framePr w:w="0" w:hRule="auto" w:hSpace="0" w:wrap="auto" w:vAnchor="margin" w:hAnchor="text" w:xAlign="left" w:yAlign="inline"/>
              <w:ind w:left="342" w:hanging="342"/>
            </w:pPr>
            <w:r>
              <w:t>REC Meeting Scheduled, pg. 1</w:t>
            </w:r>
          </w:p>
        </w:tc>
        <w:tc>
          <w:tcPr>
            <w:tcW w:w="3871" w:type="dxa"/>
          </w:tcPr>
          <w:p w:rsidR="00000000" w:rsidRDefault="00DE16D7">
            <w:pPr>
              <w:pStyle w:val="ISSUE"/>
              <w:framePr w:w="0" w:hRule="auto" w:hSpace="0" w:wrap="auto" w:vAnchor="margin" w:hAnchor="text" w:xAlign="left" w:yAlign="inline"/>
              <w:tabs>
                <w:tab w:val="left" w:pos="9360"/>
              </w:tabs>
              <w:ind w:left="342" w:hanging="342"/>
            </w:pPr>
            <w:r>
              <w:t>Council on Human Serv</w:t>
            </w:r>
            <w:r>
              <w:t>ices Meeting, pg. 6</w:t>
            </w:r>
          </w:p>
        </w:tc>
      </w:tr>
      <w:tr w:rsidR="00000000">
        <w:tblPrEx>
          <w:tblCellMar>
            <w:top w:w="0" w:type="dxa"/>
            <w:bottom w:w="0" w:type="dxa"/>
          </w:tblCellMar>
        </w:tblPrEx>
        <w:trPr>
          <w:jc w:val="center"/>
        </w:trPr>
        <w:tc>
          <w:tcPr>
            <w:tcW w:w="1548" w:type="dxa"/>
          </w:tcPr>
          <w:p w:rsidR="00000000" w:rsidRDefault="00DE16D7">
            <w:pPr>
              <w:pStyle w:val="ISSUE"/>
              <w:framePr w:w="0" w:hRule="auto" w:hSpace="0" w:wrap="auto" w:vAnchor="margin" w:hAnchor="text" w:xAlign="left" w:yAlign="inline"/>
              <w:ind w:left="342" w:hanging="342"/>
              <w:rPr>
                <w:u w:val="single"/>
              </w:rPr>
            </w:pPr>
          </w:p>
        </w:tc>
        <w:tc>
          <w:tcPr>
            <w:tcW w:w="4301" w:type="dxa"/>
          </w:tcPr>
          <w:p w:rsidR="00000000" w:rsidRDefault="00DE16D7">
            <w:pPr>
              <w:pStyle w:val="ISSUE"/>
              <w:framePr w:w="0" w:hRule="auto" w:hSpace="0" w:wrap="auto" w:vAnchor="margin" w:hAnchor="text" w:xAlign="left" w:yAlign="inline"/>
              <w:ind w:left="342" w:hanging="342"/>
            </w:pPr>
            <w:r>
              <w:t>SF 2168 – UofI Hospital Revenue Bond, pg. 1</w:t>
            </w:r>
          </w:p>
        </w:tc>
        <w:tc>
          <w:tcPr>
            <w:tcW w:w="3871" w:type="dxa"/>
          </w:tcPr>
          <w:p w:rsidR="00000000" w:rsidRDefault="00DE16D7">
            <w:pPr>
              <w:pStyle w:val="ISSUE"/>
              <w:framePr w:w="0" w:hRule="auto" w:hSpace="0" w:wrap="auto" w:vAnchor="margin" w:hAnchor="text" w:xAlign="left" w:yAlign="inline"/>
              <w:tabs>
                <w:tab w:val="left" w:pos="9360"/>
              </w:tabs>
              <w:ind w:left="342" w:hanging="342"/>
            </w:pPr>
            <w:r>
              <w:t>Medicaid Infras. Grant Workgroup pg. 8</w:t>
            </w:r>
          </w:p>
        </w:tc>
      </w:tr>
      <w:tr w:rsidR="00000000">
        <w:tblPrEx>
          <w:tblCellMar>
            <w:top w:w="0" w:type="dxa"/>
            <w:bottom w:w="0" w:type="dxa"/>
          </w:tblCellMar>
        </w:tblPrEx>
        <w:trPr>
          <w:jc w:val="center"/>
        </w:trPr>
        <w:tc>
          <w:tcPr>
            <w:tcW w:w="1548" w:type="dxa"/>
          </w:tcPr>
          <w:p w:rsidR="00000000" w:rsidRDefault="00DE16D7">
            <w:pPr>
              <w:pStyle w:val="ISSUE"/>
              <w:framePr w:w="0" w:hRule="auto" w:hSpace="0" w:wrap="auto" w:vAnchor="margin" w:hAnchor="text" w:xAlign="left" w:yAlign="inline"/>
              <w:ind w:left="342" w:hanging="342"/>
            </w:pPr>
          </w:p>
        </w:tc>
        <w:tc>
          <w:tcPr>
            <w:tcW w:w="4301" w:type="dxa"/>
          </w:tcPr>
          <w:p w:rsidR="00000000" w:rsidRDefault="00DE16D7">
            <w:pPr>
              <w:pStyle w:val="ISSUE"/>
              <w:framePr w:w="0" w:hRule="auto" w:hSpace="0" w:wrap="auto" w:vAnchor="margin" w:hAnchor="text" w:xAlign="left" w:yAlign="inline"/>
              <w:ind w:left="342" w:hanging="342"/>
            </w:pPr>
            <w:r>
              <w:t>HF 2075 – Endowment Reimbursement, pg. 2</w:t>
            </w:r>
          </w:p>
        </w:tc>
        <w:tc>
          <w:tcPr>
            <w:tcW w:w="3871" w:type="dxa"/>
          </w:tcPr>
          <w:p w:rsidR="00000000" w:rsidRDefault="00DE16D7">
            <w:pPr>
              <w:pStyle w:val="ISSUE"/>
              <w:framePr w:w="0" w:hRule="auto" w:hSpace="0" w:wrap="auto" w:vAnchor="margin" w:hAnchor="text" w:xAlign="left" w:yAlign="inline"/>
              <w:tabs>
                <w:tab w:val="left" w:pos="9360"/>
              </w:tabs>
              <w:ind w:left="342" w:hanging="342"/>
            </w:pPr>
            <w:r>
              <w:t>January hawk-i Board Mtg., pg. 9</w:t>
            </w:r>
          </w:p>
        </w:tc>
      </w:tr>
      <w:tr w:rsidR="00000000">
        <w:tblPrEx>
          <w:tblCellMar>
            <w:top w:w="0" w:type="dxa"/>
            <w:bottom w:w="0" w:type="dxa"/>
          </w:tblCellMar>
        </w:tblPrEx>
        <w:trPr>
          <w:jc w:val="center"/>
        </w:trPr>
        <w:tc>
          <w:tcPr>
            <w:tcW w:w="1548" w:type="dxa"/>
          </w:tcPr>
          <w:p w:rsidR="00000000" w:rsidRDefault="00DE16D7">
            <w:pPr>
              <w:pStyle w:val="ISSUE"/>
              <w:framePr w:w="0" w:hRule="auto" w:hSpace="0" w:wrap="auto" w:vAnchor="margin" w:hAnchor="text" w:xAlign="left" w:yAlign="inline"/>
              <w:ind w:left="342" w:hanging="342"/>
            </w:pPr>
          </w:p>
        </w:tc>
        <w:tc>
          <w:tcPr>
            <w:tcW w:w="4301" w:type="dxa"/>
          </w:tcPr>
          <w:p w:rsidR="00000000" w:rsidRDefault="00DE16D7">
            <w:pPr>
              <w:pStyle w:val="ISSUE"/>
              <w:framePr w:w="0" w:hRule="auto" w:hSpace="0" w:wrap="auto" w:vAnchor="margin" w:hAnchor="text" w:xAlign="left" w:yAlign="inline"/>
              <w:ind w:left="342" w:hanging="342"/>
            </w:pPr>
            <w:r>
              <w:t>SF 2032 – Crime Victim Compensation, pg. 2</w:t>
            </w:r>
          </w:p>
        </w:tc>
        <w:tc>
          <w:tcPr>
            <w:tcW w:w="3871" w:type="dxa"/>
          </w:tcPr>
          <w:p w:rsidR="00000000" w:rsidRDefault="00DE16D7">
            <w:pPr>
              <w:pStyle w:val="ISSUE"/>
              <w:framePr w:w="0" w:hRule="auto" w:hSpace="0" w:wrap="auto" w:vAnchor="margin" w:hAnchor="text" w:xAlign="left" w:yAlign="inline"/>
              <w:tabs>
                <w:tab w:val="left" w:pos="9360"/>
              </w:tabs>
              <w:ind w:left="342" w:hanging="342"/>
            </w:pPr>
            <w:r>
              <w:t>Proposed FFY 03 Fed Grant-Fund</w:t>
            </w:r>
            <w:r>
              <w:t>ing, pg. 12</w:t>
            </w:r>
          </w:p>
        </w:tc>
      </w:tr>
      <w:tr w:rsidR="00000000">
        <w:tblPrEx>
          <w:tblCellMar>
            <w:top w:w="0" w:type="dxa"/>
            <w:bottom w:w="0" w:type="dxa"/>
          </w:tblCellMar>
        </w:tblPrEx>
        <w:trPr>
          <w:jc w:val="center"/>
        </w:trPr>
        <w:tc>
          <w:tcPr>
            <w:tcW w:w="1548" w:type="dxa"/>
          </w:tcPr>
          <w:p w:rsidR="00000000" w:rsidRDefault="00DE16D7">
            <w:pPr>
              <w:pStyle w:val="ISSUE"/>
              <w:framePr w:w="0" w:hRule="auto" w:hSpace="0" w:wrap="auto" w:vAnchor="margin" w:hAnchor="text" w:xAlign="left" w:yAlign="inline"/>
              <w:ind w:left="342" w:hanging="342"/>
            </w:pPr>
          </w:p>
        </w:tc>
        <w:tc>
          <w:tcPr>
            <w:tcW w:w="4301" w:type="dxa"/>
          </w:tcPr>
          <w:p w:rsidR="00000000" w:rsidRDefault="00DE16D7">
            <w:pPr>
              <w:pStyle w:val="ISSUE"/>
              <w:framePr w:w="0" w:hRule="auto" w:hSpace="0" w:wrap="auto" w:vAnchor="margin" w:hAnchor="text" w:xAlign="left" w:yAlign="inline"/>
              <w:ind w:left="342" w:hanging="342"/>
            </w:pPr>
            <w:r>
              <w:t>SF 2098 – Computer Theft and Damages, pg. 3</w:t>
            </w:r>
          </w:p>
        </w:tc>
        <w:tc>
          <w:tcPr>
            <w:tcW w:w="3871" w:type="dxa"/>
          </w:tcPr>
          <w:p w:rsidR="00000000" w:rsidRDefault="00DE16D7">
            <w:pPr>
              <w:pStyle w:val="ISSUE"/>
              <w:framePr w:w="0" w:hRule="auto" w:hSpace="0" w:wrap="auto" w:vAnchor="margin" w:hAnchor="text" w:xAlign="left" w:yAlign="inline"/>
              <w:tabs>
                <w:tab w:val="left" w:pos="9360"/>
              </w:tabs>
              <w:ind w:left="342" w:hanging="342"/>
            </w:pPr>
            <w:r>
              <w:t>Caregiver Support Prgm. Fed Funds, pg. 13</w:t>
            </w:r>
          </w:p>
        </w:tc>
      </w:tr>
      <w:tr w:rsidR="00000000">
        <w:tblPrEx>
          <w:tblCellMar>
            <w:top w:w="0" w:type="dxa"/>
            <w:bottom w:w="0" w:type="dxa"/>
          </w:tblCellMar>
        </w:tblPrEx>
        <w:trPr>
          <w:jc w:val="center"/>
        </w:trPr>
        <w:tc>
          <w:tcPr>
            <w:tcW w:w="1548" w:type="dxa"/>
          </w:tcPr>
          <w:p w:rsidR="00000000" w:rsidRDefault="00DE16D7">
            <w:pPr>
              <w:pStyle w:val="ISSUE"/>
              <w:framePr w:w="0" w:hRule="auto" w:hSpace="0" w:wrap="auto" w:vAnchor="margin" w:hAnchor="text" w:xAlign="left" w:yAlign="inline"/>
              <w:ind w:left="342" w:hanging="342"/>
              <w:rPr>
                <w:u w:val="single"/>
              </w:rPr>
            </w:pPr>
          </w:p>
        </w:tc>
        <w:tc>
          <w:tcPr>
            <w:tcW w:w="4301" w:type="dxa"/>
          </w:tcPr>
          <w:p w:rsidR="00000000" w:rsidRDefault="00DE16D7">
            <w:pPr>
              <w:pStyle w:val="ISSUE"/>
              <w:framePr w:w="0" w:hRule="auto" w:hSpace="0" w:wrap="auto" w:vAnchor="margin" w:hAnchor="text" w:xAlign="left" w:yAlign="inline"/>
              <w:ind w:left="342" w:hanging="342"/>
            </w:pPr>
            <w:r>
              <w:t>SF 2100 – Dating Violence, pg. 4</w:t>
            </w:r>
          </w:p>
        </w:tc>
        <w:tc>
          <w:tcPr>
            <w:tcW w:w="3871" w:type="dxa"/>
          </w:tcPr>
          <w:p w:rsidR="00000000" w:rsidRDefault="00DE16D7">
            <w:pPr>
              <w:pStyle w:val="ISSUE"/>
              <w:framePr w:w="0" w:hRule="auto" w:hSpace="0" w:wrap="auto" w:vAnchor="margin" w:hAnchor="text" w:xAlign="left" w:yAlign="inline"/>
              <w:tabs>
                <w:tab w:val="left" w:pos="9360"/>
              </w:tabs>
              <w:ind w:left="342" w:hanging="342"/>
            </w:pPr>
            <w:r>
              <w:t xml:space="preserve">Community Grant Fund Report, pg. 14 </w:t>
            </w:r>
          </w:p>
        </w:tc>
      </w:tr>
      <w:tr w:rsidR="00000000">
        <w:tblPrEx>
          <w:tblCellMar>
            <w:top w:w="0" w:type="dxa"/>
            <w:bottom w:w="0" w:type="dxa"/>
          </w:tblCellMar>
        </w:tblPrEx>
        <w:trPr>
          <w:jc w:val="center"/>
        </w:trPr>
        <w:tc>
          <w:tcPr>
            <w:tcW w:w="1548" w:type="dxa"/>
          </w:tcPr>
          <w:p w:rsidR="00000000" w:rsidRDefault="00DE16D7">
            <w:pPr>
              <w:pStyle w:val="ISSUE"/>
              <w:framePr w:w="0" w:hRule="auto" w:hSpace="0" w:wrap="auto" w:vAnchor="margin" w:hAnchor="text" w:xAlign="left" w:yAlign="inline"/>
              <w:ind w:left="342" w:hanging="342"/>
            </w:pPr>
          </w:p>
        </w:tc>
        <w:tc>
          <w:tcPr>
            <w:tcW w:w="4301" w:type="dxa"/>
          </w:tcPr>
          <w:p w:rsidR="00000000" w:rsidRDefault="00DE16D7">
            <w:pPr>
              <w:pStyle w:val="ISSUE"/>
              <w:framePr w:w="0" w:hRule="auto" w:hSpace="0" w:wrap="auto" w:vAnchor="margin" w:hAnchor="text" w:xAlign="left" w:yAlign="inline"/>
              <w:ind w:left="342" w:hanging="342"/>
            </w:pPr>
            <w:r>
              <w:t>HF 2230 – OWI Third Offenses, pg. 4</w:t>
            </w:r>
          </w:p>
        </w:tc>
        <w:tc>
          <w:tcPr>
            <w:tcW w:w="3871" w:type="dxa"/>
          </w:tcPr>
          <w:p w:rsidR="00000000" w:rsidRDefault="00DE16D7">
            <w:pPr>
              <w:pStyle w:val="ISSUE"/>
              <w:framePr w:w="0" w:hRule="auto" w:hSpace="0" w:wrap="auto" w:vAnchor="margin" w:hAnchor="text" w:xAlign="left" w:yAlign="inline"/>
              <w:tabs>
                <w:tab w:val="left" w:pos="9360"/>
              </w:tabs>
              <w:ind w:left="342" w:hanging="342"/>
            </w:pPr>
            <w:r>
              <w:t>Highway Construction Contracts, pg. 14</w:t>
            </w:r>
          </w:p>
        </w:tc>
      </w:tr>
      <w:tr w:rsidR="00000000">
        <w:tblPrEx>
          <w:tblCellMar>
            <w:top w:w="0" w:type="dxa"/>
            <w:bottom w:w="0" w:type="dxa"/>
          </w:tblCellMar>
        </w:tblPrEx>
        <w:trPr>
          <w:jc w:val="center"/>
        </w:trPr>
        <w:tc>
          <w:tcPr>
            <w:tcW w:w="1548" w:type="dxa"/>
          </w:tcPr>
          <w:p w:rsidR="00000000" w:rsidRDefault="00DE16D7">
            <w:pPr>
              <w:pStyle w:val="ISSUE"/>
              <w:framePr w:w="0" w:hRule="auto" w:hSpace="0" w:wrap="auto" w:vAnchor="margin" w:hAnchor="text" w:xAlign="left" w:yAlign="inline"/>
              <w:ind w:left="342" w:hanging="342"/>
            </w:pPr>
          </w:p>
        </w:tc>
        <w:tc>
          <w:tcPr>
            <w:tcW w:w="4301" w:type="dxa"/>
          </w:tcPr>
          <w:p w:rsidR="00000000" w:rsidRDefault="00DE16D7">
            <w:pPr>
              <w:pStyle w:val="ISSUE"/>
              <w:framePr w:w="0" w:hRule="auto" w:hSpace="0" w:wrap="auto" w:vAnchor="margin" w:hAnchor="text" w:xAlign="left" w:yAlign="inline"/>
              <w:ind w:left="342" w:hanging="342"/>
            </w:pPr>
            <w:r>
              <w:t>HF 22</w:t>
            </w:r>
            <w:r>
              <w:t>01 – DNA Test for Convicted Felons, pg. 6</w:t>
            </w:r>
          </w:p>
        </w:tc>
        <w:tc>
          <w:tcPr>
            <w:tcW w:w="3871" w:type="dxa"/>
          </w:tcPr>
          <w:p w:rsidR="00000000" w:rsidRDefault="00DE16D7">
            <w:pPr>
              <w:pStyle w:val="ISSUE"/>
              <w:framePr w:w="0" w:hRule="auto" w:hSpace="0" w:wrap="auto" w:vAnchor="margin" w:hAnchor="text" w:xAlign="left" w:yAlign="inline"/>
              <w:tabs>
                <w:tab w:val="left" w:pos="9360"/>
              </w:tabs>
              <w:ind w:left="342" w:hanging="342"/>
            </w:pPr>
          </w:p>
        </w:tc>
      </w:tr>
      <w:tr w:rsidR="00000000">
        <w:tblPrEx>
          <w:tblCellMar>
            <w:top w:w="0" w:type="dxa"/>
            <w:bottom w:w="0" w:type="dxa"/>
          </w:tblCellMar>
        </w:tblPrEx>
        <w:trPr>
          <w:jc w:val="center"/>
        </w:trPr>
        <w:tc>
          <w:tcPr>
            <w:tcW w:w="1548" w:type="dxa"/>
          </w:tcPr>
          <w:p w:rsidR="00000000" w:rsidRDefault="00DE16D7">
            <w:pPr>
              <w:pStyle w:val="ISSUE"/>
              <w:framePr w:w="0" w:hRule="auto" w:hSpace="0" w:wrap="auto" w:vAnchor="margin" w:hAnchor="text" w:xAlign="left" w:yAlign="inline"/>
              <w:ind w:left="342" w:hanging="342"/>
            </w:pPr>
          </w:p>
        </w:tc>
        <w:tc>
          <w:tcPr>
            <w:tcW w:w="4301" w:type="dxa"/>
          </w:tcPr>
          <w:p w:rsidR="00000000" w:rsidRDefault="00DE16D7">
            <w:pPr>
              <w:pStyle w:val="ISSUE"/>
              <w:framePr w:w="0" w:hRule="auto" w:hSpace="0" w:wrap="auto" w:vAnchor="margin" w:hAnchor="text" w:xAlign="left" w:yAlign="inline"/>
              <w:ind w:left="342" w:hanging="342"/>
            </w:pPr>
          </w:p>
        </w:tc>
        <w:tc>
          <w:tcPr>
            <w:tcW w:w="3871" w:type="dxa"/>
          </w:tcPr>
          <w:p w:rsidR="00000000" w:rsidRDefault="00DE16D7">
            <w:pPr>
              <w:pStyle w:val="ISSUE"/>
              <w:framePr w:w="0" w:hRule="auto" w:hSpace="0" w:wrap="auto" w:vAnchor="margin" w:hAnchor="text" w:xAlign="left" w:yAlign="inline"/>
              <w:tabs>
                <w:tab w:val="left" w:pos="9360"/>
              </w:tabs>
              <w:ind w:left="342" w:hanging="342"/>
            </w:pPr>
          </w:p>
        </w:tc>
      </w:tr>
    </w:tbl>
    <w:p w:rsidR="00000000" w:rsidRDefault="00DE16D7">
      <w:pPr>
        <w:pStyle w:val="textup"/>
      </w:pPr>
      <w:r>
        <w:rPr>
          <w:b/>
        </w:rPr>
        <w:t>Fund Renovation Plan</w:t>
      </w:r>
      <w:r>
        <w:tab/>
        <w:t>The Hospital intends to use the bonds to fund a portion of an overall renovation plan totaling $725.0 million that will include an advanced cancer clinic.</w:t>
      </w:r>
    </w:p>
    <w:p w:rsidR="00000000" w:rsidRDefault="00DE16D7">
      <w:pPr>
        <w:pStyle w:val="textup"/>
        <w:rPr>
          <w:b/>
        </w:rPr>
      </w:pPr>
    </w:p>
    <w:p w:rsidR="00000000" w:rsidRDefault="00DE16D7">
      <w:pPr>
        <w:pStyle w:val="textup"/>
      </w:pPr>
      <w:r>
        <w:rPr>
          <w:b/>
        </w:rPr>
        <w:lastRenderedPageBreak/>
        <w:t>Fiscal Impact</w:t>
      </w:r>
      <w:r>
        <w:tab/>
        <w:t>There is no fisca</w:t>
      </w:r>
      <w:r>
        <w:t>l impact to the State General Fund.  The University would repay the bonds with patient revenues.</w:t>
      </w:r>
    </w:p>
    <w:p w:rsidR="00000000" w:rsidRDefault="00DE16D7">
      <w:pPr>
        <w:pStyle w:val="textup"/>
      </w:pPr>
      <w:r>
        <w:rPr>
          <w:b/>
        </w:rPr>
        <w:t>NOBA</w:t>
      </w:r>
      <w:r>
        <w:tab/>
        <w:t xml:space="preserve">Copies of the Notes on Bills and Amendments (NOBA) are available from the LFB or on the web site:  </w:t>
      </w:r>
      <w:hyperlink r:id="rId11" w:history="1">
        <w:r>
          <w:rPr>
            <w:rStyle w:val="Hyperlink"/>
          </w:rPr>
          <w:t>http://staffweb.legis.state.ia.us/lfb/</w:t>
        </w:r>
      </w:hyperlink>
      <w:r>
        <w:t>.</w:t>
      </w:r>
    </w:p>
    <w:p w:rsidR="00000000" w:rsidRDefault="00DE16D7">
      <w:pPr>
        <w:pStyle w:val="Contactup"/>
      </w:pPr>
      <w:r>
        <w:t>STAFF CONTACT:  Mary Shipman (Ext. 14617)</w:t>
      </w:r>
    </w:p>
    <w:p w:rsidR="00000000" w:rsidRDefault="00DE16D7">
      <w:pPr>
        <w:pStyle w:val="Blurbtitle"/>
      </w:pPr>
      <w:r>
        <w:t>HF 2075 - Endowment Reimbursement Bill, passes Senate Appropriations Committee</w:t>
      </w:r>
    </w:p>
    <w:p w:rsidR="00000000" w:rsidRDefault="00DE16D7">
      <w:pPr>
        <w:pStyle w:val="textup"/>
      </w:pPr>
      <w:r>
        <w:rPr>
          <w:b/>
        </w:rPr>
        <w:t>HF 2075</w:t>
      </w:r>
      <w:r>
        <w:tab/>
        <w:t>The Senate Appropriations Committee passed HF 2075 (Endowment Reimbursement Bill) that</w:t>
      </w:r>
      <w:r>
        <w:t xml:space="preserve"> establishes a mechanism to reimburse $40.0 million the Endowment for Healthy Iowans beginning in FY 2003.  </w:t>
      </w:r>
    </w:p>
    <w:p w:rsidR="00000000" w:rsidRDefault="00DE16D7">
      <w:pPr>
        <w:pStyle w:val="textup"/>
      </w:pPr>
      <w:r>
        <w:rPr>
          <w:noProof/>
        </w:rPr>
        <w:drawing>
          <wp:anchor distT="0" distB="0" distL="114300" distR="114300" simplePos="0" relativeHeight="251654656" behindDoc="0" locked="0" layoutInCell="0" allowOverlap="1">
            <wp:simplePos x="0" y="0"/>
            <wp:positionH relativeFrom="column">
              <wp:posOffset>-1777365</wp:posOffset>
            </wp:positionH>
            <wp:positionV relativeFrom="paragraph">
              <wp:posOffset>290830</wp:posOffset>
            </wp:positionV>
            <wp:extent cx="571500" cy="57150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71500" cy="571500"/>
                    </a:xfrm>
                    <a:prstGeom prst="rect">
                      <a:avLst/>
                    </a:prstGeom>
                    <a:noFill/>
                  </pic:spPr>
                </pic:pic>
              </a:graphicData>
            </a:graphic>
          </wp:anchor>
        </w:drawing>
      </w:r>
      <w:r>
        <w:rPr>
          <w:b/>
        </w:rPr>
        <w:t>Funds Not Available</w:t>
      </w:r>
      <w:r>
        <w:tab/>
        <w:t>The General Assembly appropriated $40.0 million from the Endowment to fund the Teacher Quality Act in FY 2002.  Senate File 53</w:t>
      </w:r>
      <w:r>
        <w:t xml:space="preserve">1 (FY 2002 Administration and Regulation Appropriations Act) contained language that provided for repayment of the $40.0 million from excess revenues in the Economic Emergency Fund at the end of FY 2001 and FY 2002.  However, due to budget shortfalls, the </w:t>
      </w:r>
      <w:r>
        <w:t>funds will not be repaid by the end of FY 2002.</w:t>
      </w:r>
    </w:p>
    <w:p w:rsidR="00000000" w:rsidRDefault="00DE16D7">
      <w:pPr>
        <w:pStyle w:val="textup"/>
      </w:pPr>
      <w:r>
        <w:rPr>
          <w:b/>
        </w:rPr>
        <w:t>FY 2003 Transfer</w:t>
      </w:r>
      <w:r>
        <w:tab/>
        <w:t xml:space="preserve">Beginning in FY 2003, HF 2075 requires any funds that are in excess of the amount required to maximize the balance of the Economic Emergency Fund be transferred annually to the Endowment for </w:t>
      </w:r>
      <w:r>
        <w:t>Iowa's Health Account until the total amount transferred reaches $40.0 million.</w:t>
      </w:r>
    </w:p>
    <w:p w:rsidR="00000000" w:rsidRDefault="00DE16D7">
      <w:pPr>
        <w:pStyle w:val="Contactup"/>
      </w:pPr>
      <w:r>
        <w:t>STAFF CONTACT:  David Reynolds (Ext. 16934)</w:t>
      </w:r>
    </w:p>
    <w:p w:rsidR="00000000" w:rsidRDefault="00DE16D7">
      <w:pPr>
        <w:pStyle w:val="Blurbtitle"/>
      </w:pPr>
      <w:bookmarkStart w:id="2" w:name="FU2BALA"/>
      <w:r>
        <w:t>SF 2032 - Crime Victim Compensation, Passes the Senate</w:t>
      </w:r>
      <w:bookmarkEnd w:id="2"/>
    </w:p>
    <w:p w:rsidR="00000000" w:rsidRDefault="00DE16D7">
      <w:pPr>
        <w:pStyle w:val="textup"/>
      </w:pPr>
      <w:r>
        <w:rPr>
          <w:b/>
        </w:rPr>
        <w:t xml:space="preserve">SF 2032 </w:t>
      </w:r>
      <w:r>
        <w:tab/>
        <w:t>The Senate passed SF 2032, which provides new benefits and increases</w:t>
      </w:r>
      <w:r>
        <w:t xml:space="preserve"> certain current benefits for crime victims, to be paid by the Crime Victim Compensation Fund administered by the Department of Justice.</w:t>
      </w:r>
    </w:p>
    <w:p w:rsidR="00000000" w:rsidRDefault="00DE16D7">
      <w:pPr>
        <w:pStyle w:val="textup"/>
      </w:pPr>
      <w:r>
        <w:rPr>
          <w:b/>
        </w:rPr>
        <w:t>FY 2002 Est. Revenues</w:t>
      </w:r>
      <w:r>
        <w:tab/>
        <w:t>FY 2002 estimated revenues for the Fund total $10.3 million from the following sources:</w:t>
      </w:r>
    </w:p>
    <w:p w:rsidR="00000000" w:rsidRDefault="00DE16D7">
      <w:pPr>
        <w:framePr w:w="511" w:h="1003" w:hSpace="180" w:wrap="around" w:vAnchor="text" w:hAnchor="page" w:x="1346" w:y="103"/>
        <w:pBdr>
          <w:top w:val="single" w:sz="12" w:space="5" w:color="auto" w:shadow="1"/>
          <w:left w:val="single" w:sz="12" w:space="5" w:color="auto" w:shadow="1"/>
          <w:bottom w:val="single" w:sz="12" w:space="5" w:color="auto" w:shadow="1"/>
          <w:right w:val="single" w:sz="12" w:space="5" w:color="auto" w:shadow="1"/>
        </w:pBdr>
      </w:pPr>
      <w:r>
        <w:object w:dxaOrig="497" w:dyaOrig="616">
          <v:shape id="_x0000_i1048" type="#_x0000_t75" style="width:24.55pt;height:30.85pt" o:ole="">
            <v:imagedata r:id="rId13" o:title=""/>
          </v:shape>
          <o:OLEObject Type="Embed" ProgID="Word.Document.8" ShapeID="_x0000_i1048" DrawAspect="Content" ObjectID="_1315221954" r:id="rId14"/>
        </w:object>
      </w:r>
    </w:p>
    <w:p w:rsidR="00000000" w:rsidRDefault="00DE16D7">
      <w:pPr>
        <w:pStyle w:val="Bulletup"/>
      </w:pPr>
      <w:r>
        <w:t>$931,000 from the federal Victim of Crime Act funds.</w:t>
      </w:r>
    </w:p>
    <w:p w:rsidR="00000000" w:rsidRDefault="00DE16D7">
      <w:pPr>
        <w:pStyle w:val="Bulletup"/>
      </w:pPr>
      <w:r>
        <w:t>$4.7 million from criminal surcharges and fines.</w:t>
      </w:r>
    </w:p>
    <w:p w:rsidR="00000000" w:rsidRDefault="00DE16D7">
      <w:pPr>
        <w:pStyle w:val="Bulletup"/>
      </w:pPr>
      <w:r>
        <w:t>$300,000 from donations, inmate wages, and recovery from insurance companies.</w:t>
      </w:r>
    </w:p>
    <w:p w:rsidR="00000000" w:rsidRDefault="00DE16D7">
      <w:pPr>
        <w:pStyle w:val="Bulletup"/>
      </w:pPr>
      <w:r>
        <w:t>$400.000 from restitution.</w:t>
      </w:r>
    </w:p>
    <w:p w:rsidR="00000000" w:rsidRDefault="00DE16D7">
      <w:pPr>
        <w:pStyle w:val="Bulletup"/>
      </w:pPr>
      <w:r>
        <w:t>$3.9 million carried forward f</w:t>
      </w:r>
      <w:r>
        <w:t>rom FY 2001.</w:t>
      </w:r>
    </w:p>
    <w:p w:rsidR="00000000" w:rsidRDefault="00DE16D7">
      <w:pPr>
        <w:pStyle w:val="textup"/>
      </w:pPr>
      <w:r>
        <w:rPr>
          <w:b/>
        </w:rPr>
        <w:t>Estimated Expenditures</w:t>
      </w:r>
      <w:r>
        <w:tab/>
        <w:t>FY 2002 estimated expenditures from the Fund total $6.8 million as follows:</w:t>
      </w:r>
    </w:p>
    <w:p w:rsidR="00000000" w:rsidRDefault="00DE16D7">
      <w:pPr>
        <w:pStyle w:val="Bulletup"/>
      </w:pPr>
      <w:r>
        <w:lastRenderedPageBreak/>
        <w:t>$4.0 million in claims from eligible victims.</w:t>
      </w:r>
    </w:p>
    <w:p w:rsidR="00000000" w:rsidRDefault="00DE16D7">
      <w:pPr>
        <w:pStyle w:val="Bulletup"/>
      </w:pPr>
      <w:r>
        <w:t>$694,000 for victim services grants.</w:t>
      </w:r>
    </w:p>
    <w:p w:rsidR="00000000" w:rsidRDefault="00DE16D7">
      <w:pPr>
        <w:pStyle w:val="Bulletup"/>
      </w:pPr>
      <w:r>
        <w:t>$1.4 million in administrative costs.</w:t>
      </w:r>
    </w:p>
    <w:p w:rsidR="00000000" w:rsidRDefault="00DE16D7">
      <w:pPr>
        <w:pStyle w:val="Bulletup"/>
      </w:pPr>
      <w:r>
        <w:t>$485,000 for sexual abu</w:t>
      </w:r>
      <w:r>
        <w:t>se examinations.</w:t>
      </w:r>
    </w:p>
    <w:p w:rsidR="00000000" w:rsidRDefault="00DE16D7">
      <w:pPr>
        <w:pStyle w:val="Bulletup"/>
      </w:pPr>
      <w:r>
        <w:t>$100,000 for victim advocate training.</w:t>
      </w:r>
    </w:p>
    <w:p w:rsidR="00000000" w:rsidRDefault="00DE16D7">
      <w:pPr>
        <w:pStyle w:val="Bulletup"/>
      </w:pPr>
      <w:r>
        <w:t>$100,000 for collection expenses.</w:t>
      </w:r>
    </w:p>
    <w:p w:rsidR="00000000" w:rsidRDefault="00DE16D7">
      <w:pPr>
        <w:pStyle w:val="textup"/>
      </w:pPr>
      <w:r>
        <w:rPr>
          <w:b/>
        </w:rPr>
        <w:t>Estimated Ending Balance</w:t>
      </w:r>
      <w:r>
        <w:tab/>
        <w:t xml:space="preserve">All expenses are codified in Chapters 236 and 915, </w:t>
      </w:r>
      <w:r>
        <w:rPr>
          <w:u w:val="single"/>
        </w:rPr>
        <w:t>Code of Iowa</w:t>
      </w:r>
      <w:r>
        <w:t>.  Based on actuarial studies conducted in other states, at least $2.7 million</w:t>
      </w:r>
      <w:r>
        <w:t xml:space="preserve"> is required to be held in reserve so the Fund remains actuarially sound.  Under current law, the estimated ending balance for FY 2003 is approximately $3.4 million</w:t>
      </w:r>
    </w:p>
    <w:p w:rsidR="00000000" w:rsidRDefault="00DE16D7">
      <w:pPr>
        <w:framePr w:w="501" w:h="1159" w:hSpace="180" w:wrap="around" w:vAnchor="text" w:hAnchor="page" w:x="1526" w:y="57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1785" cy="4921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311785" cy="492125"/>
                    </a:xfrm>
                    <a:prstGeom prst="rect">
                      <a:avLst/>
                    </a:prstGeom>
                    <a:noFill/>
                    <a:ln w="9525">
                      <a:noFill/>
                      <a:miter lim="800000"/>
                      <a:headEnd/>
                      <a:tailEnd/>
                    </a:ln>
                  </pic:spPr>
                </pic:pic>
              </a:graphicData>
            </a:graphic>
          </wp:inline>
        </w:drawing>
      </w:r>
    </w:p>
    <w:p w:rsidR="00000000" w:rsidRDefault="00DE16D7">
      <w:pPr>
        <w:pStyle w:val="textup"/>
      </w:pPr>
      <w:r>
        <w:rPr>
          <w:b/>
        </w:rPr>
        <w:t>Fiscal Impact</w:t>
      </w:r>
      <w:r>
        <w:tab/>
        <w:t>Senate File 2032 will result in additional costs to the Crime Victim Compen</w:t>
      </w:r>
      <w:r>
        <w:t xml:space="preserve">sation Fund of approximately $690,000 annually.  In FY 2003, the U.S. Department of Justice will reimburse the Fund 60.0% of the costs for direct payment to victims.  Therefore, $414,000 will be reimbursed by the U.S. Department of Justice, while $276,000 </w:t>
      </w:r>
      <w:r>
        <w:t>will be paid directly from the Victim Compensation Fund.</w:t>
      </w:r>
    </w:p>
    <w:p w:rsidR="00000000" w:rsidRDefault="00DE16D7">
      <w:pPr>
        <w:pStyle w:val="Contactup"/>
      </w:pPr>
      <w:r>
        <w:t>STAFF CONTACT:  Beth Lenstra (Ext. 16301)</w:t>
      </w:r>
    </w:p>
    <w:p w:rsidR="00000000" w:rsidRDefault="00DE16D7">
      <w:pPr>
        <w:pStyle w:val="Blurbtitle"/>
      </w:pPr>
      <w:bookmarkStart w:id="3" w:name="FU2BALB"/>
      <w:r>
        <w:t>SF 2098 - Computer Theft and Damages, passes the Senate</w:t>
      </w:r>
      <w:bookmarkEnd w:id="3"/>
    </w:p>
    <w:p w:rsidR="00000000" w:rsidRDefault="00DE16D7">
      <w:pPr>
        <w:framePr w:w="787" w:h="949" w:hSpace="180" w:wrap="around" w:vAnchor="text" w:hAnchor="page" w:x="1346" w:y="785"/>
        <w:pBdr>
          <w:top w:val="single" w:sz="12" w:space="5" w:color="auto" w:shadow="1"/>
          <w:left w:val="single" w:sz="12" w:space="5" w:color="auto" w:shadow="1"/>
          <w:bottom w:val="single" w:sz="12" w:space="5" w:color="auto" w:shadow="1"/>
          <w:right w:val="single" w:sz="12" w:space="5" w:color="auto" w:shadow="1"/>
        </w:pBdr>
      </w:pPr>
      <w:r>
        <w:object w:dxaOrig="842" w:dyaOrig="763">
          <v:shape id="_x0000_i1028" type="#_x0000_t75" style="width:39.55pt;height:35.6pt" o:ole="">
            <v:imagedata r:id="rId16" o:title=""/>
          </v:shape>
          <o:OLEObject Type="Embed" ProgID="Word.Document.8" ShapeID="_x0000_i1028" DrawAspect="Content" ObjectID="_1315221955" r:id="rId17"/>
        </w:object>
      </w:r>
    </w:p>
    <w:p w:rsidR="00000000" w:rsidRDefault="00DE16D7">
      <w:pPr>
        <w:pStyle w:val="textup"/>
      </w:pPr>
      <w:r>
        <w:rPr>
          <w:b/>
        </w:rPr>
        <w:t>SF 2098</w:t>
      </w:r>
      <w:r>
        <w:tab/>
        <w:t>The Senate passed SF 2098, which amends the definition of “crimin</w:t>
      </w:r>
      <w:r>
        <w:t xml:space="preserve">al mischief” to include all classes of property.  The Bill amends Section 716.6B, </w:t>
      </w:r>
      <w:r>
        <w:rPr>
          <w:u w:val="single"/>
        </w:rPr>
        <w:t>Code of Iowa</w:t>
      </w:r>
      <w:r>
        <w:t>, to enhance penalties for the various acts involved in authorized computer access.  A person commits an aggravated misdemeanor for unauthorized access to data th</w:t>
      </w:r>
      <w:r>
        <w:t>at contains certain confidential information, operational or support data of a public utility, or trade secrets.  A person commits a serious misdemeanor if during the commission of unauthorized computer access, data is copied, altered, or deleted.  A perso</w:t>
      </w:r>
      <w:r>
        <w:t>n commits a simple misdemeanor for any other unauthorized computer access.  Current law classifies all unauthorized computer access as a simple misdemeanor.  Senate File 2098 also permits civil proceedings for unauthorized computer access.</w:t>
      </w:r>
    </w:p>
    <w:p w:rsidR="00000000" w:rsidRDefault="00DE16D7">
      <w:pPr>
        <w:pStyle w:val="textup"/>
      </w:pPr>
      <w:r>
        <w:rPr>
          <w:b/>
        </w:rPr>
        <w:t>Correctional Imp</w:t>
      </w:r>
      <w:r>
        <w:rPr>
          <w:b/>
        </w:rPr>
        <w:t>act</w:t>
      </w:r>
      <w:r>
        <w:tab/>
        <w:t xml:space="preserve">There have been no convictions under Section 716.6B, </w:t>
      </w:r>
      <w:r>
        <w:rPr>
          <w:u w:val="single"/>
        </w:rPr>
        <w:t>Code of Iowa</w:t>
      </w:r>
      <w:r>
        <w:t>, in recent years.  There were 4,316 people convicted of various levels of criminal mischief during FY 2001.  The majority of the convictions were for serious misdemeanors.  There is no a</w:t>
      </w:r>
      <w:r>
        <w:t xml:space="preserve">vailable data with which to estimate the correctional impact of these enhanced penalties and the expanded definition of criminal mischief.  However, the enhanced penalties and increased emphasis placed on cyber crime by local law enforcement may result in </w:t>
      </w:r>
      <w:r>
        <w:t xml:space="preserve">increased convictions.  There will be a correctional impact to the extent that convictions under Section 716.6B, </w:t>
      </w:r>
      <w:r>
        <w:rPr>
          <w:u w:val="single"/>
        </w:rPr>
        <w:t>Code of Iowa</w:t>
      </w:r>
      <w:r>
        <w:t>, occur.</w:t>
      </w:r>
    </w:p>
    <w:p w:rsidR="00000000" w:rsidRDefault="00DE16D7">
      <w:pPr>
        <w:framePr w:w="501" w:h="1159" w:hSpace="180" w:wrap="around" w:vAnchor="text" w:hAnchor="page" w:x="1346" w:y="438"/>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21310" cy="4521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321310" cy="452120"/>
                    </a:xfrm>
                    <a:prstGeom prst="rect">
                      <a:avLst/>
                    </a:prstGeom>
                    <a:noFill/>
                    <a:ln w="9525">
                      <a:noFill/>
                      <a:miter lim="800000"/>
                      <a:headEnd/>
                      <a:tailEnd/>
                    </a:ln>
                  </pic:spPr>
                </pic:pic>
              </a:graphicData>
            </a:graphic>
          </wp:inline>
        </w:drawing>
      </w:r>
    </w:p>
    <w:p w:rsidR="00000000" w:rsidRDefault="00DE16D7">
      <w:pPr>
        <w:pStyle w:val="textup"/>
      </w:pPr>
      <w:r>
        <w:rPr>
          <w:b/>
        </w:rPr>
        <w:t>Fiscal Impact</w:t>
      </w:r>
      <w:r>
        <w:tab/>
        <w:t>The fiscal impact of SF 2098 cannot be determined due to insufficient information.  However, the fiscal im</w:t>
      </w:r>
      <w:r>
        <w:t>pact of:</w:t>
      </w:r>
    </w:p>
    <w:p w:rsidR="00000000" w:rsidRDefault="00DE16D7">
      <w:pPr>
        <w:pStyle w:val="Bulletup"/>
      </w:pPr>
      <w:r>
        <w:t>One aggravated misdemeanor conviction ranges from $1,600 to $6,000, depending on whether a jury trial occurs and a conviction results in a prison term.</w:t>
      </w:r>
    </w:p>
    <w:p w:rsidR="00000000" w:rsidRDefault="00DE16D7">
      <w:pPr>
        <w:pStyle w:val="Bulletup"/>
      </w:pPr>
      <w:r>
        <w:t>One serious misdemeanor conviction ranges from $1,100 to $5,000, depending on whether a jury tr</w:t>
      </w:r>
      <w:r>
        <w:t>ial occurs and a conviction results in a prison term.</w:t>
      </w:r>
    </w:p>
    <w:p w:rsidR="00000000" w:rsidRDefault="00DE16D7">
      <w:pPr>
        <w:pStyle w:val="Bulletup"/>
      </w:pPr>
      <w:r>
        <w:t>One simple misdemeanor conviction is $200.</w:t>
      </w:r>
    </w:p>
    <w:p w:rsidR="00000000" w:rsidRDefault="00DE16D7">
      <w:pPr>
        <w:framePr w:hSpace="187" w:wrap="notBeside" w:vAnchor="text" w:hAnchor="page" w:x="1165" w:y="616"/>
      </w:pPr>
      <w:r>
        <w:object w:dxaOrig="3586" w:dyaOrig="2506">
          <v:shape id="_x0000_i1030" type="#_x0000_t75" style="width:53.8pt;height:38pt" o:ole="">
            <v:imagedata r:id="rId19" o:title=""/>
          </v:shape>
          <o:OLEObject Type="Embed" ProgID="Word.Picture.8" ShapeID="_x0000_i1030" DrawAspect="Content" ObjectID="_1315221956" r:id="rId20"/>
        </w:object>
      </w:r>
    </w:p>
    <w:p w:rsidR="00000000" w:rsidRDefault="00DE16D7">
      <w:pPr>
        <w:pStyle w:val="textup"/>
      </w:pPr>
      <w:r>
        <w:rPr>
          <w:b/>
        </w:rPr>
        <w:t>Impact on Counties</w:t>
      </w:r>
      <w:r>
        <w:tab/>
        <w:t xml:space="preserve">These figures include costs for indigent defense, Judicial Branch, Community-Based Corrections supervision, and </w:t>
      </w:r>
      <w:r>
        <w:t>prisons, if applicable.  While the fiscal impact on counties cannot be estimated, it does not appear to be significant.</w:t>
      </w:r>
    </w:p>
    <w:p w:rsidR="00000000" w:rsidRDefault="00DE16D7">
      <w:pPr>
        <w:pStyle w:val="Contactup"/>
      </w:pPr>
      <w:r>
        <w:t>STAFF CONTACT:  Beth Lenstra (Ext. 16301)</w:t>
      </w:r>
    </w:p>
    <w:p w:rsidR="00000000" w:rsidRDefault="00DE16D7">
      <w:pPr>
        <w:pStyle w:val="Blurbtitle"/>
      </w:pPr>
      <w:bookmarkStart w:id="4" w:name="FU2BALC"/>
      <w:r>
        <w:t>SF 2100 - Dating Violence, Passes the House</w:t>
      </w:r>
      <w:bookmarkEnd w:id="4"/>
    </w:p>
    <w:p w:rsidR="00000000" w:rsidRDefault="00DE16D7">
      <w:pPr>
        <w:framePr w:w="797" w:h="865" w:hSpace="180" w:wrap="around" w:vAnchor="text" w:hAnchor="page" w:x="1526" w:y="69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2285" cy="492125"/>
            <wp:effectExtent l="19050" t="0" r="0" b="0"/>
            <wp:docPr id="7" name="Picture 7"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lipart\Regional\Govt\LAWEN012.WMF"/>
                    <pic:cNvPicPr>
                      <a:picLocks noChangeAspect="1" noChangeArrowheads="1"/>
                    </pic:cNvPicPr>
                  </pic:nvPicPr>
                  <pic:blipFill>
                    <a:blip r:embed="rId21"/>
                    <a:srcRect/>
                    <a:stretch>
                      <a:fillRect/>
                    </a:stretch>
                  </pic:blipFill>
                  <pic:spPr bwMode="auto">
                    <a:xfrm>
                      <a:off x="0" y="0"/>
                      <a:ext cx="502285" cy="492125"/>
                    </a:xfrm>
                    <a:prstGeom prst="rect">
                      <a:avLst/>
                    </a:prstGeom>
                    <a:noFill/>
                    <a:ln w="9525">
                      <a:noFill/>
                      <a:miter lim="800000"/>
                      <a:headEnd/>
                      <a:tailEnd/>
                    </a:ln>
                  </pic:spPr>
                </pic:pic>
              </a:graphicData>
            </a:graphic>
          </wp:inline>
        </w:drawing>
      </w:r>
    </w:p>
    <w:p w:rsidR="00000000" w:rsidRDefault="00DE16D7">
      <w:pPr>
        <w:pStyle w:val="textup"/>
      </w:pPr>
      <w:r>
        <w:rPr>
          <w:b/>
        </w:rPr>
        <w:t>SF 2100</w:t>
      </w:r>
      <w:r>
        <w:tab/>
        <w:t>The House passed SF 2100, which provides</w:t>
      </w:r>
      <w:r>
        <w:t xml:space="preserve"> protection from domestic abuse for persons in an intimate relationship or have been in an intimate relationship and have had contact within the past year of the assault.  The intimate relationship need not include sexual involvement.  The Bill exempts int</w:t>
      </w:r>
      <w:r>
        <w:t>imate relationship domestic abuse assault from enhanced penalties for domestic abuse, but victims are eligible for no-contact orders.  The court may order a person convicted of intimate relationship domestic abuse assault to participate in a batterer’s tre</w:t>
      </w:r>
      <w:r>
        <w:t>atment program.</w:t>
      </w:r>
    </w:p>
    <w:p w:rsidR="00000000" w:rsidRDefault="00DE16D7">
      <w:pPr>
        <w:pStyle w:val="textup"/>
      </w:pPr>
      <w:r>
        <w:rPr>
          <w:b/>
        </w:rPr>
        <w:t>Jail Admissions</w:t>
      </w:r>
      <w:r>
        <w:tab/>
        <w:t>Senate File 2100 is expected to increase jail admissions by 16 during FY 2003, and by 33 each year thereafter.  Each person admitted to a county jail will serve 10 days.</w:t>
      </w:r>
    </w:p>
    <w:p w:rsidR="00000000" w:rsidRDefault="00DE16D7">
      <w:pPr>
        <w:pStyle w:val="textup"/>
      </w:pPr>
      <w:r>
        <w:rPr>
          <w:b/>
        </w:rPr>
        <w:t>Justice System Costs</w:t>
      </w:r>
      <w:r>
        <w:tab/>
        <w:t>Total State Criminal Justice Syst</w:t>
      </w:r>
      <w:r>
        <w:t>em costs (Indigent Defense and Judicial Branch) are estimated to be $6,000 for FY 2003 and $12,000 for FY 2004.</w:t>
      </w:r>
    </w:p>
    <w:p w:rsidR="00000000" w:rsidRDefault="00DE16D7">
      <w:pPr>
        <w:pStyle w:val="textup"/>
      </w:pPr>
      <w:r>
        <w:rPr>
          <w:b/>
        </w:rPr>
        <w:t>County Jail Costs</w:t>
      </w:r>
      <w:r>
        <w:tab/>
        <w:t>Total statewide costs for county jails are estimated to range from $2,400 to $4,000 during FY 2003.  For FY 2004, costs are es</w:t>
      </w:r>
      <w:r>
        <w:t>timated to range from $5,000 to $8,200.</w:t>
      </w:r>
    </w:p>
    <w:p w:rsidR="00000000" w:rsidRDefault="00DE16D7">
      <w:pPr>
        <w:pStyle w:val="Contactup"/>
      </w:pPr>
      <w:r>
        <w:t>STAFF CONTACT:  Beth Lenstra (Ext. 16301)</w:t>
      </w:r>
    </w:p>
    <w:p w:rsidR="00000000" w:rsidRDefault="00DE16D7">
      <w:pPr>
        <w:pStyle w:val="Blurbtitle"/>
      </w:pPr>
      <w:bookmarkStart w:id="5" w:name="FU2BALD"/>
      <w:r>
        <w:t>HF 2230 - Operating While Intoxicated Third Offenses, Passes the House</w:t>
      </w:r>
      <w:bookmarkEnd w:id="5"/>
    </w:p>
    <w:p w:rsidR="00000000" w:rsidRDefault="00DE16D7">
      <w:pPr>
        <w:pStyle w:val="textup"/>
      </w:pPr>
      <w:r>
        <w:rPr>
          <w:b/>
          <w:noProof/>
        </w:rPr>
        <w:pict>
          <v:shape id="_x0000_s1029" type="#_x0000_t202" style="position:absolute;margin-left:-139.95pt;margin-top:27.9pt;width:52.55pt;height:45.35pt;z-index:251656704">
            <v:textbox>
              <w:txbxContent>
                <w:p w:rsidR="00000000" w:rsidRDefault="00DE16D7">
                  <w:r>
                    <w:rPr>
                      <w:b/>
                      <w:noProof/>
                    </w:rPr>
                    <w:drawing>
                      <wp:inline distT="0" distB="0" distL="0" distR="0">
                        <wp:extent cx="472440" cy="472440"/>
                        <wp:effectExtent l="19050" t="0" r="3810" b="0"/>
                        <wp:docPr id="8" name="Picture 8" descr="DISK2\PFiles\MSOffice\Clipart\standard\stddir1\bd0002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K2\PFiles\MSOffice\Clipart\standard\stddir1\bd00025_.wmf"/>
                                <pic:cNvPicPr>
                                  <a:picLocks noChangeAspect="1" noChangeArrowheads="1"/>
                                </pic:cNvPicPr>
                              </pic:nvPicPr>
                              <pic:blipFill>
                                <a:blip r:embed="rId22"/>
                                <a:srcRect/>
                                <a:stretch>
                                  <a:fillRect/>
                                </a:stretch>
                              </pic:blipFill>
                              <pic:spPr bwMode="auto">
                                <a:xfrm>
                                  <a:off x="0" y="0"/>
                                  <a:ext cx="472440" cy="472440"/>
                                </a:xfrm>
                                <a:prstGeom prst="rect">
                                  <a:avLst/>
                                </a:prstGeom>
                                <a:noFill/>
                                <a:ln w="9525">
                                  <a:noFill/>
                                  <a:miter lim="800000"/>
                                  <a:headEnd/>
                                  <a:tailEnd/>
                                </a:ln>
                              </pic:spPr>
                            </pic:pic>
                          </a:graphicData>
                        </a:graphic>
                      </wp:inline>
                    </w:drawing>
                  </w:r>
                </w:p>
              </w:txbxContent>
            </v:textbox>
          </v:shape>
        </w:pict>
      </w:r>
      <w:r>
        <w:rPr>
          <w:b/>
        </w:rPr>
        <w:t>HF 2230</w:t>
      </w:r>
      <w:r>
        <w:tab/>
        <w:t>The House passed HF 2230, which requires all offenders convicted of Operating While Intoxicate</w:t>
      </w:r>
      <w:r>
        <w:t xml:space="preserve">d (OWI) third and subsequent offenses to be incarcerated for at least 30 days, either in county jails or the State prison system.  The Bill also requires all offenders convicted of OWI third and subsequent offenses whose probation or parole is revoked, to </w:t>
      </w:r>
      <w:r>
        <w:t xml:space="preserve">be revoked </w:t>
      </w:r>
      <w:r>
        <w:lastRenderedPageBreak/>
        <w:t>to State prisons rather than county jails.  The Supreme Court has held there is no mandatory minimum term for OWI third and subsequent offenders that are sentenced to the Department of Corrections (DOC).  This ruling places Iowa in noncompliance</w:t>
      </w:r>
      <w:r>
        <w:t xml:space="preserve"> with federal law regarding highway funds.  During FY 2002, $3.37 million of federal highway funds were transferred from the Department of Transportation (DOT) to the Department of Public Safety (DPS) for alcohol counter-measures, due to Iowa’s noncomplian</w:t>
      </w:r>
      <w:r>
        <w:t>ce with federal regulations.  Approximately $6.74 million will be transferred from the DOT to the DPS during FY 2003, if Iowa’s law regarding mandatory minimum confinement terms for OWI third and subsequent offenders is not amended.  House File 2230 amends</w:t>
      </w:r>
      <w:r>
        <w:t xml:space="preserve"> Iowa law to comply with these federal regulations.  The Bill also amends sentencing options for OWI third or subsequent offenses.</w:t>
      </w:r>
    </w:p>
    <w:p w:rsidR="00000000" w:rsidRDefault="00DE16D7">
      <w:pPr>
        <w:pStyle w:val="textup"/>
      </w:pPr>
      <w:r>
        <w:rPr>
          <w:b/>
        </w:rPr>
        <w:t>Correctional Impact</w:t>
      </w:r>
      <w:r>
        <w:tab/>
        <w:t>There will be an estimated eight offenders admitted to prison during FY 2003.  The prison population will</w:t>
      </w:r>
      <w:r>
        <w:t xml:space="preserve"> only increase by three inmates since the offenders serve a short prison term (60 days on average).  An estimated 17 offenders will be admitted to prison during FY 2004 and each year thereafter.</w:t>
      </w:r>
    </w:p>
    <w:p w:rsidR="00000000" w:rsidRDefault="00DE16D7">
      <w:pPr>
        <w:pStyle w:val="textup"/>
      </w:pPr>
      <w:r>
        <w:rPr>
          <w:b/>
        </w:rPr>
        <w:t>CBC Admissions</w:t>
      </w:r>
      <w:r>
        <w:tab/>
        <w:t>Admissions to Community-Based Corrections (CBC</w:t>
      </w:r>
      <w:r>
        <w:t>) facilities will increase by eight during FY 2003.  Future admissions will increase by 17 offenders annually.  This will increase the number of offenders on waiting lists, which will increase the need for additional OWI treatment beds.</w:t>
      </w:r>
    </w:p>
    <w:p w:rsidR="00000000" w:rsidRDefault="00DE16D7">
      <w:pPr>
        <w:pStyle w:val="textup"/>
      </w:pPr>
      <w:r>
        <w:rPr>
          <w:b/>
        </w:rPr>
        <w:t>CBC Probation Super</w:t>
      </w:r>
      <w:r>
        <w:rPr>
          <w:b/>
        </w:rPr>
        <w:t>v.</w:t>
      </w:r>
      <w:r>
        <w:tab/>
        <w:t>It is estimated admissions to CBC probation supervision will increase by 20 during FY 2003.  Future admissions will increase by 41 offenders annually thereafter.</w:t>
      </w:r>
    </w:p>
    <w:p w:rsidR="00000000" w:rsidRDefault="00DE16D7">
      <w:pPr>
        <w:pStyle w:val="textup"/>
      </w:pPr>
      <w:r>
        <w:rPr>
          <w:b/>
        </w:rPr>
        <w:t>Compliance with Federal Law</w:t>
      </w:r>
      <w:r>
        <w:tab/>
        <w:t>House File 2230 will bring Iowa into compliance with federal la</w:t>
      </w:r>
      <w:r>
        <w:t>w so that approximately $6.74 million in federal highway funds will remain with the DOT during FY 2003 and will not be transferred to the DPS to be used for alcohol counter-measures.</w:t>
      </w:r>
    </w:p>
    <w:p w:rsidR="00000000" w:rsidRDefault="00DE16D7">
      <w:pPr>
        <w:framePr w:w="501" w:h="1159" w:hSpace="180" w:wrap="around" w:vAnchor="text" w:hAnchor="page" w:x="1526" w:y="6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1785" cy="4921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11785" cy="492125"/>
                    </a:xfrm>
                    <a:prstGeom prst="rect">
                      <a:avLst/>
                    </a:prstGeom>
                    <a:noFill/>
                    <a:ln w="9525">
                      <a:noFill/>
                      <a:miter lim="800000"/>
                      <a:headEnd/>
                      <a:tailEnd/>
                    </a:ln>
                  </pic:spPr>
                </pic:pic>
              </a:graphicData>
            </a:graphic>
          </wp:inline>
        </w:drawing>
      </w:r>
    </w:p>
    <w:p w:rsidR="00000000" w:rsidRDefault="00DE16D7">
      <w:pPr>
        <w:pStyle w:val="textup"/>
      </w:pPr>
      <w:r>
        <w:rPr>
          <w:b/>
        </w:rPr>
        <w:t>State Cost Estimate</w:t>
      </w:r>
      <w:r>
        <w:tab/>
        <w:t>Total State costs are estimated to be $77,000 in FY</w:t>
      </w:r>
      <w:r>
        <w:t xml:space="preserve"> 2003 and $138,000 during FY 2004:</w:t>
      </w:r>
    </w:p>
    <w:p w:rsidR="00000000" w:rsidRDefault="00DE16D7">
      <w:pPr>
        <w:pStyle w:val="Bulletup"/>
      </w:pPr>
      <w:r>
        <w:t>State prison costs are estimated to increase by $18,000 during FY 2003, and each year thereafter.</w:t>
      </w:r>
    </w:p>
    <w:p w:rsidR="00000000" w:rsidRDefault="00DE16D7">
      <w:pPr>
        <w:pStyle w:val="Bulletup"/>
      </w:pPr>
      <w:r>
        <w:t>CBC facility costs for the OWI treatment program are estimated to increase by $22,000 during FY 2003, and by $46,000 during</w:t>
      </w:r>
      <w:r>
        <w:t xml:space="preserve"> FY 2004.  These estimates do not include costs for construction of additional CBC beds, if required.</w:t>
      </w:r>
    </w:p>
    <w:p w:rsidR="00000000" w:rsidRDefault="00DE16D7">
      <w:pPr>
        <w:pStyle w:val="Bulletup"/>
      </w:pPr>
      <w:r>
        <w:t>CBC supervision costs are estimated to increase by $12,000 during FY 2003 and $24,000 during FY 2004.</w:t>
      </w:r>
    </w:p>
    <w:p w:rsidR="00000000" w:rsidRDefault="00DE16D7">
      <w:pPr>
        <w:pStyle w:val="Bulletup"/>
      </w:pPr>
      <w:r>
        <w:t>Substance abuse treatment costs are estimated to inc</w:t>
      </w:r>
      <w:r>
        <w:t>rease by $25,000 during FY 2003 and $50,000 during FY 2004.</w:t>
      </w:r>
    </w:p>
    <w:p w:rsidR="00000000" w:rsidRDefault="00DE16D7">
      <w:pPr>
        <w:pStyle w:val="textup"/>
      </w:pPr>
      <w:r>
        <w:rPr>
          <w:b/>
        </w:rPr>
        <w:lastRenderedPageBreak/>
        <w:t>Local Govt. Costs</w:t>
      </w:r>
      <w:r>
        <w:tab/>
        <w:t>Local government costs for county jail operations are estimated to increase by a range of $60,000 to $99,000 during FY 2003.  Costs for FY 2004 are estimated to increase by a ran</w:t>
      </w:r>
      <w:r>
        <w:t>ge of $119,000 to $199,000.</w:t>
      </w:r>
    </w:p>
    <w:p w:rsidR="00000000" w:rsidRDefault="00DE16D7">
      <w:pPr>
        <w:pStyle w:val="Contactup"/>
      </w:pPr>
      <w:r>
        <w:t>STAFF CONTACT:  Beth Lenstra (Ext. 16301)</w:t>
      </w:r>
    </w:p>
    <w:p w:rsidR="00000000" w:rsidRDefault="00DE16D7">
      <w:pPr>
        <w:pStyle w:val="Blurbtitle"/>
      </w:pPr>
      <w:bookmarkStart w:id="6" w:name="FU2JDDA"/>
      <w:r>
        <w:t xml:space="preserve">HF 2201 - DNA Test for Convicted Felons, passes </w:t>
      </w:r>
      <w:bookmarkEnd w:id="6"/>
      <w:r>
        <w:t>House</w:t>
      </w:r>
    </w:p>
    <w:p w:rsidR="00000000" w:rsidRDefault="00DE16D7">
      <w:pPr>
        <w:pStyle w:val="textup"/>
      </w:pPr>
      <w:r>
        <w:rPr>
          <w:b/>
        </w:rPr>
        <w:t>HF 2201</w:t>
      </w:r>
      <w:r>
        <w:tab/>
        <w:t>The House passed HF 2201 as amended, which requires all felons to submit a physical specimen for DNA profiling.  The Bill al</w:t>
      </w:r>
      <w:r>
        <w:t>so provides a contingent effective date.</w:t>
      </w:r>
    </w:p>
    <w:p w:rsidR="00000000" w:rsidRDefault="00DE16D7">
      <w:pPr>
        <w:pStyle w:val="textup"/>
      </w:pPr>
      <w:r>
        <w:rPr>
          <w:b/>
          <w:noProof/>
        </w:rPr>
        <w:pict>
          <v:shape id="_x0000_s1030" type="#_x0000_t202" style="position:absolute;margin-left:-130.95pt;margin-top:23.9pt;width:61.05pt;height:45.6pt;z-index:251657728">
            <v:textbox>
              <w:txbxContent>
                <w:p w:rsidR="00000000" w:rsidRDefault="00DE16D7">
                  <w:r>
                    <w:rPr>
                      <w:b/>
                      <w:noProof/>
                    </w:rPr>
                    <w:drawing>
                      <wp:inline distT="0" distB="0" distL="0" distR="0">
                        <wp:extent cx="582930" cy="482600"/>
                        <wp:effectExtent l="19050" t="0" r="7620" b="0"/>
                        <wp:docPr id="10" name="Picture 10" descr="DISK2\PFiles\MSOffice\Clipart\smbusbas\bd20016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K2\PFiles\MSOffice\Clipart\smbusbas\bd20016_.wmf"/>
                                <pic:cNvPicPr>
                                  <a:picLocks noChangeAspect="1" noChangeArrowheads="1"/>
                                </pic:cNvPicPr>
                              </pic:nvPicPr>
                              <pic:blipFill>
                                <a:blip r:embed="rId23"/>
                                <a:srcRect/>
                                <a:stretch>
                                  <a:fillRect/>
                                </a:stretch>
                              </pic:blipFill>
                              <pic:spPr bwMode="auto">
                                <a:xfrm>
                                  <a:off x="0" y="0"/>
                                  <a:ext cx="582930" cy="482600"/>
                                </a:xfrm>
                                <a:prstGeom prst="rect">
                                  <a:avLst/>
                                </a:prstGeom>
                                <a:noFill/>
                                <a:ln w="9525">
                                  <a:noFill/>
                                  <a:miter lim="800000"/>
                                  <a:headEnd/>
                                  <a:tailEnd/>
                                </a:ln>
                              </pic:spPr>
                            </pic:pic>
                          </a:graphicData>
                        </a:graphic>
                      </wp:inline>
                    </w:drawing>
                  </w:r>
                </w:p>
              </w:txbxContent>
            </v:textbox>
          </v:shape>
        </w:pict>
      </w:r>
      <w:r>
        <w:rPr>
          <w:b/>
        </w:rPr>
        <w:t>Correctional Impact</w:t>
      </w:r>
      <w:r>
        <w:tab/>
        <w:t>The first and second year of implementation, House File 2201 would require the collection of 10,100 additional DNA samples compared to the DNA samples collected under current provisions.  The fi</w:t>
      </w:r>
      <w:r>
        <w:t>fth year correctional impact could be as many as 8,000 additional DNA samples collected compared to the DNA samples collected under current provisions.</w:t>
      </w:r>
    </w:p>
    <w:p w:rsidR="00000000" w:rsidRDefault="00DE16D7">
      <w:pPr>
        <w:pStyle w:val="textup"/>
      </w:pPr>
      <w:r>
        <w:rPr>
          <w:b/>
        </w:rPr>
        <w:t>Contingent Effective Date</w:t>
      </w:r>
      <w:r>
        <w:tab/>
        <w:t>The Bill contains a contingent effective date making the Bill effective only i</w:t>
      </w:r>
      <w:r>
        <w:t>f sufficient funds are appropriated or received to pay the annual cost of the Bill.  In FY 2003, the cost is estimated to be $813,000, the cost for FY 2004 is estimated to be $663,000, and the cost for FY 2007 is estimated to be $581,000.</w:t>
      </w:r>
    </w:p>
    <w:p w:rsidR="00000000" w:rsidRDefault="00DE16D7">
      <w:pPr>
        <w:pStyle w:val="Contactup"/>
      </w:pPr>
      <w:r>
        <w:t>STAFF CONTACT:  J</w:t>
      </w:r>
      <w:r>
        <w:t>ennifer Dean (Ext. 17846)</w:t>
      </w:r>
    </w:p>
    <w:p w:rsidR="00000000" w:rsidRDefault="00DE16D7">
      <w:pPr>
        <w:pStyle w:val="Blurbtitle"/>
      </w:pPr>
      <w:bookmarkStart w:id="7" w:name="FU2SLLA"/>
      <w:r>
        <w:t>February Council on Human Services Meeting</w:t>
      </w:r>
      <w:bookmarkEnd w:id="7"/>
    </w:p>
    <w:p w:rsidR="00000000" w:rsidRDefault="00DE16D7">
      <w:pPr>
        <w:pStyle w:val="textup"/>
      </w:pPr>
      <w:r>
        <w:rPr>
          <w:b/>
        </w:rPr>
        <w:t>Council Meeting</w:t>
      </w:r>
      <w:r>
        <w:tab/>
        <w:t>The Council on Human Services met February 13 and conducted the following business:</w:t>
      </w:r>
    </w:p>
    <w:p w:rsidR="00000000" w:rsidRDefault="00DE16D7">
      <w:pPr>
        <w:pStyle w:val="textup"/>
      </w:pPr>
      <w:r>
        <w:rPr>
          <w:b/>
        </w:rPr>
        <w:t>Administrative Rules</w:t>
      </w:r>
      <w:r>
        <w:tab/>
        <w:t>The Council approved administrative rules relating to:</w:t>
      </w:r>
    </w:p>
    <w:p w:rsidR="00000000" w:rsidRDefault="00DE16D7">
      <w:pPr>
        <w:pStyle w:val="Bulletup"/>
      </w:pPr>
      <w:r>
        <w:rPr>
          <w:b/>
          <w:noProof/>
        </w:rPr>
        <w:pict>
          <v:shape id="_x0000_s1031" type="#_x0000_t202" style="position:absolute;left:0;text-align:left;margin-left:-139.95pt;margin-top:7.3pt;width:81pt;height:27pt;z-index:251658752">
            <v:textbox style="mso-next-textbox:#_x0000_s1031">
              <w:txbxContent>
                <w:p w:rsidR="00000000" w:rsidRDefault="00DE16D7">
                  <w:pPr>
                    <w:pStyle w:val="titlec"/>
                    <w:spacing w:before="0" w:after="0"/>
                    <w:rPr>
                      <w:rFonts w:ascii="Lucida Sans" w:hAnsi="Lucida Sans"/>
                      <w:bCs/>
                      <w:caps w:val="0"/>
                      <w:kern w:val="0"/>
                      <w:sz w:val="16"/>
                    </w:rPr>
                  </w:pPr>
                  <w:r>
                    <w:rPr>
                      <w:rFonts w:ascii="Lucida Sans" w:hAnsi="Lucida Sans"/>
                      <w:bCs/>
                      <w:caps w:val="0"/>
                      <w:kern w:val="0"/>
                      <w:sz w:val="16"/>
                    </w:rPr>
                    <w:t>Administrative</w:t>
                  </w:r>
                </w:p>
                <w:p w:rsidR="00000000" w:rsidRDefault="00DE16D7">
                  <w:pPr>
                    <w:rPr>
                      <w:rFonts w:ascii="Lucida Sans" w:hAnsi="Lucida Sans"/>
                      <w:b/>
                      <w:bCs/>
                      <w:sz w:val="16"/>
                    </w:rPr>
                  </w:pPr>
                  <w:r>
                    <w:rPr>
                      <w:rFonts w:ascii="Lucida Sans" w:hAnsi="Lucida Sans"/>
                      <w:b/>
                      <w:bCs/>
                      <w:sz w:val="16"/>
                    </w:rPr>
                    <w:t xml:space="preserve">       Rules</w:t>
                  </w:r>
                </w:p>
              </w:txbxContent>
            </v:textbox>
          </v:shape>
        </w:pict>
      </w:r>
      <w:r>
        <w:t>Repeated a</w:t>
      </w:r>
      <w:r>
        <w:t>pproval of emergency rules approved at an earlier meeting regarding a rate reduction for the State Payment Program services.  The fiscal impact is $355,000 to reflect the 4.3% across-the-board reduction.</w:t>
      </w:r>
    </w:p>
    <w:p w:rsidR="00000000" w:rsidRDefault="00DE16D7">
      <w:pPr>
        <w:pStyle w:val="Bulletup"/>
      </w:pPr>
      <w:r>
        <w:t xml:space="preserve">Various changes to juvenile court services directed </w:t>
      </w:r>
      <w:r>
        <w:t>programs.  There is no fiscal impact.</w:t>
      </w:r>
    </w:p>
    <w:p w:rsidR="00000000" w:rsidRDefault="00DE16D7">
      <w:pPr>
        <w:pStyle w:val="Bulletup"/>
      </w:pPr>
      <w:r>
        <w:t>Various changes to the process for the Department of Human Services (DHS) administrative rule-making procedures.  There is no fiscal impact.</w:t>
      </w:r>
    </w:p>
    <w:p w:rsidR="00000000" w:rsidRDefault="00DE16D7">
      <w:pPr>
        <w:pStyle w:val="Bulletup"/>
      </w:pPr>
      <w:r>
        <w:t>Revisions to various policies related to psychiatric services.  There is no f</w:t>
      </w:r>
      <w:r>
        <w:t>iscal impact.</w:t>
      </w:r>
    </w:p>
    <w:p w:rsidR="00000000" w:rsidRDefault="00DE16D7">
      <w:pPr>
        <w:pStyle w:val="Bulletup"/>
      </w:pPr>
      <w:r>
        <w:t>Revisions to the Interstate Compact on Juveniles.  There is no fiscal impact.</w:t>
      </w:r>
    </w:p>
    <w:p w:rsidR="00000000" w:rsidRDefault="00DE16D7">
      <w:pPr>
        <w:pStyle w:val="Bulletup"/>
      </w:pPr>
      <w:r>
        <w:t>Revisions to the purchase of service process for various adult services.  There is no fiscal impact.</w:t>
      </w:r>
    </w:p>
    <w:p w:rsidR="00000000" w:rsidRDefault="00DE16D7">
      <w:pPr>
        <w:framePr w:w="511" w:h="1003" w:hSpace="180" w:wrap="around" w:vAnchor="text" w:hAnchor="page" w:x="1526" w:y="77"/>
        <w:pBdr>
          <w:top w:val="single" w:sz="12" w:space="5" w:color="auto" w:shadow="1"/>
          <w:left w:val="single" w:sz="12" w:space="5" w:color="auto" w:shadow="1"/>
          <w:bottom w:val="single" w:sz="12" w:space="5" w:color="auto" w:shadow="1"/>
          <w:right w:val="single" w:sz="12" w:space="5" w:color="auto" w:shadow="1"/>
        </w:pBdr>
      </w:pPr>
      <w:r>
        <w:object w:dxaOrig="4282" w:dyaOrig="5265">
          <v:shape id="_x0000_i1049" type="#_x0000_t75" style="width:25.3pt;height:31.65pt" o:ole="">
            <v:imagedata r:id="rId24" o:title=""/>
          </v:shape>
          <o:OLEObject Type="Embed" ProgID="MS_ClipArt_Gallery" ShapeID="_x0000_i1049" DrawAspect="Content" ObjectID="_1315221957" r:id="rId25"/>
        </w:object>
      </w:r>
    </w:p>
    <w:p w:rsidR="00000000" w:rsidRDefault="00DE16D7">
      <w:pPr>
        <w:pStyle w:val="Bulletup"/>
      </w:pPr>
      <w:r>
        <w:t>Revisions of the policy for det</w:t>
      </w:r>
      <w:r>
        <w:t>ermination of hardship eligibility and Family Investment Agreement development.  Minimal fiscal impact is expected.</w:t>
      </w:r>
    </w:p>
    <w:p w:rsidR="00000000" w:rsidRDefault="00DE16D7">
      <w:pPr>
        <w:pStyle w:val="Bulletup"/>
      </w:pPr>
      <w:r>
        <w:t>Implementation of the Social Security cost of living adjustment, a personal needs allowance increase for persons in residential care facilit</w:t>
      </w:r>
      <w:r>
        <w:t>ies, and annual adjustment for resources attributable to community spouse.  Minimal fiscal impact is expected.</w:t>
      </w:r>
    </w:p>
    <w:p w:rsidR="00000000" w:rsidRDefault="00DE16D7">
      <w:pPr>
        <w:pStyle w:val="Bulletup"/>
      </w:pPr>
      <w:r>
        <w:t>Revisions of the policy for food stamps benefits and technical corrections.  Food Stamp benefits will be mailed versus pick up at the county offi</w:t>
      </w:r>
      <w:r>
        <w:t xml:space="preserve">ce.  No fiscal impact is identified.  </w:t>
      </w:r>
    </w:p>
    <w:p w:rsidR="00000000" w:rsidRDefault="00DE16D7">
      <w:pPr>
        <w:pStyle w:val="Bulletup"/>
      </w:pPr>
      <w:r>
        <w:t>Revisions of the policy for collection of overpayments.  No fiscal impact is expected.</w:t>
      </w:r>
    </w:p>
    <w:p w:rsidR="00000000" w:rsidRDefault="00DE16D7">
      <w:pPr>
        <w:pStyle w:val="Bulletup"/>
      </w:pPr>
      <w:r>
        <w:t>Revisions of the policy for the Health insurance Premium Payment Program. No fiscal impact is expected.</w:t>
      </w:r>
    </w:p>
    <w:p w:rsidR="00000000" w:rsidRDefault="00DE16D7">
      <w:pPr>
        <w:pStyle w:val="Bulletup"/>
      </w:pPr>
      <w:r>
        <w:t>Revisions of the policy in</w:t>
      </w:r>
      <w:r>
        <w:t xml:space="preserve"> the Medical Assistance Program relating to submittal of provider claims.  No fiscal impact is expected.</w:t>
      </w:r>
    </w:p>
    <w:p w:rsidR="00000000" w:rsidRDefault="00DE16D7">
      <w:pPr>
        <w:pStyle w:val="Bulletup"/>
      </w:pPr>
      <w:r>
        <w:t>Revisions of the policy in the Medical Assistance Program to limit coverage of Dental services for adults pursuant to HF 2245 (FY 2002 Medical Assistan</w:t>
      </w:r>
      <w:r>
        <w:t>ce Program [Medicaid] Supplemental Act).  There is an estimated General Fund savings of $700,000 based on DHS recalculations.</w:t>
      </w:r>
    </w:p>
    <w:p w:rsidR="00000000" w:rsidRDefault="00DE16D7">
      <w:pPr>
        <w:pStyle w:val="textup"/>
      </w:pPr>
      <w:r>
        <w:rPr>
          <w:b/>
        </w:rPr>
        <w:t>Notice of Action</w:t>
      </w:r>
      <w:r>
        <w:tab/>
        <w:t>The Council approved Director’s Notice of Action for administrative rule changes to take place at a later meeting</w:t>
      </w:r>
      <w:r>
        <w:t xml:space="preserve"> relating to:</w:t>
      </w:r>
    </w:p>
    <w:p w:rsidR="00000000" w:rsidRDefault="00DE16D7">
      <w:pPr>
        <w:framePr w:w="720" w:h="878" w:hSpace="187" w:wrap="around" w:vAnchor="text" w:hAnchor="page" w:x="1424" w:y="379"/>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62280" cy="63309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srcRect/>
                    <a:stretch>
                      <a:fillRect/>
                    </a:stretch>
                  </pic:blipFill>
                  <pic:spPr bwMode="auto">
                    <a:xfrm>
                      <a:off x="0" y="0"/>
                      <a:ext cx="462280" cy="633095"/>
                    </a:xfrm>
                    <a:prstGeom prst="rect">
                      <a:avLst/>
                    </a:prstGeom>
                    <a:noFill/>
                    <a:ln w="9525">
                      <a:noFill/>
                      <a:miter lim="800000"/>
                      <a:headEnd/>
                      <a:tailEnd/>
                    </a:ln>
                  </pic:spPr>
                </pic:pic>
              </a:graphicData>
            </a:graphic>
          </wp:inline>
        </w:drawing>
      </w:r>
    </w:p>
    <w:p w:rsidR="00000000" w:rsidRDefault="00DE16D7">
      <w:pPr>
        <w:pStyle w:val="Bulletup"/>
      </w:pPr>
      <w:r>
        <w:t>Changes in the policy for Medicaid for Employed People with Disabilities coverage group in the Medical Assistance Program.  The fiscal impact will be covered with federal funding through the Infrastructure Grant.</w:t>
      </w:r>
    </w:p>
    <w:p w:rsidR="00000000" w:rsidRDefault="00DE16D7">
      <w:pPr>
        <w:pStyle w:val="Bulletup"/>
      </w:pPr>
      <w:r>
        <w:t>Changes in the policy in th</w:t>
      </w:r>
      <w:r>
        <w:t>e Medical Assistance Program relating to eligibility.  No fiscal impact is expected.</w:t>
      </w:r>
    </w:p>
    <w:p w:rsidR="00000000" w:rsidRDefault="00DE16D7">
      <w:pPr>
        <w:pStyle w:val="Bulletup"/>
      </w:pPr>
      <w:r>
        <w:t>Changes in the policy in Medical Assistance Program relating to registered nurse practioners as providers.  Minimal fiscal impact is expected.</w:t>
      </w:r>
    </w:p>
    <w:p w:rsidR="00000000" w:rsidRDefault="00DE16D7">
      <w:pPr>
        <w:pStyle w:val="Bulletup"/>
      </w:pPr>
      <w:r>
        <w:t>Establishment of a pilot pro</w:t>
      </w:r>
      <w:r>
        <w:t>gram for recredentialing services for refugees with certain nursing educational backgrounds and amending existing targeted assistance grants.  There is no fiscal impact since this is a federal program.</w:t>
      </w:r>
    </w:p>
    <w:p w:rsidR="00000000" w:rsidRDefault="00DE16D7">
      <w:pPr>
        <w:pStyle w:val="Bulletup"/>
      </w:pPr>
      <w:r>
        <w:t>Changes in the policy relating to reimbursement to inp</w:t>
      </w:r>
      <w:r>
        <w:t xml:space="preserve">atient and outpatient hospitals for updating information used in calculating rates.  No fiscal impact is expected.    </w:t>
      </w:r>
    </w:p>
    <w:p w:rsidR="00000000" w:rsidRDefault="00DE16D7">
      <w:pPr>
        <w:framePr w:w="511" w:h="1003" w:hSpace="180" w:wrap="around" w:vAnchor="text" w:hAnchor="page" w:x="1526" w:y="629"/>
        <w:pBdr>
          <w:top w:val="single" w:sz="12" w:space="5" w:color="auto" w:shadow="1"/>
          <w:left w:val="single" w:sz="12" w:space="5" w:color="auto" w:shadow="1"/>
          <w:bottom w:val="single" w:sz="12" w:space="5" w:color="auto" w:shadow="1"/>
          <w:right w:val="single" w:sz="12" w:space="5" w:color="auto" w:shadow="1"/>
        </w:pBdr>
      </w:pPr>
      <w:r>
        <w:object w:dxaOrig="4282" w:dyaOrig="5265">
          <v:shape id="_x0000_i1050" type="#_x0000_t75" style="width:25.3pt;height:31.65pt" o:ole="">
            <v:imagedata r:id="rId24" o:title=""/>
          </v:shape>
          <o:OLEObject Type="Embed" ProgID="MS_ClipArt_Gallery" ShapeID="_x0000_i1050" DrawAspect="Content" ObjectID="_1315221958" r:id="rId27"/>
        </w:object>
      </w:r>
    </w:p>
    <w:p w:rsidR="00000000" w:rsidRDefault="00DE16D7">
      <w:pPr>
        <w:pStyle w:val="textup"/>
      </w:pPr>
      <w:r>
        <w:rPr>
          <w:b/>
        </w:rPr>
        <w:t>Legislative Update</w:t>
      </w:r>
      <w:r>
        <w:tab/>
        <w:t>The Council received a legislative update.  Council members’ concerns included:</w:t>
      </w:r>
    </w:p>
    <w:p w:rsidR="00000000" w:rsidRDefault="00DE16D7">
      <w:pPr>
        <w:pStyle w:val="Bulletup"/>
      </w:pPr>
      <w:r>
        <w:t>Apprec</w:t>
      </w:r>
      <w:r>
        <w:t>iation to the General Assembly and the Governor for action to restore the 4.3% across-the-board funding and additional funding for Medicaid.</w:t>
      </w:r>
    </w:p>
    <w:p w:rsidR="00000000" w:rsidRDefault="00DE16D7">
      <w:pPr>
        <w:pStyle w:val="Bulletup"/>
      </w:pPr>
      <w:r>
        <w:t>Various bills impacted by the funnel, the date by which most statutory bills are to be out of the Committee of orig</w:t>
      </w:r>
      <w:r>
        <w:t>in (February 22).</w:t>
      </w:r>
    </w:p>
    <w:p w:rsidR="00000000" w:rsidRDefault="00DE16D7">
      <w:pPr>
        <w:pStyle w:val="textup"/>
      </w:pPr>
      <w:r>
        <w:rPr>
          <w:b/>
        </w:rPr>
        <w:t>Discussion</w:t>
      </w:r>
      <w:r>
        <w:tab/>
        <w:t>Council member discussion included:</w:t>
      </w:r>
    </w:p>
    <w:p w:rsidR="00000000" w:rsidRDefault="00DE16D7">
      <w:pPr>
        <w:pStyle w:val="Bulletup"/>
      </w:pPr>
      <w:r>
        <w:lastRenderedPageBreak/>
        <w:t>Status of the FY 2003 budget adopted by the Council in September 2001.</w:t>
      </w:r>
    </w:p>
    <w:p w:rsidR="00000000" w:rsidRDefault="00DE16D7">
      <w:pPr>
        <w:pStyle w:val="Bulletup"/>
      </w:pPr>
      <w:r>
        <w:t>Possible presentation by Broadlawns Hospital (Polk County) regarding the decision to eliminate pharmacy services.</w:t>
      </w:r>
    </w:p>
    <w:p w:rsidR="00000000" w:rsidRDefault="00DE16D7">
      <w:pPr>
        <w:pStyle w:val="Bulletup"/>
      </w:pPr>
      <w:r>
        <w:t>Import</w:t>
      </w:r>
      <w:r>
        <w:t>ance of local input and participation.</w:t>
      </w:r>
    </w:p>
    <w:p w:rsidR="00000000" w:rsidRDefault="00DE16D7">
      <w:pPr>
        <w:pStyle w:val="Bulletup"/>
      </w:pPr>
      <w:r>
        <w:t>Pending congressional action.</w:t>
      </w:r>
    </w:p>
    <w:p w:rsidR="00000000" w:rsidRDefault="00DE16D7">
      <w:pPr>
        <w:pStyle w:val="textup"/>
      </w:pPr>
      <w:r>
        <w:rPr>
          <w:b/>
        </w:rPr>
        <w:t>Director’s Comments</w:t>
      </w:r>
      <w:r>
        <w:tab/>
        <w:t>Information from Director Rasmussen included:</w:t>
      </w:r>
    </w:p>
    <w:p w:rsidR="00000000" w:rsidRDefault="00DE16D7">
      <w:pPr>
        <w:pStyle w:val="Heading4"/>
        <w:framePr w:w="625" w:wrap="around" w:x="1526" w:y="92"/>
        <w:rPr>
          <w:rFonts w:ascii="Verdana" w:hAnsi="Verdana"/>
          <w:sz w:val="12"/>
        </w:rPr>
      </w:pPr>
      <w:r>
        <w:rPr>
          <w:rFonts w:ascii="Verdana" w:hAnsi="Verdana"/>
          <w:sz w:val="12"/>
        </w:rPr>
        <w:t>FY 2003</w:t>
      </w:r>
    </w:p>
    <w:p w:rsidR="00000000" w:rsidRDefault="00DE16D7">
      <w:pPr>
        <w:framePr w:w="625" w:h="981" w:hSpace="180" w:wrap="around" w:vAnchor="text" w:hAnchor="page" w:x="1526" w:y="9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6" type="#_x0000_t75" style="width:25.3pt;height:22.95pt" o:ole="" fillcolor="window">
            <v:imagedata r:id="rId28" o:title=""/>
          </v:shape>
          <o:OLEObject Type="Embed" ProgID="Word.Picture.8" ShapeID="_x0000_i1036" DrawAspect="Content" ObjectID="_1315221959" r:id="rId29"/>
        </w:object>
      </w:r>
    </w:p>
    <w:p w:rsidR="00000000" w:rsidRDefault="00DE16D7">
      <w:pPr>
        <w:pStyle w:val="Bulletup"/>
      </w:pPr>
      <w:r>
        <w:t>Response to the Quad City Times articles regarding background checks for childcare w</w:t>
      </w:r>
      <w:r>
        <w:t xml:space="preserve">orkers. </w:t>
      </w:r>
    </w:p>
    <w:p w:rsidR="00000000" w:rsidRDefault="00DE16D7">
      <w:pPr>
        <w:pStyle w:val="Bulletup"/>
      </w:pPr>
      <w:r>
        <w:t>The status of the FY 2002 budget and the FY 2003 budget.</w:t>
      </w:r>
    </w:p>
    <w:p w:rsidR="00000000" w:rsidRDefault="00DE16D7">
      <w:pPr>
        <w:pStyle w:val="Bulletup"/>
      </w:pPr>
      <w:r>
        <w:t>The status of the Community Partnership/Clark Project.</w:t>
      </w:r>
    </w:p>
    <w:p w:rsidR="00000000" w:rsidRDefault="00DE16D7">
      <w:pPr>
        <w:pStyle w:val="textup"/>
      </w:pPr>
      <w:r>
        <w:rPr>
          <w:b/>
        </w:rPr>
        <w:t>More Information</w:t>
      </w:r>
      <w:r>
        <w:tab/>
        <w:t>Additional information is available upon request.</w:t>
      </w:r>
    </w:p>
    <w:p w:rsidR="00000000" w:rsidRDefault="00DE16D7">
      <w:pPr>
        <w:pStyle w:val="Contactup"/>
      </w:pPr>
      <w:r>
        <w:t>STAFF CONTACT:  Sue Lerdal  (Ext. 17794)  Sam Leto (Ext. 16764)</w:t>
      </w:r>
    </w:p>
    <w:p w:rsidR="00000000" w:rsidRDefault="00DE16D7">
      <w:pPr>
        <w:pStyle w:val="Blurbtitle"/>
      </w:pPr>
      <w:bookmarkStart w:id="8" w:name="FU2SJLA"/>
      <w:r>
        <w:t>Febr</w:t>
      </w:r>
      <w:r>
        <w:t>uary Meeting of The Medicaid Infrastructure Grant Workgroup</w:t>
      </w:r>
      <w:bookmarkEnd w:id="8"/>
    </w:p>
    <w:p w:rsidR="00000000" w:rsidRDefault="00DE16D7">
      <w:pPr>
        <w:pStyle w:val="textup"/>
      </w:pPr>
      <w:r>
        <w:rPr>
          <w:b/>
        </w:rPr>
        <w:t>Workgroup Meeting</w:t>
      </w:r>
      <w:r>
        <w:tab/>
        <w:t>The Medicaid Infrastructure Grant Workgroup met on February 13.</w:t>
      </w:r>
    </w:p>
    <w:p w:rsidR="00000000" w:rsidRDefault="00DE16D7">
      <w:pPr>
        <w:pStyle w:val="textup"/>
        <w:rPr>
          <w:b/>
          <w:bCs/>
        </w:rPr>
      </w:pPr>
      <w:r>
        <w:rPr>
          <w:b/>
          <w:bCs/>
        </w:rPr>
        <w:t xml:space="preserve">Status Updates </w:t>
      </w:r>
      <w:r>
        <w:rPr>
          <w:b/>
          <w:bCs/>
        </w:rPr>
        <w:tab/>
        <w:t>The Workgroup conducted the following business:</w:t>
      </w:r>
    </w:p>
    <w:p w:rsidR="00000000" w:rsidRDefault="00DE16D7">
      <w:pPr>
        <w:framePr w:w="796" w:h="865" w:hSpace="180" w:wrap="auto" w:vAnchor="text" w:hAnchor="page" w:x="1526" w:y="61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2115" cy="281305"/>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412115" cy="281305"/>
                    </a:xfrm>
                    <a:prstGeom prst="rect">
                      <a:avLst/>
                    </a:prstGeom>
                    <a:noFill/>
                    <a:ln w="9525">
                      <a:noFill/>
                      <a:miter lim="800000"/>
                      <a:headEnd/>
                      <a:tailEnd/>
                    </a:ln>
                  </pic:spPr>
                </pic:pic>
              </a:graphicData>
            </a:graphic>
          </wp:inline>
        </w:drawing>
      </w:r>
    </w:p>
    <w:p w:rsidR="00000000" w:rsidRDefault="00DE16D7">
      <w:pPr>
        <w:pStyle w:val="Bulletup"/>
      </w:pPr>
      <w:r>
        <w:t>Workgroup members provided updates on meetings h</w:t>
      </w:r>
      <w:r>
        <w:t xml:space="preserve">eld with legislators, advocacy groups, and statewide and local organizations to explain work being done by the Workgroup to promote the Personal Assistance Services Program. </w:t>
      </w:r>
    </w:p>
    <w:p w:rsidR="00000000" w:rsidRDefault="00DE16D7">
      <w:pPr>
        <w:pStyle w:val="Bulletup"/>
      </w:pPr>
      <w:r>
        <w:t xml:space="preserve">A calendar of upcoming meetings throughout the State is being developed to allow </w:t>
      </w:r>
      <w:r>
        <w:t>the Workgroup members to get on meeting agendas and share the goals of the Workgroup and provide information on work being done with the Personal Assistance Services Program.</w:t>
      </w:r>
    </w:p>
    <w:p w:rsidR="00000000" w:rsidRDefault="00DE16D7">
      <w:pPr>
        <w:pStyle w:val="Bulletup"/>
      </w:pPr>
      <w:r>
        <w:t>A subcommittee of the Workgroup is compiling information to create a brochure and</w:t>
      </w:r>
      <w:r>
        <w:t xml:space="preserve"> other public relations tools to be used at the upcoming meetings throughout the State.</w:t>
      </w:r>
    </w:p>
    <w:p w:rsidR="00000000" w:rsidRDefault="00DE16D7">
      <w:pPr>
        <w:pStyle w:val="textup"/>
      </w:pPr>
      <w:r>
        <w:rPr>
          <w:b/>
        </w:rPr>
        <w:t>Workplan Strategies</w:t>
      </w:r>
      <w:r>
        <w:tab/>
        <w:t xml:space="preserve">The Workgroup reviewed workplan strategies developed at previous meetings and provided updates. </w:t>
      </w:r>
    </w:p>
    <w:p w:rsidR="00000000" w:rsidRDefault="00DE16D7">
      <w:pPr>
        <w:pStyle w:val="textup"/>
      </w:pPr>
      <w:r>
        <w:rPr>
          <w:b/>
        </w:rPr>
        <w:t>Subcomm. Established</w:t>
      </w:r>
      <w:r>
        <w:tab/>
        <w:t>The Workgroup established a su</w:t>
      </w:r>
      <w:r>
        <w:t>bcommittee to develop training curriculum to use with State and local staff implementing this Program.  There is an expectation based on approved funding for the second year of the federal grant that a training component would be developed.</w:t>
      </w:r>
    </w:p>
    <w:p w:rsidR="00000000" w:rsidRDefault="00DE16D7">
      <w:pPr>
        <w:pStyle w:val="textup"/>
      </w:pPr>
      <w:r>
        <w:rPr>
          <w:b/>
        </w:rPr>
        <w:t>Next Meeting</w:t>
      </w:r>
      <w:r>
        <w:tab/>
        <w:t>Th</w:t>
      </w:r>
      <w:r>
        <w:t>e next Workgroup meeting is scheduled for April 10.</w:t>
      </w:r>
    </w:p>
    <w:p w:rsidR="00000000" w:rsidRDefault="00DE16D7">
      <w:pPr>
        <w:pStyle w:val="textup"/>
      </w:pPr>
    </w:p>
    <w:p w:rsidR="00000000" w:rsidRDefault="00DE16D7">
      <w:pPr>
        <w:pStyle w:val="textup"/>
      </w:pPr>
      <w:r>
        <w:rPr>
          <w:b/>
        </w:rPr>
        <w:lastRenderedPageBreak/>
        <w:t>More Information</w:t>
      </w:r>
      <w:r>
        <w:tab/>
        <w:t>Additional information is available upon request.</w:t>
      </w:r>
    </w:p>
    <w:p w:rsidR="00000000" w:rsidRDefault="00DE16D7">
      <w:pPr>
        <w:pStyle w:val="Contactup"/>
      </w:pPr>
      <w:r>
        <w:t>STAFF CONTACT:  Sam Leto (Ext. 16764)</w:t>
      </w:r>
    </w:p>
    <w:p w:rsidR="00000000" w:rsidRDefault="00DE16D7">
      <w:pPr>
        <w:pStyle w:val="Blurbtitle"/>
      </w:pPr>
      <w:bookmarkStart w:id="9" w:name="FU2SJLB"/>
      <w:r>
        <w:t xml:space="preserve">January </w:t>
      </w:r>
      <w:r>
        <w:rPr>
          <w:i/>
          <w:iCs/>
          <w:caps w:val="0"/>
        </w:rPr>
        <w:t>hawk-i</w:t>
      </w:r>
      <w:r>
        <w:t xml:space="preserve"> Board Meeting</w:t>
      </w:r>
      <w:bookmarkEnd w:id="9"/>
    </w:p>
    <w:p w:rsidR="00000000" w:rsidRDefault="00DE16D7">
      <w:pPr>
        <w:pStyle w:val="textup"/>
      </w:pPr>
      <w:r>
        <w:rPr>
          <w:b/>
          <w:i/>
          <w:iCs/>
        </w:rPr>
        <w:t>hawk-i Board</w:t>
      </w:r>
      <w:r>
        <w:tab/>
        <w:t>The Healthy and Well Kids in Iowa (</w:t>
      </w:r>
      <w:r>
        <w:rPr>
          <w:b/>
          <w:bCs/>
          <w:i/>
          <w:iCs/>
        </w:rPr>
        <w:t>hawk-i</w:t>
      </w:r>
      <w:r>
        <w:t>) Board met Jan</w:t>
      </w:r>
      <w:r>
        <w:t>uary 28 and conducted the following business:</w:t>
      </w:r>
    </w:p>
    <w:p w:rsidR="00000000" w:rsidRDefault="00DE16D7">
      <w:pPr>
        <w:pStyle w:val="textup"/>
      </w:pPr>
      <w:r>
        <w:rPr>
          <w:b/>
        </w:rPr>
        <w:t>Board Action</w:t>
      </w:r>
      <w:r>
        <w:tab/>
        <w:t>The Board reviewed the following correspondence and reports:</w:t>
      </w:r>
    </w:p>
    <w:p w:rsidR="00000000" w:rsidRDefault="00DE16D7">
      <w:pPr>
        <w:framePr w:w="534" w:h="1384" w:hRule="exact" w:hSpace="187" w:wrap="auto" w:vAnchor="text" w:hAnchor="page" w:x="1355" w:y="16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8" type="#_x0000_t75" style="width:26.1pt;height:49.85pt" o:ole="" fillcolor="window">
            <v:imagedata r:id="rId31" o:title=""/>
          </v:shape>
          <o:OLEObject Type="Embed" ProgID="Word.Picture.8" ShapeID="_x0000_i1038" DrawAspect="Content" ObjectID="_1315221960" r:id="rId32"/>
        </w:object>
      </w:r>
    </w:p>
    <w:p w:rsidR="00000000" w:rsidRDefault="00DE16D7">
      <w:pPr>
        <w:pStyle w:val="Bulletup"/>
        <w:rPr>
          <w:szCs w:val="24"/>
        </w:rPr>
      </w:pPr>
      <w:r>
        <w:t>A contribution of $1,800 was received by the Department of Human Services (DHS) to pay the family share of prem</w:t>
      </w:r>
      <w:r>
        <w:t>iums for families who would otherwise lose eligibility for nonpayment.  Anita Smith noted this year's contribution helped 122 families.  A random selection determined the families to whom the contribution was applied.</w:t>
      </w:r>
    </w:p>
    <w:p w:rsidR="00000000" w:rsidRDefault="00DE16D7">
      <w:pPr>
        <w:pStyle w:val="Bulletup"/>
        <w:rPr>
          <w:szCs w:val="24"/>
        </w:rPr>
      </w:pPr>
      <w:r>
        <w:t>Representative Hoversten had expressed</w:t>
      </w:r>
      <w:r>
        <w:t xml:space="preserve"> concern that the Psychiatric Medical Institutions for Children (PMIC) in the western part of the State weren't able to participate in the </w:t>
      </w:r>
      <w:r>
        <w:rPr>
          <w:b/>
          <w:i/>
        </w:rPr>
        <w:t>hawk-i</w:t>
      </w:r>
      <w:r>
        <w:rPr>
          <w:b/>
          <w:iCs/>
        </w:rPr>
        <w:t xml:space="preserve"> </w:t>
      </w:r>
      <w:r>
        <w:rPr>
          <w:bCs/>
          <w:iCs/>
        </w:rPr>
        <w:t>Program</w:t>
      </w:r>
      <w:r>
        <w:t xml:space="preserve"> because Wellmark was not allowing them to become participating providers.  Wellmark responded they did</w:t>
      </w:r>
      <w:r>
        <w:t xml:space="preserve"> not have a credentialing process for this provider type.  Wellmark has now established specific credentialing procedures, and any PMIC that is willing to accept Wellmark's reimbursement rate and contract with Wellmark now can be a participating provider w</w:t>
      </w:r>
      <w:r>
        <w:t>ith Wellmark.</w:t>
      </w:r>
    </w:p>
    <w:p w:rsidR="00000000" w:rsidRDefault="00DE16D7">
      <w:pPr>
        <w:pStyle w:val="Bulletup"/>
        <w:rPr>
          <w:szCs w:val="24"/>
        </w:rPr>
      </w:pPr>
      <w:r>
        <w:t xml:space="preserve">Anita Smith wrote an article for the </w:t>
      </w:r>
      <w:r>
        <w:rPr>
          <w:u w:val="single"/>
        </w:rPr>
        <w:t>Iowa Dental Journal Magazine</w:t>
      </w:r>
      <w:r>
        <w:t xml:space="preserve">, with assistance of the health plans staff, to describe the </w:t>
      </w:r>
      <w:r>
        <w:rPr>
          <w:b/>
          <w:i/>
        </w:rPr>
        <w:t xml:space="preserve">hawk-i </w:t>
      </w:r>
      <w:r>
        <w:t>Program and how dentists can participate in the plans.  The article was intended to answer dentists' question</w:t>
      </w:r>
      <w:r>
        <w:t xml:space="preserve">s as they relate to the </w:t>
      </w:r>
      <w:r>
        <w:rPr>
          <w:b/>
          <w:i/>
        </w:rPr>
        <w:t>hawk-i</w:t>
      </w:r>
      <w:r>
        <w:rPr>
          <w:bCs/>
          <w:i/>
        </w:rPr>
        <w:t xml:space="preserve"> </w:t>
      </w:r>
      <w:r>
        <w:rPr>
          <w:bCs/>
          <w:iCs/>
        </w:rPr>
        <w:t>Program</w:t>
      </w:r>
      <w:r>
        <w:rPr>
          <w:b/>
          <w:iCs/>
        </w:rPr>
        <w:t>.</w:t>
      </w:r>
    </w:p>
    <w:p w:rsidR="00000000" w:rsidRDefault="00DE16D7">
      <w:pPr>
        <w:pStyle w:val="Bulletup"/>
      </w:pPr>
      <w:r>
        <w:t>Due to budget issues, a survey was conducted to determine if states were contemplating any changes to their State Children’s Health Insurance Program for 2002 or 2003.  Results indicate that nine states are looking a</w:t>
      </w:r>
      <w:r>
        <w:t xml:space="preserve">t cuts for the current year and many more states are looking at changes next year.  Iowa's response was that at the current time there is sufficient funding requested for both 2002 and 2003, but that is dependent on enrollment numbers.  If enrollment runs </w:t>
      </w:r>
      <w:r>
        <w:t>as projected, it is believed there will be enough funding.  Measures being considered by other states include increasing premiums as well as co-payments, no additional program expansions, cutting administrative costs, and stopping all outreach.</w:t>
      </w:r>
    </w:p>
    <w:p w:rsidR="00000000" w:rsidRDefault="00DE16D7">
      <w:pPr>
        <w:pStyle w:val="textup"/>
      </w:pPr>
      <w:r>
        <w:rPr>
          <w:b/>
        </w:rPr>
        <w:t>Administrat</w:t>
      </w:r>
      <w:r>
        <w:rPr>
          <w:b/>
        </w:rPr>
        <w:t>or’s Report</w:t>
      </w:r>
      <w:r>
        <w:tab/>
        <w:t>The Board received the Administrator’s Report:</w:t>
      </w:r>
    </w:p>
    <w:p w:rsidR="00000000" w:rsidRDefault="00DE16D7">
      <w:pPr>
        <w:framePr w:w="792" w:h="864" w:hSpace="187" w:wrap="auto" w:vAnchor="page" w:hAnchor="page" w:x="1535" w:y="11705"/>
        <w:pBdr>
          <w:top w:val="single" w:sz="12" w:space="5" w:color="auto" w:shadow="1"/>
          <w:left w:val="single" w:sz="12" w:space="5" w:color="auto" w:shadow="1"/>
          <w:bottom w:val="single" w:sz="12" w:space="5" w:color="auto" w:shadow="1"/>
          <w:right w:val="single" w:sz="12" w:space="5" w:color="auto" w:shadow="1"/>
        </w:pBdr>
        <w:rPr>
          <w:szCs w:val="24"/>
        </w:rPr>
      </w:pPr>
      <w:r>
        <w:rPr>
          <w:noProof/>
          <w:szCs w:val="24"/>
        </w:rPr>
        <w:drawing>
          <wp:inline distT="0" distB="0" distL="0" distR="0">
            <wp:extent cx="482600" cy="50228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srcRect/>
                    <a:stretch>
                      <a:fillRect/>
                    </a:stretch>
                  </pic:blipFill>
                  <pic:spPr bwMode="auto">
                    <a:xfrm>
                      <a:off x="0" y="0"/>
                      <a:ext cx="482600" cy="502285"/>
                    </a:xfrm>
                    <a:prstGeom prst="rect">
                      <a:avLst/>
                    </a:prstGeom>
                    <a:noFill/>
                    <a:ln w="9525">
                      <a:noFill/>
                      <a:miter lim="800000"/>
                      <a:headEnd/>
                      <a:tailEnd/>
                    </a:ln>
                  </pic:spPr>
                </pic:pic>
              </a:graphicData>
            </a:graphic>
          </wp:inline>
        </w:drawing>
      </w:r>
    </w:p>
    <w:p w:rsidR="00000000" w:rsidRDefault="00DE16D7">
      <w:pPr>
        <w:pStyle w:val="Bulletup"/>
      </w:pPr>
      <w:r>
        <w:t>The Board's annual report was distributed on January 14, 2002.</w:t>
      </w:r>
    </w:p>
    <w:p w:rsidR="00000000" w:rsidRDefault="00DE16D7">
      <w:pPr>
        <w:pStyle w:val="Bulletup"/>
        <w:rPr>
          <w:szCs w:val="24"/>
        </w:rPr>
      </w:pPr>
      <w:r>
        <w:rPr>
          <w:szCs w:val="24"/>
        </w:rPr>
        <w:t xml:space="preserve">Budget – </w:t>
      </w:r>
      <w:r>
        <w:t>Expenditures for the first six months of FY 2002 indicate about 38% of the budget has been spent.  Expenditures to date tot</w:t>
      </w:r>
      <w:r>
        <w:t>al $4,100,000.  No budget shortfalls are anticipated.</w:t>
      </w:r>
      <w:r>
        <w:rPr>
          <w:szCs w:val="24"/>
        </w:rPr>
        <w:t xml:space="preserve"> </w:t>
      </w:r>
    </w:p>
    <w:p w:rsidR="00000000" w:rsidRDefault="00DE16D7">
      <w:pPr>
        <w:pStyle w:val="Bulletup"/>
      </w:pPr>
      <w:r>
        <w:t>Enrollment &amp; Statistics – Anita Smith reminded the Board that MAXIMUS, the fiscal agent, began implementing a complete redesign of their data processing system in October 2001.  As a result, the Decemb</w:t>
      </w:r>
      <w:r>
        <w:t xml:space="preserve">er numbers have been revised and the </w:t>
      </w:r>
      <w:r>
        <w:rPr>
          <w:b/>
          <w:i/>
        </w:rPr>
        <w:t>hawk-i</w:t>
      </w:r>
      <w:r>
        <w:rPr>
          <w:bCs/>
          <w:iCs/>
        </w:rPr>
        <w:t xml:space="preserve"> Program</w:t>
      </w:r>
      <w:r>
        <w:t xml:space="preserve"> enrollment is 12,909, compared to 11,537 originally reported.  Ms. Smith said that even though the enrollment per month has been underreported for some time, it has no effect from a budget perspective.  I</w:t>
      </w:r>
      <w:r>
        <w:t xml:space="preserve">n addition to the new format beginning in </w:t>
      </w:r>
      <w:r>
        <w:lastRenderedPageBreak/>
        <w:t>January, an unduplicated ever-enrolled Report will be available.  This is a Report that has been requested by legislators and provider groups.  The Report will be a better measure of success as opposed to point-in-</w:t>
      </w:r>
      <w:r>
        <w:t xml:space="preserve">time enrollment numbers. </w:t>
      </w:r>
    </w:p>
    <w:p w:rsidR="00000000" w:rsidRDefault="00DE16D7">
      <w:pPr>
        <w:pStyle w:val="Bulletup"/>
        <w:rPr>
          <w:szCs w:val="24"/>
        </w:rPr>
      </w:pPr>
      <w:r>
        <w:rPr>
          <w:noProof/>
          <w:sz w:val="20"/>
        </w:rPr>
        <w:pict>
          <v:shape id="_x0000_s1032" type="#_x0000_t202" style="position:absolute;left:0;text-align:left;margin-left:-121.95pt;margin-top:22.7pt;width:43.35pt;height:35.6pt;z-index:251659776">
            <v:textbox>
              <w:txbxContent>
                <w:p w:rsidR="00000000" w:rsidRDefault="00DE16D7">
                  <w:r>
                    <w:rPr>
                      <w:noProof/>
                    </w:rPr>
                    <w:drawing>
                      <wp:inline distT="0" distB="0" distL="0" distR="0">
                        <wp:extent cx="351790" cy="35179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srcRect/>
                                <a:stretch>
                                  <a:fillRect/>
                                </a:stretch>
                              </pic:blipFill>
                              <pic:spPr bwMode="auto">
                                <a:xfrm>
                                  <a:off x="0" y="0"/>
                                  <a:ext cx="351790" cy="351790"/>
                                </a:xfrm>
                                <a:prstGeom prst="rect">
                                  <a:avLst/>
                                </a:prstGeom>
                                <a:noFill/>
                                <a:ln w="9525">
                                  <a:noFill/>
                                  <a:miter lim="800000"/>
                                  <a:headEnd/>
                                  <a:tailEnd/>
                                </a:ln>
                              </pic:spPr>
                            </pic:pic>
                          </a:graphicData>
                        </a:graphic>
                      </wp:inline>
                    </w:drawing>
                  </w:r>
                </w:p>
              </w:txbxContent>
            </v:textbox>
          </v:shape>
        </w:pict>
      </w:r>
      <w:r>
        <w:t>Medicaid Choice Waiver Update – Ms. Smith reported that a conference call was held between staffs from Centers for Medicare and Medicaid Services (CMS), from Tommy Thompson's office, and the DHS, to discuss the concept of a Medic</w:t>
      </w:r>
      <w:r>
        <w:t xml:space="preserve">aid Choice Waiver to allow families to enroll in the </w:t>
      </w:r>
      <w:r>
        <w:rPr>
          <w:b/>
          <w:i/>
        </w:rPr>
        <w:t>hawk-i</w:t>
      </w:r>
      <w:r>
        <w:t xml:space="preserve"> Program instead of Medical Assistance.  The Department asked if a Medicaid Choice Waiver is something CMS would consider.  After discussing funding, cost sharing, and what protections would be in </w:t>
      </w:r>
      <w:r>
        <w:t>place for enrollees, CMS said they would not consider a State Children’s Health Insurance Program Waiver but may consider an 1115 Medicaid Waiver.  An 1115 Waiver for Medicaid must demonstrate cost-neutrality and is a five-year demonstration waiver.  CMS t</w:t>
      </w:r>
      <w:r>
        <w:t xml:space="preserve">old the Department that an 1115 Medicaid Waiver would allow all families a choice between Medicaid and the </w:t>
      </w:r>
      <w:r>
        <w:rPr>
          <w:b/>
          <w:i/>
        </w:rPr>
        <w:t xml:space="preserve">hawk-i </w:t>
      </w:r>
      <w:r>
        <w:rPr>
          <w:bCs/>
          <w:iCs/>
        </w:rPr>
        <w:t>Program</w:t>
      </w:r>
      <w:r>
        <w:t>.  The waiver would be similar to Oregon's in that the State would be asking to give Medicaid-eligible children a lesser package of ben</w:t>
      </w:r>
      <w:r>
        <w:t xml:space="preserve">efits under the </w:t>
      </w:r>
      <w:r>
        <w:rPr>
          <w:b/>
          <w:i/>
        </w:rPr>
        <w:t>hawk-i</w:t>
      </w:r>
      <w:r>
        <w:t xml:space="preserve"> Program.  Ms. Smith stated this could create a wholesale transfer of children from the Medical Assistance Program into the </w:t>
      </w:r>
      <w:r>
        <w:rPr>
          <w:b/>
          <w:i/>
        </w:rPr>
        <w:t>hawk-i</w:t>
      </w:r>
      <w:r>
        <w:t xml:space="preserve"> </w:t>
      </w:r>
      <w:r>
        <w:rPr>
          <w:bCs/>
          <w:iCs/>
        </w:rPr>
        <w:t>Program</w:t>
      </w:r>
      <w:r>
        <w:rPr>
          <w:iCs/>
        </w:rPr>
        <w:t>.</w:t>
      </w:r>
      <w:r>
        <w:t xml:space="preserve">  Development of an 1115 Demonstration Waiver is an 18-to 24-month process, and the Department </w:t>
      </w:r>
      <w:r>
        <w:t>indicated it does not have the resources to pursue the waiver.</w:t>
      </w:r>
    </w:p>
    <w:p w:rsidR="00000000" w:rsidRDefault="00DE16D7">
      <w:pPr>
        <w:pStyle w:val="Bulletup"/>
        <w:rPr>
          <w:szCs w:val="24"/>
        </w:rPr>
      </w:pPr>
      <w:r>
        <w:t>Legislative Update</w:t>
      </w:r>
      <w:r>
        <w:rPr>
          <w:szCs w:val="24"/>
        </w:rPr>
        <w:t xml:space="preserve"> – </w:t>
      </w:r>
      <w:r>
        <w:t>Ms. Smith said there has been no action on the technical bill.  Staff has reviewed bill drafts and prepared fiscal notes on two bills that would implement presumptive eligi</w:t>
      </w:r>
      <w:r>
        <w:t xml:space="preserve">bility and self-declaration of income for the Medical Assistance Program and the </w:t>
      </w:r>
      <w:r>
        <w:rPr>
          <w:b/>
          <w:i/>
        </w:rPr>
        <w:t xml:space="preserve">hawk-i </w:t>
      </w:r>
      <w:r>
        <w:rPr>
          <w:bCs/>
          <w:iCs/>
        </w:rPr>
        <w:t>Program</w:t>
      </w:r>
      <w:r>
        <w:t>.  Both of those bills would have significant fiscal impact.  One of the bills also included the benefit enhancement recommendations of the Clinical Advisory Com</w:t>
      </w:r>
      <w:r>
        <w:t>mittee.</w:t>
      </w:r>
    </w:p>
    <w:p w:rsidR="00000000" w:rsidRDefault="00DE16D7">
      <w:pPr>
        <w:pStyle w:val="Bulletup"/>
        <w:rPr>
          <w:szCs w:val="24"/>
        </w:rPr>
      </w:pPr>
      <w:r>
        <w:t>Application Revision Project</w:t>
      </w:r>
      <w:r>
        <w:rPr>
          <w:szCs w:val="24"/>
        </w:rPr>
        <w:t xml:space="preserve"> –</w:t>
      </w:r>
      <w:r>
        <w:t xml:space="preserve"> A committee is currently working on the redesign of both the </w:t>
      </w:r>
      <w:r>
        <w:rPr>
          <w:b/>
          <w:i/>
        </w:rPr>
        <w:t>hawk-i</w:t>
      </w:r>
      <w:r>
        <w:t xml:space="preserve"> Program brochure and application.  The redesign will include additional data that CMS is requiring and the results of the literacy study.  The new br</w:t>
      </w:r>
      <w:r>
        <w:t>ochure and application will be tested with potential applicants before being finalized and printed.</w:t>
      </w:r>
    </w:p>
    <w:p w:rsidR="00000000" w:rsidRDefault="00DE16D7">
      <w:pPr>
        <w:pStyle w:val="Bulletup"/>
        <w:rPr>
          <w:szCs w:val="24"/>
        </w:rPr>
      </w:pPr>
      <w:r>
        <w:rPr>
          <w:szCs w:val="24"/>
        </w:rPr>
        <w:t xml:space="preserve">Outreach Update – </w:t>
      </w:r>
      <w:r>
        <w:t>Ms. Smith stated that only $22,000 of the grassroots outreach budget was available for media campaign.  There will be future Board discuss</w:t>
      </w:r>
      <w:r>
        <w:t>ions about the structure of the Outreach Program.  The grassroots structure was based on the regional and cluster concept the Department had used.  Restructuring of the Department has created service areas rather than the region and cluster concept.</w:t>
      </w:r>
    </w:p>
    <w:p w:rsidR="00000000" w:rsidRDefault="00DE16D7">
      <w:pPr>
        <w:framePr w:w="943" w:h="916" w:hSpace="180" w:wrap="around" w:vAnchor="text" w:hAnchor="page" w:x="1153" w:y="1"/>
      </w:pPr>
      <w:r>
        <w:object w:dxaOrig="1080" w:dyaOrig="941">
          <v:shape id="_x0000_i1040" type="#_x0000_t75" style="width:53.8pt;height:39.55pt" o:ole="">
            <v:imagedata r:id="rId35" o:title=""/>
          </v:shape>
          <o:OLEObject Type="Embed" ProgID="Word.Picture.8" ShapeID="_x0000_i1040" DrawAspect="Content" ObjectID="_1315221961" r:id="rId36"/>
        </w:object>
      </w:r>
    </w:p>
    <w:p w:rsidR="00000000" w:rsidRDefault="00DE16D7">
      <w:pPr>
        <w:pStyle w:val="Bulletup"/>
      </w:pPr>
      <w:r>
        <w:t>Impact on Access and Health Status Report</w:t>
      </w:r>
      <w:r>
        <w:rPr>
          <w:szCs w:val="24"/>
        </w:rPr>
        <w:t xml:space="preserve"> – </w:t>
      </w:r>
      <w:r>
        <w:t xml:space="preserve">Dr. David Alexander, Chair of the Clinical Advisory Committee, discussed the "Second Evaluation Report of </w:t>
      </w:r>
      <w:r>
        <w:rPr>
          <w:b/>
          <w:i/>
        </w:rPr>
        <w:t>hawk-i</w:t>
      </w:r>
      <w:r>
        <w:t>'s Impact on Access and Health Status".  Dr. Alexander said the results from t</w:t>
      </w:r>
      <w:r>
        <w:t>his survey are unchanged from last year, which suggest giving kids health insurance improves their parents’ perception of their children's health, improves the amount of stress parents have relating to their children's health and health coverage, and indic</w:t>
      </w:r>
      <w:r>
        <w:t xml:space="preserve">ates providing these kids with health insurance may actually improve kids’ health.  Dr. Alexander strongly urged the Board to share this report with the Legislature and leaders in the Executive Branch to show what the </w:t>
      </w:r>
      <w:r>
        <w:rPr>
          <w:b/>
          <w:i/>
        </w:rPr>
        <w:t>hawk-i</w:t>
      </w:r>
      <w:r>
        <w:rPr>
          <w:bCs/>
          <w:iCs/>
        </w:rPr>
        <w:t xml:space="preserve"> P</w:t>
      </w:r>
      <w:r>
        <w:rPr>
          <w:iCs/>
        </w:rPr>
        <w:t>r</w:t>
      </w:r>
      <w:r>
        <w:t>ogram has been able to do for</w:t>
      </w:r>
      <w:r>
        <w:t xml:space="preserve"> Iowa children.  Pete Damiano, University of Iowa Public Policy Center, told the Board the methodology for this Report was the same as the last report, except they did try to break the results out by plan.  Mr. Damiano </w:t>
      </w:r>
      <w:r>
        <w:lastRenderedPageBreak/>
        <w:t>said the primary difference in the se</w:t>
      </w:r>
      <w:r>
        <w:t>cond evaluation report from the first report is there were 600 more respondents this time.  Overall, there were no significant differences by plan.  The Board moved to receive and accept the Report.</w:t>
      </w:r>
    </w:p>
    <w:p w:rsidR="00000000" w:rsidRDefault="00DE16D7">
      <w:pPr>
        <w:framePr w:hSpace="180" w:wrap="around" w:vAnchor="text" w:hAnchor="page" w:x="1336" w:y="459"/>
      </w:pPr>
      <w:r>
        <w:rPr>
          <w:noProof/>
        </w:rPr>
        <w:drawing>
          <wp:inline distT="0" distB="0" distL="0" distR="0">
            <wp:extent cx="542925" cy="572770"/>
            <wp:effectExtent l="19050" t="19050" r="66675" b="3683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cstate="print"/>
                    <a:srcRect/>
                    <a:stretch>
                      <a:fillRect/>
                    </a:stretch>
                  </pic:blipFill>
                  <pic:spPr bwMode="auto">
                    <a:xfrm>
                      <a:off x="0" y="0"/>
                      <a:ext cx="542925" cy="572770"/>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DE16D7">
      <w:pPr>
        <w:pStyle w:val="Bulletup"/>
        <w:rPr>
          <w:szCs w:val="24"/>
        </w:rPr>
      </w:pPr>
      <w:r>
        <w:t>Covering Kids Update</w:t>
      </w:r>
      <w:r>
        <w:rPr>
          <w:szCs w:val="24"/>
        </w:rPr>
        <w:t xml:space="preserve"> – </w:t>
      </w:r>
      <w:r>
        <w:t>Denise Hill from the Covering Ki</w:t>
      </w:r>
      <w:r>
        <w:t>ds Now Task Force, provided highlights of the January 7</w:t>
      </w:r>
      <w:r>
        <w:rPr>
          <w:vertAlign w:val="superscript"/>
        </w:rPr>
        <w:t>th</w:t>
      </w:r>
      <w:r>
        <w:t xml:space="preserve"> meeting.  Ms. Hill said the majority of time was spent discussing the self-declaration of income issue.  She indicated at least 20 states have self-declaration for one or both programs, or have done</w:t>
      </w:r>
      <w:r>
        <w:t xml:space="preserve"> some pilot projects.  States indicated they had enhanced their Program, which included accelerating the processing of applications.  These states also found the error rate was reduced to an average of 2.8%.  Ms. Hill said she believes a switch to self-dec</w:t>
      </w:r>
      <w:r>
        <w:t>laration of income could provide cost savings by saving the cost of follow-up mailings and telephone calls in the case of incomplete applications.  Ms. Hill said the task force felt very strongly that given the experiences of these 20 states, self-declarat</w:t>
      </w:r>
      <w:r>
        <w:t xml:space="preserve">ion of income should be recommended at this point.  If Iowa moves to self-declaration there is a need to start with one program and demonstrate that it is a positive and does not increase costs.  That should be done with the </w:t>
      </w:r>
      <w:r>
        <w:rPr>
          <w:b/>
          <w:i/>
        </w:rPr>
        <w:t xml:space="preserve">hawk-i </w:t>
      </w:r>
      <w:r>
        <w:rPr>
          <w:bCs/>
          <w:iCs/>
        </w:rPr>
        <w:t>Program first</w:t>
      </w:r>
      <w:r>
        <w:t>.  The task</w:t>
      </w:r>
      <w:r>
        <w:t xml:space="preserve"> force included self-declaration of income in their annual report to Legislators and public policy makers released January 30. </w:t>
      </w:r>
    </w:p>
    <w:p w:rsidR="00000000" w:rsidRDefault="00DE16D7">
      <w:pPr>
        <w:pStyle w:val="textup"/>
      </w:pPr>
      <w:r>
        <w:rPr>
          <w:b/>
        </w:rPr>
        <w:t>Next Meeting</w:t>
      </w:r>
      <w:r>
        <w:tab/>
        <w:t>The next Board meeting is scheduled for February 18.</w:t>
      </w:r>
    </w:p>
    <w:p w:rsidR="00000000" w:rsidRDefault="00DE16D7">
      <w:pPr>
        <w:pStyle w:val="textup"/>
      </w:pPr>
      <w:r>
        <w:rPr>
          <w:b/>
        </w:rPr>
        <w:t>More Information</w:t>
      </w:r>
      <w:r>
        <w:tab/>
        <w:t>More information is available upon request.</w:t>
      </w:r>
    </w:p>
    <w:p w:rsidR="00000000" w:rsidRDefault="00DE16D7">
      <w:pPr>
        <w:pStyle w:val="Contactup"/>
      </w:pPr>
      <w:r>
        <w:t>S</w:t>
      </w:r>
      <w:r>
        <w:t>TAFF CONTACT:  Sam Leto (Ext. 16764)</w:t>
      </w:r>
    </w:p>
    <w:p w:rsidR="00000000" w:rsidRDefault="00DE16D7">
      <w:pPr>
        <w:pStyle w:val="Blurbtitle"/>
      </w:pPr>
      <w:bookmarkStart w:id="10" w:name="FU2DPWA"/>
      <w:r>
        <w:t>President’s Proposal for FFY 03 Federal Grant-in-Aid Funding</w:t>
      </w:r>
      <w:bookmarkEnd w:id="10"/>
    </w:p>
    <w:p w:rsidR="00000000" w:rsidRDefault="00DE16D7">
      <w:pPr>
        <w:pStyle w:val="textup"/>
      </w:pPr>
      <w:r>
        <w:rPr>
          <w:b/>
        </w:rPr>
        <w:t xml:space="preserve"> Federal Information</w:t>
      </w:r>
      <w:r>
        <w:tab/>
        <w:t>Federal Funds Information for States (FFIS) provides annual budget analysis of federal proposals for funding to the States for both Presi</w:t>
      </w:r>
      <w:r>
        <w:t>dential Recommendations and Congressional Action.  In early February 2002, Federal Funds Information for the States released a review of the President’s proposed funding levels for most of the large federal grant-in-aid programs.  The Report provides a bre</w:t>
      </w:r>
      <w:r>
        <w:t xml:space="preserve">akdown of the funding levels for each State based on current distribution formulas for the grant programs.  </w:t>
      </w:r>
    </w:p>
    <w:p w:rsidR="00000000" w:rsidRDefault="00DE16D7">
      <w:pPr>
        <w:framePr w:hSpace="180" w:wrap="around" w:vAnchor="text" w:hAnchor="page" w:x="1336" w:y="748"/>
      </w:pPr>
      <w:r>
        <w:rPr>
          <w:noProof/>
        </w:rPr>
        <w:drawing>
          <wp:inline distT="0" distB="0" distL="0" distR="0">
            <wp:extent cx="1115060" cy="733425"/>
            <wp:effectExtent l="1905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srcRect/>
                    <a:stretch>
                      <a:fillRect/>
                    </a:stretch>
                  </pic:blipFill>
                  <pic:spPr bwMode="auto">
                    <a:xfrm>
                      <a:off x="0" y="0"/>
                      <a:ext cx="1115060" cy="733425"/>
                    </a:xfrm>
                    <a:prstGeom prst="rect">
                      <a:avLst/>
                    </a:prstGeom>
                    <a:noFill/>
                    <a:ln w="9525">
                      <a:noFill/>
                      <a:miter lim="800000"/>
                      <a:headEnd/>
                      <a:tailEnd/>
                    </a:ln>
                  </pic:spPr>
                </pic:pic>
              </a:graphicData>
            </a:graphic>
          </wp:inline>
        </w:drawing>
      </w:r>
    </w:p>
    <w:p w:rsidR="00000000" w:rsidRDefault="00DE16D7">
      <w:pPr>
        <w:pStyle w:val="textup"/>
        <w:widowControl w:val="0"/>
      </w:pPr>
      <w:r>
        <w:rPr>
          <w:b/>
        </w:rPr>
        <w:t>Proposed FY 2003 Funding</w:t>
      </w:r>
      <w:r>
        <w:tab/>
        <w:t>The following table presents the Federal Fiscal Year (FFY) 2002 enacted levels of funding and the President’s proposed F</w:t>
      </w:r>
      <w:r>
        <w:t>Y 2003 funding levels for Iowa.</w:t>
      </w:r>
    </w:p>
    <w:p w:rsidR="00000000" w:rsidRDefault="00DE16D7">
      <w:pPr>
        <w:pStyle w:val="textup"/>
      </w:pPr>
    </w:p>
    <w:p w:rsidR="00000000" w:rsidRDefault="00DE16D7">
      <w:pPr>
        <w:pStyle w:val="Blurbtitle"/>
        <w:keepNext w:val="0"/>
      </w:pPr>
    </w:p>
    <w:p w:rsidR="00000000" w:rsidRDefault="00DE16D7">
      <w:pPr>
        <w:pStyle w:val="Footer"/>
        <w:spacing w:before="120"/>
        <w:jc w:val="center"/>
        <w:rPr>
          <w:rFonts w:ascii="Arial" w:hAnsi="Arial" w:cs="Arial"/>
          <w:b/>
          <w:sz w:val="24"/>
        </w:rPr>
      </w:pPr>
      <w:r>
        <w:rPr>
          <w:b/>
          <w:sz w:val="26"/>
        </w:rPr>
        <w:br w:type="page"/>
      </w:r>
      <w:r>
        <w:rPr>
          <w:rFonts w:ascii="Arial" w:hAnsi="Arial" w:cs="Arial"/>
          <w:b/>
          <w:sz w:val="24"/>
        </w:rPr>
        <w:lastRenderedPageBreak/>
        <w:t>Federal Grant Programs – Iowa</w:t>
      </w:r>
    </w:p>
    <w:p w:rsidR="00000000" w:rsidRDefault="00DE16D7">
      <w:pPr>
        <w:pStyle w:val="Footer"/>
        <w:jc w:val="center"/>
        <w:rPr>
          <w:rFonts w:ascii="Arial" w:hAnsi="Arial" w:cs="Arial"/>
          <w:sz w:val="16"/>
        </w:rPr>
      </w:pPr>
      <w:r>
        <w:rPr>
          <w:rFonts w:ascii="Arial" w:hAnsi="Arial" w:cs="Arial"/>
          <w:sz w:val="16"/>
        </w:rPr>
        <w:t>(Dollars in millions)</w:t>
      </w:r>
    </w:p>
    <w:p w:rsidR="00000000" w:rsidRDefault="00DE16D7">
      <w:pPr>
        <w:pStyle w:val="Footer"/>
        <w:jc w:val="center"/>
        <w:rPr>
          <w:sz w:val="22"/>
        </w:rPr>
      </w:pPr>
    </w:p>
    <w:tbl>
      <w:tblPr>
        <w:tblpPr w:leftFromText="180" w:rightFromText="180" w:vertAnchor="text" w:horzAnchor="margin" w:tblpXSpec="right" w:tblpY="197"/>
        <w:tblW w:w="8380" w:type="dxa"/>
        <w:tblLayout w:type="fixed"/>
        <w:tblLook w:val="0000"/>
      </w:tblPr>
      <w:tblGrid>
        <w:gridCol w:w="10"/>
        <w:gridCol w:w="3469"/>
        <w:gridCol w:w="270"/>
        <w:gridCol w:w="1368"/>
        <w:gridCol w:w="270"/>
        <w:gridCol w:w="1368"/>
        <w:gridCol w:w="263"/>
        <w:gridCol w:w="1349"/>
        <w:gridCol w:w="13"/>
      </w:tblGrid>
      <w:tr w:rsidR="00000000">
        <w:trPr>
          <w:gridAfter w:val="1"/>
          <w:wAfter w:w="13" w:type="dxa"/>
        </w:trPr>
        <w:tc>
          <w:tcPr>
            <w:tcW w:w="3479" w:type="dxa"/>
            <w:gridSpan w:val="2"/>
          </w:tcPr>
          <w:p w:rsidR="00000000" w:rsidRDefault="00DE16D7">
            <w:pPr>
              <w:pStyle w:val="tabletitle"/>
              <w:rPr>
                <w:b/>
                <w:bCs/>
              </w:rPr>
            </w:pPr>
          </w:p>
          <w:p w:rsidR="00000000" w:rsidRDefault="00DE16D7">
            <w:pPr>
              <w:pStyle w:val="tabletitle"/>
              <w:jc w:val="left"/>
              <w:rPr>
                <w:b/>
                <w:bCs/>
              </w:rPr>
            </w:pPr>
            <w:r>
              <w:rPr>
                <w:b/>
                <w:bCs/>
              </w:rPr>
              <w:t xml:space="preserve">                   Program</w:t>
            </w:r>
          </w:p>
        </w:tc>
        <w:tc>
          <w:tcPr>
            <w:tcW w:w="270" w:type="dxa"/>
          </w:tcPr>
          <w:p w:rsidR="00000000" w:rsidRDefault="00DE16D7">
            <w:pPr>
              <w:pStyle w:val="tabletitle"/>
              <w:rPr>
                <w:b/>
                <w:bCs/>
              </w:rPr>
            </w:pPr>
          </w:p>
        </w:tc>
        <w:tc>
          <w:tcPr>
            <w:tcW w:w="1368" w:type="dxa"/>
          </w:tcPr>
          <w:p w:rsidR="00000000" w:rsidRDefault="00DE16D7">
            <w:pPr>
              <w:pStyle w:val="tabletitle"/>
              <w:rPr>
                <w:b/>
                <w:bCs/>
              </w:rPr>
            </w:pPr>
            <w:r>
              <w:rPr>
                <w:b/>
                <w:bCs/>
              </w:rPr>
              <w:t>FFY 2002 Enacted</w:t>
            </w:r>
          </w:p>
        </w:tc>
        <w:tc>
          <w:tcPr>
            <w:tcW w:w="270" w:type="dxa"/>
          </w:tcPr>
          <w:p w:rsidR="00000000" w:rsidRDefault="00DE16D7">
            <w:pPr>
              <w:pStyle w:val="tabletitle"/>
              <w:rPr>
                <w:b/>
                <w:bCs/>
              </w:rPr>
            </w:pPr>
          </w:p>
        </w:tc>
        <w:tc>
          <w:tcPr>
            <w:tcW w:w="1368" w:type="dxa"/>
          </w:tcPr>
          <w:p w:rsidR="00000000" w:rsidRDefault="00DE16D7">
            <w:pPr>
              <w:pStyle w:val="tabletitle"/>
              <w:rPr>
                <w:b/>
                <w:bCs/>
              </w:rPr>
            </w:pPr>
            <w:r>
              <w:rPr>
                <w:b/>
                <w:bCs/>
              </w:rPr>
              <w:t>FFY 2003 Pres. Prop.</w:t>
            </w:r>
          </w:p>
        </w:tc>
        <w:tc>
          <w:tcPr>
            <w:tcW w:w="263" w:type="dxa"/>
          </w:tcPr>
          <w:p w:rsidR="00000000" w:rsidRDefault="00DE16D7">
            <w:pPr>
              <w:pStyle w:val="tabletitle"/>
              <w:rPr>
                <w:b/>
                <w:bCs/>
              </w:rPr>
            </w:pPr>
          </w:p>
        </w:tc>
        <w:tc>
          <w:tcPr>
            <w:tcW w:w="1349" w:type="dxa"/>
          </w:tcPr>
          <w:p w:rsidR="00000000" w:rsidRDefault="00DE16D7">
            <w:pPr>
              <w:pStyle w:val="tabletitle"/>
              <w:rPr>
                <w:b/>
                <w:bCs/>
              </w:rPr>
            </w:pPr>
          </w:p>
          <w:p w:rsidR="00000000" w:rsidRDefault="00DE16D7">
            <w:pPr>
              <w:pStyle w:val="tabletitle"/>
              <w:rPr>
                <w:b/>
                <w:bCs/>
              </w:rPr>
            </w:pPr>
            <w:r>
              <w:rPr>
                <w:b/>
                <w:bCs/>
              </w:rPr>
              <w:t>Difference</w:t>
            </w:r>
          </w:p>
        </w:tc>
      </w:tr>
      <w:tr w:rsidR="00000000">
        <w:trPr>
          <w:gridAfter w:val="1"/>
          <w:wAfter w:w="13" w:type="dxa"/>
          <w:trHeight w:val="144"/>
        </w:trPr>
        <w:tc>
          <w:tcPr>
            <w:tcW w:w="3479" w:type="dxa"/>
            <w:gridSpan w:val="2"/>
          </w:tcPr>
          <w:p w:rsidR="00000000" w:rsidRDefault="00DE16D7">
            <w:pPr>
              <w:pStyle w:val="tabletitle"/>
            </w:pPr>
          </w:p>
        </w:tc>
        <w:tc>
          <w:tcPr>
            <w:tcW w:w="270" w:type="dxa"/>
          </w:tcPr>
          <w:p w:rsidR="00000000" w:rsidRDefault="00DE16D7">
            <w:pPr>
              <w:pStyle w:val="tabletitle"/>
            </w:pPr>
          </w:p>
        </w:tc>
        <w:tc>
          <w:tcPr>
            <w:tcW w:w="1368" w:type="dxa"/>
          </w:tcPr>
          <w:p w:rsidR="00000000" w:rsidRDefault="00DE16D7">
            <w:pPr>
              <w:pStyle w:val="tabletitle"/>
            </w:pPr>
          </w:p>
        </w:tc>
        <w:tc>
          <w:tcPr>
            <w:tcW w:w="270" w:type="dxa"/>
          </w:tcPr>
          <w:p w:rsidR="00000000" w:rsidRDefault="00DE16D7">
            <w:pPr>
              <w:pStyle w:val="tabletitle"/>
            </w:pPr>
          </w:p>
        </w:tc>
        <w:tc>
          <w:tcPr>
            <w:tcW w:w="1368" w:type="dxa"/>
          </w:tcPr>
          <w:p w:rsidR="00000000" w:rsidRDefault="00DE16D7">
            <w:pPr>
              <w:pStyle w:val="tabletitle"/>
            </w:pPr>
          </w:p>
        </w:tc>
        <w:tc>
          <w:tcPr>
            <w:tcW w:w="263" w:type="dxa"/>
          </w:tcPr>
          <w:p w:rsidR="00000000" w:rsidRDefault="00DE16D7">
            <w:pPr>
              <w:pStyle w:val="tabletitle"/>
            </w:pPr>
          </w:p>
        </w:tc>
        <w:tc>
          <w:tcPr>
            <w:tcW w:w="1349" w:type="dxa"/>
          </w:tcPr>
          <w:p w:rsidR="00000000" w:rsidRDefault="00DE16D7">
            <w:pPr>
              <w:pStyle w:val="tabletitle"/>
            </w:pPr>
          </w:p>
        </w:tc>
      </w:tr>
      <w:tr w:rsidR="00000000">
        <w:trPr>
          <w:gridAfter w:val="1"/>
          <w:wAfter w:w="13" w:type="dxa"/>
          <w:trHeight w:val="360"/>
        </w:trPr>
        <w:tc>
          <w:tcPr>
            <w:tcW w:w="3479" w:type="dxa"/>
            <w:gridSpan w:val="2"/>
          </w:tcPr>
          <w:p w:rsidR="00000000" w:rsidRDefault="00DE16D7">
            <w:pPr>
              <w:pStyle w:val="tabletx"/>
            </w:pPr>
            <w:r>
              <w:t>Medicaid Administration</w:t>
            </w:r>
          </w:p>
        </w:tc>
        <w:tc>
          <w:tcPr>
            <w:tcW w:w="270" w:type="dxa"/>
          </w:tcPr>
          <w:p w:rsidR="00000000" w:rsidRDefault="00DE16D7">
            <w:pPr>
              <w:pStyle w:val="tabletx"/>
            </w:pPr>
          </w:p>
        </w:tc>
        <w:tc>
          <w:tcPr>
            <w:tcW w:w="1368" w:type="dxa"/>
          </w:tcPr>
          <w:p w:rsidR="00000000" w:rsidRDefault="00DE16D7">
            <w:pPr>
              <w:pStyle w:val="tabletx"/>
              <w:jc w:val="right"/>
            </w:pPr>
            <w:r>
              <w:t>$             60.7</w:t>
            </w:r>
          </w:p>
        </w:tc>
        <w:tc>
          <w:tcPr>
            <w:tcW w:w="270" w:type="dxa"/>
          </w:tcPr>
          <w:p w:rsidR="00000000" w:rsidRDefault="00DE16D7">
            <w:pPr>
              <w:pStyle w:val="tabletx"/>
              <w:jc w:val="right"/>
            </w:pPr>
          </w:p>
        </w:tc>
        <w:tc>
          <w:tcPr>
            <w:tcW w:w="1368" w:type="dxa"/>
          </w:tcPr>
          <w:p w:rsidR="00000000" w:rsidRDefault="00DE16D7">
            <w:pPr>
              <w:pStyle w:val="tabletx"/>
              <w:jc w:val="right"/>
            </w:pPr>
            <w:r>
              <w:t>$            54.9</w:t>
            </w:r>
          </w:p>
        </w:tc>
        <w:tc>
          <w:tcPr>
            <w:tcW w:w="263" w:type="dxa"/>
          </w:tcPr>
          <w:p w:rsidR="00000000" w:rsidRDefault="00DE16D7">
            <w:pPr>
              <w:pStyle w:val="tabletx"/>
              <w:jc w:val="right"/>
            </w:pPr>
          </w:p>
        </w:tc>
        <w:tc>
          <w:tcPr>
            <w:tcW w:w="1349" w:type="dxa"/>
          </w:tcPr>
          <w:p w:rsidR="00000000" w:rsidRDefault="00DE16D7">
            <w:pPr>
              <w:pStyle w:val="tabletx"/>
              <w:jc w:val="right"/>
            </w:pPr>
            <w:r>
              <w:t xml:space="preserve">$             </w:t>
            </w:r>
            <w:r>
              <w:t>-5.8</w:t>
            </w:r>
          </w:p>
        </w:tc>
      </w:tr>
      <w:tr w:rsidR="00000000">
        <w:trPr>
          <w:gridAfter w:val="1"/>
          <w:wAfter w:w="13" w:type="dxa"/>
          <w:trHeight w:val="360"/>
        </w:trPr>
        <w:tc>
          <w:tcPr>
            <w:tcW w:w="3479" w:type="dxa"/>
            <w:gridSpan w:val="2"/>
          </w:tcPr>
          <w:p w:rsidR="00000000" w:rsidRDefault="00DE16D7">
            <w:pPr>
              <w:pStyle w:val="tabletx"/>
            </w:pPr>
            <w:r>
              <w:t>Medicaid Vendor Payments</w:t>
            </w:r>
          </w:p>
        </w:tc>
        <w:tc>
          <w:tcPr>
            <w:tcW w:w="270" w:type="dxa"/>
          </w:tcPr>
          <w:p w:rsidR="00000000" w:rsidRDefault="00DE16D7">
            <w:pPr>
              <w:pStyle w:val="tabletx"/>
            </w:pPr>
          </w:p>
        </w:tc>
        <w:tc>
          <w:tcPr>
            <w:tcW w:w="1368" w:type="dxa"/>
          </w:tcPr>
          <w:p w:rsidR="00000000" w:rsidRDefault="00DE16D7">
            <w:pPr>
              <w:pStyle w:val="tabletx"/>
              <w:jc w:val="right"/>
            </w:pPr>
            <w:r>
              <w:t>1,523.9</w:t>
            </w:r>
          </w:p>
        </w:tc>
        <w:tc>
          <w:tcPr>
            <w:tcW w:w="270" w:type="dxa"/>
          </w:tcPr>
          <w:p w:rsidR="00000000" w:rsidRDefault="00DE16D7">
            <w:pPr>
              <w:pStyle w:val="tabletx"/>
              <w:jc w:val="right"/>
            </w:pPr>
          </w:p>
        </w:tc>
        <w:tc>
          <w:tcPr>
            <w:tcW w:w="1368" w:type="dxa"/>
          </w:tcPr>
          <w:p w:rsidR="00000000" w:rsidRDefault="00DE16D7">
            <w:pPr>
              <w:pStyle w:val="tabletx"/>
              <w:jc w:val="right"/>
            </w:pPr>
            <w:r>
              <w:t>1,235.9</w:t>
            </w:r>
          </w:p>
        </w:tc>
        <w:tc>
          <w:tcPr>
            <w:tcW w:w="263" w:type="dxa"/>
          </w:tcPr>
          <w:p w:rsidR="00000000" w:rsidRDefault="00DE16D7">
            <w:pPr>
              <w:pStyle w:val="tabletx"/>
              <w:jc w:val="right"/>
            </w:pPr>
          </w:p>
        </w:tc>
        <w:tc>
          <w:tcPr>
            <w:tcW w:w="1349" w:type="dxa"/>
          </w:tcPr>
          <w:p w:rsidR="00000000" w:rsidRDefault="00DE16D7">
            <w:pPr>
              <w:pStyle w:val="tabletx"/>
              <w:jc w:val="right"/>
            </w:pPr>
            <w:r>
              <w:t>-288.0</w:t>
            </w:r>
          </w:p>
        </w:tc>
      </w:tr>
      <w:tr w:rsidR="00000000">
        <w:trPr>
          <w:gridAfter w:val="1"/>
          <w:wAfter w:w="13" w:type="dxa"/>
          <w:trHeight w:val="360"/>
        </w:trPr>
        <w:tc>
          <w:tcPr>
            <w:tcW w:w="3479" w:type="dxa"/>
            <w:gridSpan w:val="2"/>
          </w:tcPr>
          <w:p w:rsidR="00000000" w:rsidRDefault="00DE16D7">
            <w:pPr>
              <w:pStyle w:val="tabletx"/>
            </w:pPr>
            <w:r>
              <w:t>Adoption Assistance</w:t>
            </w:r>
          </w:p>
        </w:tc>
        <w:tc>
          <w:tcPr>
            <w:tcW w:w="270" w:type="dxa"/>
          </w:tcPr>
          <w:p w:rsidR="00000000" w:rsidRDefault="00DE16D7">
            <w:pPr>
              <w:pStyle w:val="tabletx"/>
            </w:pPr>
          </w:p>
        </w:tc>
        <w:tc>
          <w:tcPr>
            <w:tcW w:w="1368" w:type="dxa"/>
          </w:tcPr>
          <w:p w:rsidR="00000000" w:rsidRDefault="00DE16D7">
            <w:pPr>
              <w:pStyle w:val="tabletx"/>
              <w:jc w:val="right"/>
            </w:pPr>
            <w:r>
              <w:t>23.4</w:t>
            </w:r>
          </w:p>
        </w:tc>
        <w:tc>
          <w:tcPr>
            <w:tcW w:w="270" w:type="dxa"/>
          </w:tcPr>
          <w:p w:rsidR="00000000" w:rsidRDefault="00DE16D7">
            <w:pPr>
              <w:pStyle w:val="tabletx"/>
              <w:jc w:val="right"/>
            </w:pPr>
          </w:p>
        </w:tc>
        <w:tc>
          <w:tcPr>
            <w:tcW w:w="1368" w:type="dxa"/>
          </w:tcPr>
          <w:p w:rsidR="00000000" w:rsidRDefault="00DE16D7">
            <w:pPr>
              <w:pStyle w:val="tabletx"/>
              <w:jc w:val="right"/>
            </w:pPr>
            <w:r>
              <w:t>26.0</w:t>
            </w:r>
          </w:p>
        </w:tc>
        <w:tc>
          <w:tcPr>
            <w:tcW w:w="263" w:type="dxa"/>
          </w:tcPr>
          <w:p w:rsidR="00000000" w:rsidRDefault="00DE16D7">
            <w:pPr>
              <w:pStyle w:val="tabletx"/>
              <w:jc w:val="right"/>
            </w:pPr>
          </w:p>
        </w:tc>
        <w:tc>
          <w:tcPr>
            <w:tcW w:w="1349" w:type="dxa"/>
          </w:tcPr>
          <w:p w:rsidR="00000000" w:rsidRDefault="00DE16D7">
            <w:pPr>
              <w:pStyle w:val="tabletx"/>
              <w:jc w:val="right"/>
            </w:pPr>
            <w:r>
              <w:t>2.6</w:t>
            </w:r>
          </w:p>
        </w:tc>
      </w:tr>
      <w:tr w:rsidR="00000000">
        <w:trPr>
          <w:gridAfter w:val="1"/>
          <w:wAfter w:w="13" w:type="dxa"/>
          <w:trHeight w:val="360"/>
        </w:trPr>
        <w:tc>
          <w:tcPr>
            <w:tcW w:w="3479" w:type="dxa"/>
            <w:gridSpan w:val="2"/>
          </w:tcPr>
          <w:p w:rsidR="00000000" w:rsidRDefault="00DE16D7">
            <w:pPr>
              <w:pStyle w:val="tabletx"/>
            </w:pPr>
            <w:r>
              <w:t>Substance Abuse and Prevention</w:t>
            </w:r>
          </w:p>
        </w:tc>
        <w:tc>
          <w:tcPr>
            <w:tcW w:w="270" w:type="dxa"/>
          </w:tcPr>
          <w:p w:rsidR="00000000" w:rsidRDefault="00DE16D7">
            <w:pPr>
              <w:pStyle w:val="tabletx"/>
            </w:pPr>
          </w:p>
        </w:tc>
        <w:tc>
          <w:tcPr>
            <w:tcW w:w="1368" w:type="dxa"/>
          </w:tcPr>
          <w:p w:rsidR="00000000" w:rsidRDefault="00DE16D7">
            <w:pPr>
              <w:pStyle w:val="tabletx"/>
              <w:jc w:val="right"/>
            </w:pPr>
            <w:r>
              <w:t>12.8</w:t>
            </w:r>
          </w:p>
        </w:tc>
        <w:tc>
          <w:tcPr>
            <w:tcW w:w="270" w:type="dxa"/>
          </w:tcPr>
          <w:p w:rsidR="00000000" w:rsidRDefault="00DE16D7">
            <w:pPr>
              <w:pStyle w:val="tabletx"/>
              <w:jc w:val="right"/>
            </w:pPr>
          </w:p>
        </w:tc>
        <w:tc>
          <w:tcPr>
            <w:tcW w:w="1368" w:type="dxa"/>
          </w:tcPr>
          <w:p w:rsidR="00000000" w:rsidRDefault="00DE16D7">
            <w:pPr>
              <w:pStyle w:val="tabletx"/>
              <w:jc w:val="right"/>
            </w:pPr>
            <w:r>
              <w:t>13.3</w:t>
            </w:r>
          </w:p>
        </w:tc>
        <w:tc>
          <w:tcPr>
            <w:tcW w:w="263" w:type="dxa"/>
          </w:tcPr>
          <w:p w:rsidR="00000000" w:rsidRDefault="00DE16D7">
            <w:pPr>
              <w:pStyle w:val="tabletx"/>
              <w:jc w:val="right"/>
            </w:pPr>
          </w:p>
        </w:tc>
        <w:tc>
          <w:tcPr>
            <w:tcW w:w="1349" w:type="dxa"/>
          </w:tcPr>
          <w:p w:rsidR="00000000" w:rsidRDefault="00DE16D7">
            <w:pPr>
              <w:pStyle w:val="tabletx"/>
              <w:jc w:val="right"/>
            </w:pPr>
            <w:r>
              <w:t>0.5</w:t>
            </w:r>
          </w:p>
        </w:tc>
      </w:tr>
      <w:tr w:rsidR="00000000">
        <w:trPr>
          <w:gridAfter w:val="1"/>
          <w:wAfter w:w="13" w:type="dxa"/>
          <w:trHeight w:val="360"/>
        </w:trPr>
        <w:tc>
          <w:tcPr>
            <w:tcW w:w="3479" w:type="dxa"/>
            <w:gridSpan w:val="2"/>
          </w:tcPr>
          <w:p w:rsidR="00000000" w:rsidRDefault="00DE16D7">
            <w:pPr>
              <w:pStyle w:val="tabletx"/>
            </w:pPr>
            <w:r>
              <w:t>Unemployment Insurance Admin.</w:t>
            </w:r>
          </w:p>
        </w:tc>
        <w:tc>
          <w:tcPr>
            <w:tcW w:w="270" w:type="dxa"/>
          </w:tcPr>
          <w:p w:rsidR="00000000" w:rsidRDefault="00DE16D7">
            <w:pPr>
              <w:pStyle w:val="tabletx"/>
            </w:pPr>
          </w:p>
        </w:tc>
        <w:tc>
          <w:tcPr>
            <w:tcW w:w="1368" w:type="dxa"/>
          </w:tcPr>
          <w:p w:rsidR="00000000" w:rsidRDefault="00DE16D7">
            <w:pPr>
              <w:pStyle w:val="tabletx"/>
              <w:jc w:val="right"/>
            </w:pPr>
            <w:r>
              <w:t>23.4</w:t>
            </w:r>
          </w:p>
        </w:tc>
        <w:tc>
          <w:tcPr>
            <w:tcW w:w="270" w:type="dxa"/>
          </w:tcPr>
          <w:p w:rsidR="00000000" w:rsidRDefault="00DE16D7">
            <w:pPr>
              <w:pStyle w:val="tabletx"/>
              <w:jc w:val="right"/>
            </w:pPr>
          </w:p>
        </w:tc>
        <w:tc>
          <w:tcPr>
            <w:tcW w:w="1368" w:type="dxa"/>
          </w:tcPr>
          <w:p w:rsidR="00000000" w:rsidRDefault="00DE16D7">
            <w:pPr>
              <w:pStyle w:val="tabletx"/>
              <w:jc w:val="right"/>
            </w:pPr>
            <w:r>
              <w:t>22.8</w:t>
            </w:r>
          </w:p>
        </w:tc>
        <w:tc>
          <w:tcPr>
            <w:tcW w:w="263" w:type="dxa"/>
          </w:tcPr>
          <w:p w:rsidR="00000000" w:rsidRDefault="00DE16D7">
            <w:pPr>
              <w:pStyle w:val="tabletx"/>
              <w:jc w:val="right"/>
            </w:pPr>
          </w:p>
        </w:tc>
        <w:tc>
          <w:tcPr>
            <w:tcW w:w="1349" w:type="dxa"/>
          </w:tcPr>
          <w:p w:rsidR="00000000" w:rsidRDefault="00DE16D7">
            <w:pPr>
              <w:pStyle w:val="tabletx"/>
              <w:jc w:val="right"/>
            </w:pPr>
            <w:r>
              <w:t>-0.6</w:t>
            </w:r>
          </w:p>
        </w:tc>
      </w:tr>
      <w:tr w:rsidR="00000000">
        <w:trPr>
          <w:gridAfter w:val="1"/>
          <w:wAfter w:w="13" w:type="dxa"/>
          <w:trHeight w:val="360"/>
        </w:trPr>
        <w:tc>
          <w:tcPr>
            <w:tcW w:w="3479" w:type="dxa"/>
            <w:gridSpan w:val="2"/>
          </w:tcPr>
          <w:p w:rsidR="00000000" w:rsidRDefault="00DE16D7">
            <w:pPr>
              <w:pStyle w:val="tabletx"/>
            </w:pPr>
            <w:r>
              <w:t>Temporary Assist. for Needy Families</w:t>
            </w:r>
          </w:p>
        </w:tc>
        <w:tc>
          <w:tcPr>
            <w:tcW w:w="270" w:type="dxa"/>
          </w:tcPr>
          <w:p w:rsidR="00000000" w:rsidRDefault="00DE16D7">
            <w:pPr>
              <w:pStyle w:val="tabletx"/>
            </w:pPr>
          </w:p>
        </w:tc>
        <w:tc>
          <w:tcPr>
            <w:tcW w:w="1368" w:type="dxa"/>
          </w:tcPr>
          <w:p w:rsidR="00000000" w:rsidRDefault="00DE16D7">
            <w:pPr>
              <w:pStyle w:val="tabletx"/>
              <w:jc w:val="right"/>
            </w:pPr>
            <w:r>
              <w:t>131.5</w:t>
            </w:r>
          </w:p>
        </w:tc>
        <w:tc>
          <w:tcPr>
            <w:tcW w:w="270" w:type="dxa"/>
          </w:tcPr>
          <w:p w:rsidR="00000000" w:rsidRDefault="00DE16D7">
            <w:pPr>
              <w:pStyle w:val="tabletx"/>
              <w:jc w:val="right"/>
            </w:pPr>
          </w:p>
        </w:tc>
        <w:tc>
          <w:tcPr>
            <w:tcW w:w="1368" w:type="dxa"/>
          </w:tcPr>
          <w:p w:rsidR="00000000" w:rsidRDefault="00DE16D7">
            <w:pPr>
              <w:pStyle w:val="tabletx"/>
              <w:jc w:val="right"/>
            </w:pPr>
            <w:r>
              <w:t>131.5</w:t>
            </w:r>
          </w:p>
        </w:tc>
        <w:tc>
          <w:tcPr>
            <w:tcW w:w="263" w:type="dxa"/>
          </w:tcPr>
          <w:p w:rsidR="00000000" w:rsidRDefault="00DE16D7">
            <w:pPr>
              <w:pStyle w:val="tabletx"/>
              <w:jc w:val="right"/>
            </w:pPr>
          </w:p>
        </w:tc>
        <w:tc>
          <w:tcPr>
            <w:tcW w:w="1349" w:type="dxa"/>
          </w:tcPr>
          <w:p w:rsidR="00000000" w:rsidRDefault="00DE16D7">
            <w:pPr>
              <w:pStyle w:val="tabletx"/>
              <w:jc w:val="right"/>
            </w:pPr>
            <w:r>
              <w:t>0.0</w:t>
            </w:r>
          </w:p>
        </w:tc>
      </w:tr>
      <w:tr w:rsidR="00000000">
        <w:trPr>
          <w:gridAfter w:val="1"/>
          <w:wAfter w:w="13" w:type="dxa"/>
          <w:trHeight w:val="360"/>
        </w:trPr>
        <w:tc>
          <w:tcPr>
            <w:tcW w:w="3479" w:type="dxa"/>
            <w:gridSpan w:val="2"/>
          </w:tcPr>
          <w:p w:rsidR="00000000" w:rsidRDefault="00DE16D7">
            <w:pPr>
              <w:pStyle w:val="tabletx"/>
            </w:pPr>
            <w:r>
              <w:t>Title</w:t>
            </w:r>
            <w:r>
              <w:t xml:space="preserve"> I – Local Education Agencies</w:t>
            </w:r>
          </w:p>
        </w:tc>
        <w:tc>
          <w:tcPr>
            <w:tcW w:w="270" w:type="dxa"/>
          </w:tcPr>
          <w:p w:rsidR="00000000" w:rsidRDefault="00DE16D7">
            <w:pPr>
              <w:pStyle w:val="tabletx"/>
            </w:pPr>
          </w:p>
        </w:tc>
        <w:tc>
          <w:tcPr>
            <w:tcW w:w="1368" w:type="dxa"/>
          </w:tcPr>
          <w:p w:rsidR="00000000" w:rsidRDefault="00DE16D7">
            <w:pPr>
              <w:pStyle w:val="tabletx"/>
              <w:jc w:val="right"/>
            </w:pPr>
            <w:r>
              <w:t>61.7</w:t>
            </w:r>
          </w:p>
        </w:tc>
        <w:tc>
          <w:tcPr>
            <w:tcW w:w="270" w:type="dxa"/>
          </w:tcPr>
          <w:p w:rsidR="00000000" w:rsidRDefault="00DE16D7">
            <w:pPr>
              <w:pStyle w:val="tabletx"/>
              <w:jc w:val="right"/>
            </w:pPr>
          </w:p>
        </w:tc>
        <w:tc>
          <w:tcPr>
            <w:tcW w:w="1368" w:type="dxa"/>
          </w:tcPr>
          <w:p w:rsidR="00000000" w:rsidRDefault="00DE16D7">
            <w:pPr>
              <w:pStyle w:val="tabletx"/>
              <w:jc w:val="right"/>
            </w:pPr>
            <w:r>
              <w:t>64.5</w:t>
            </w:r>
          </w:p>
        </w:tc>
        <w:tc>
          <w:tcPr>
            <w:tcW w:w="263" w:type="dxa"/>
          </w:tcPr>
          <w:p w:rsidR="00000000" w:rsidRDefault="00DE16D7">
            <w:pPr>
              <w:pStyle w:val="tabletx"/>
              <w:jc w:val="right"/>
            </w:pPr>
          </w:p>
        </w:tc>
        <w:tc>
          <w:tcPr>
            <w:tcW w:w="1349" w:type="dxa"/>
          </w:tcPr>
          <w:p w:rsidR="00000000" w:rsidRDefault="00DE16D7">
            <w:pPr>
              <w:pStyle w:val="tabletx"/>
              <w:jc w:val="right"/>
            </w:pPr>
            <w:r>
              <w:t>2.8</w:t>
            </w:r>
          </w:p>
        </w:tc>
      </w:tr>
      <w:tr w:rsidR="00000000">
        <w:trPr>
          <w:gridAfter w:val="1"/>
          <w:wAfter w:w="13" w:type="dxa"/>
          <w:trHeight w:val="360"/>
        </w:trPr>
        <w:tc>
          <w:tcPr>
            <w:tcW w:w="3479" w:type="dxa"/>
            <w:gridSpan w:val="2"/>
          </w:tcPr>
          <w:p w:rsidR="00000000" w:rsidRDefault="00DE16D7">
            <w:pPr>
              <w:pStyle w:val="tabletx"/>
            </w:pPr>
            <w:r>
              <w:t>Vocational Education – Basic Grant</w:t>
            </w:r>
          </w:p>
        </w:tc>
        <w:tc>
          <w:tcPr>
            <w:tcW w:w="270" w:type="dxa"/>
          </w:tcPr>
          <w:p w:rsidR="00000000" w:rsidRDefault="00DE16D7">
            <w:pPr>
              <w:pStyle w:val="tabletx"/>
            </w:pPr>
          </w:p>
        </w:tc>
        <w:tc>
          <w:tcPr>
            <w:tcW w:w="1368" w:type="dxa"/>
          </w:tcPr>
          <w:p w:rsidR="00000000" w:rsidRDefault="00DE16D7">
            <w:pPr>
              <w:pStyle w:val="tabletx"/>
              <w:jc w:val="right"/>
            </w:pPr>
            <w:r>
              <w:t>13.3</w:t>
            </w:r>
          </w:p>
        </w:tc>
        <w:tc>
          <w:tcPr>
            <w:tcW w:w="270" w:type="dxa"/>
          </w:tcPr>
          <w:p w:rsidR="00000000" w:rsidRDefault="00DE16D7">
            <w:pPr>
              <w:pStyle w:val="tabletx"/>
              <w:jc w:val="right"/>
            </w:pPr>
          </w:p>
        </w:tc>
        <w:tc>
          <w:tcPr>
            <w:tcW w:w="1368" w:type="dxa"/>
          </w:tcPr>
          <w:p w:rsidR="00000000" w:rsidRDefault="00DE16D7">
            <w:pPr>
              <w:pStyle w:val="tabletx"/>
              <w:jc w:val="right"/>
            </w:pPr>
            <w:r>
              <w:t>13.3</w:t>
            </w:r>
          </w:p>
        </w:tc>
        <w:tc>
          <w:tcPr>
            <w:tcW w:w="263" w:type="dxa"/>
          </w:tcPr>
          <w:p w:rsidR="00000000" w:rsidRDefault="00DE16D7">
            <w:pPr>
              <w:pStyle w:val="tabletx"/>
              <w:jc w:val="right"/>
            </w:pPr>
          </w:p>
        </w:tc>
        <w:tc>
          <w:tcPr>
            <w:tcW w:w="1349" w:type="dxa"/>
          </w:tcPr>
          <w:p w:rsidR="00000000" w:rsidRDefault="00DE16D7">
            <w:pPr>
              <w:pStyle w:val="tabletx"/>
              <w:jc w:val="right"/>
            </w:pPr>
            <w:r>
              <w:t>0.0</w:t>
            </w:r>
          </w:p>
        </w:tc>
      </w:tr>
      <w:tr w:rsidR="00000000">
        <w:trPr>
          <w:gridAfter w:val="1"/>
          <w:wAfter w:w="13" w:type="dxa"/>
          <w:trHeight w:val="360"/>
        </w:trPr>
        <w:tc>
          <w:tcPr>
            <w:tcW w:w="3479" w:type="dxa"/>
            <w:gridSpan w:val="2"/>
          </w:tcPr>
          <w:p w:rsidR="00000000" w:rsidRDefault="00DE16D7">
            <w:pPr>
              <w:pStyle w:val="tabletx"/>
            </w:pPr>
            <w:r>
              <w:t>Special Education Basic Grants</w:t>
            </w:r>
          </w:p>
        </w:tc>
        <w:tc>
          <w:tcPr>
            <w:tcW w:w="270" w:type="dxa"/>
          </w:tcPr>
          <w:p w:rsidR="00000000" w:rsidRDefault="00DE16D7">
            <w:pPr>
              <w:pStyle w:val="tabletx"/>
            </w:pPr>
          </w:p>
        </w:tc>
        <w:tc>
          <w:tcPr>
            <w:tcW w:w="1368" w:type="dxa"/>
          </w:tcPr>
          <w:p w:rsidR="00000000" w:rsidRDefault="00DE16D7">
            <w:pPr>
              <w:pStyle w:val="tabletx"/>
              <w:jc w:val="right"/>
            </w:pPr>
            <w:r>
              <w:t>82.5</w:t>
            </w:r>
          </w:p>
        </w:tc>
        <w:tc>
          <w:tcPr>
            <w:tcW w:w="270" w:type="dxa"/>
          </w:tcPr>
          <w:p w:rsidR="00000000" w:rsidRDefault="00DE16D7">
            <w:pPr>
              <w:pStyle w:val="tabletx"/>
              <w:jc w:val="right"/>
            </w:pPr>
          </w:p>
        </w:tc>
        <w:tc>
          <w:tcPr>
            <w:tcW w:w="1368" w:type="dxa"/>
          </w:tcPr>
          <w:p w:rsidR="00000000" w:rsidRDefault="00DE16D7">
            <w:pPr>
              <w:pStyle w:val="tabletx"/>
              <w:jc w:val="right"/>
            </w:pPr>
            <w:r>
              <w:t>92.4</w:t>
            </w:r>
          </w:p>
        </w:tc>
        <w:tc>
          <w:tcPr>
            <w:tcW w:w="263" w:type="dxa"/>
          </w:tcPr>
          <w:p w:rsidR="00000000" w:rsidRDefault="00DE16D7">
            <w:pPr>
              <w:pStyle w:val="tabletx"/>
              <w:jc w:val="right"/>
            </w:pPr>
          </w:p>
        </w:tc>
        <w:tc>
          <w:tcPr>
            <w:tcW w:w="1349" w:type="dxa"/>
          </w:tcPr>
          <w:p w:rsidR="00000000" w:rsidRDefault="00DE16D7">
            <w:pPr>
              <w:pStyle w:val="tabletx"/>
              <w:jc w:val="right"/>
            </w:pPr>
            <w:r>
              <w:t>9.9</w:t>
            </w:r>
          </w:p>
        </w:tc>
      </w:tr>
      <w:tr w:rsidR="00000000">
        <w:trPr>
          <w:gridAfter w:val="1"/>
          <w:wAfter w:w="13" w:type="dxa"/>
          <w:trHeight w:val="360"/>
        </w:trPr>
        <w:tc>
          <w:tcPr>
            <w:tcW w:w="3479" w:type="dxa"/>
            <w:gridSpan w:val="2"/>
          </w:tcPr>
          <w:p w:rsidR="00000000" w:rsidRDefault="00DE16D7">
            <w:pPr>
              <w:pStyle w:val="tabletx"/>
            </w:pPr>
            <w:r>
              <w:t>Head Start</w:t>
            </w:r>
          </w:p>
        </w:tc>
        <w:tc>
          <w:tcPr>
            <w:tcW w:w="270" w:type="dxa"/>
          </w:tcPr>
          <w:p w:rsidR="00000000" w:rsidRDefault="00DE16D7">
            <w:pPr>
              <w:pStyle w:val="tabletx"/>
            </w:pPr>
          </w:p>
        </w:tc>
        <w:tc>
          <w:tcPr>
            <w:tcW w:w="1368" w:type="dxa"/>
          </w:tcPr>
          <w:p w:rsidR="00000000" w:rsidRDefault="00DE16D7">
            <w:pPr>
              <w:pStyle w:val="tabletx"/>
              <w:jc w:val="right"/>
            </w:pPr>
            <w:r>
              <w:t>50.3</w:t>
            </w:r>
          </w:p>
        </w:tc>
        <w:tc>
          <w:tcPr>
            <w:tcW w:w="270" w:type="dxa"/>
          </w:tcPr>
          <w:p w:rsidR="00000000" w:rsidRDefault="00DE16D7">
            <w:pPr>
              <w:pStyle w:val="tabletx"/>
              <w:jc w:val="right"/>
            </w:pPr>
          </w:p>
        </w:tc>
        <w:tc>
          <w:tcPr>
            <w:tcW w:w="1368" w:type="dxa"/>
          </w:tcPr>
          <w:p w:rsidR="00000000" w:rsidRDefault="00DE16D7">
            <w:pPr>
              <w:pStyle w:val="tabletx"/>
              <w:jc w:val="right"/>
            </w:pPr>
            <w:r>
              <w:t>51.3</w:t>
            </w:r>
          </w:p>
        </w:tc>
        <w:tc>
          <w:tcPr>
            <w:tcW w:w="263" w:type="dxa"/>
          </w:tcPr>
          <w:p w:rsidR="00000000" w:rsidRDefault="00DE16D7">
            <w:pPr>
              <w:pStyle w:val="tabletx"/>
              <w:jc w:val="right"/>
            </w:pPr>
          </w:p>
        </w:tc>
        <w:tc>
          <w:tcPr>
            <w:tcW w:w="1349" w:type="dxa"/>
          </w:tcPr>
          <w:p w:rsidR="00000000" w:rsidRDefault="00DE16D7">
            <w:pPr>
              <w:pStyle w:val="tabletx"/>
              <w:jc w:val="right"/>
            </w:pPr>
            <w:r>
              <w:t>1.0</w:t>
            </w:r>
          </w:p>
        </w:tc>
      </w:tr>
      <w:tr w:rsidR="00000000">
        <w:trPr>
          <w:gridAfter w:val="1"/>
          <w:wAfter w:w="13" w:type="dxa"/>
          <w:trHeight w:val="360"/>
        </w:trPr>
        <w:tc>
          <w:tcPr>
            <w:tcW w:w="3479" w:type="dxa"/>
            <w:gridSpan w:val="2"/>
          </w:tcPr>
          <w:p w:rsidR="00000000" w:rsidRDefault="00DE16D7">
            <w:pPr>
              <w:pStyle w:val="tabletx"/>
            </w:pPr>
            <w:r>
              <w:t>Child Care Development Block Grant</w:t>
            </w:r>
          </w:p>
        </w:tc>
        <w:tc>
          <w:tcPr>
            <w:tcW w:w="270" w:type="dxa"/>
          </w:tcPr>
          <w:p w:rsidR="00000000" w:rsidRDefault="00DE16D7">
            <w:pPr>
              <w:pStyle w:val="tabletx"/>
            </w:pPr>
          </w:p>
        </w:tc>
        <w:tc>
          <w:tcPr>
            <w:tcW w:w="1368" w:type="dxa"/>
          </w:tcPr>
          <w:p w:rsidR="00000000" w:rsidRDefault="00DE16D7">
            <w:pPr>
              <w:pStyle w:val="tabletx"/>
              <w:jc w:val="right"/>
            </w:pPr>
            <w:r>
              <w:t>18.7</w:t>
            </w:r>
          </w:p>
        </w:tc>
        <w:tc>
          <w:tcPr>
            <w:tcW w:w="270" w:type="dxa"/>
          </w:tcPr>
          <w:p w:rsidR="00000000" w:rsidRDefault="00DE16D7">
            <w:pPr>
              <w:pStyle w:val="tabletx"/>
              <w:jc w:val="right"/>
            </w:pPr>
          </w:p>
        </w:tc>
        <w:tc>
          <w:tcPr>
            <w:tcW w:w="1368" w:type="dxa"/>
          </w:tcPr>
          <w:p w:rsidR="00000000" w:rsidRDefault="00DE16D7">
            <w:pPr>
              <w:pStyle w:val="tabletx"/>
              <w:jc w:val="right"/>
            </w:pPr>
            <w:r>
              <w:t>1878</w:t>
            </w:r>
          </w:p>
        </w:tc>
        <w:tc>
          <w:tcPr>
            <w:tcW w:w="263" w:type="dxa"/>
          </w:tcPr>
          <w:p w:rsidR="00000000" w:rsidRDefault="00DE16D7">
            <w:pPr>
              <w:pStyle w:val="tabletx"/>
              <w:jc w:val="right"/>
            </w:pPr>
          </w:p>
        </w:tc>
        <w:tc>
          <w:tcPr>
            <w:tcW w:w="1349" w:type="dxa"/>
          </w:tcPr>
          <w:p w:rsidR="00000000" w:rsidRDefault="00DE16D7">
            <w:pPr>
              <w:pStyle w:val="tabletx"/>
              <w:jc w:val="right"/>
            </w:pPr>
            <w:r>
              <w:t>0.0</w:t>
            </w:r>
          </w:p>
        </w:tc>
      </w:tr>
      <w:tr w:rsidR="00000000">
        <w:trPr>
          <w:gridBefore w:val="1"/>
          <w:wBefore w:w="10" w:type="dxa"/>
          <w:trHeight w:val="360"/>
        </w:trPr>
        <w:tc>
          <w:tcPr>
            <w:tcW w:w="3469" w:type="dxa"/>
          </w:tcPr>
          <w:p w:rsidR="00000000" w:rsidRDefault="00DE16D7">
            <w:pPr>
              <w:pStyle w:val="tabletx"/>
            </w:pPr>
            <w:r>
              <w:t>Social Services Block Gr</w:t>
            </w:r>
            <w:r>
              <w:t>ant</w:t>
            </w:r>
          </w:p>
        </w:tc>
        <w:tc>
          <w:tcPr>
            <w:tcW w:w="270" w:type="dxa"/>
          </w:tcPr>
          <w:p w:rsidR="00000000" w:rsidRDefault="00DE16D7">
            <w:pPr>
              <w:pStyle w:val="tabletx"/>
            </w:pPr>
          </w:p>
        </w:tc>
        <w:tc>
          <w:tcPr>
            <w:tcW w:w="1368" w:type="dxa"/>
          </w:tcPr>
          <w:p w:rsidR="00000000" w:rsidRDefault="00DE16D7">
            <w:pPr>
              <w:pStyle w:val="tabletx"/>
              <w:jc w:val="right"/>
            </w:pPr>
            <w:r>
              <w:t>17.6</w:t>
            </w:r>
          </w:p>
        </w:tc>
        <w:tc>
          <w:tcPr>
            <w:tcW w:w="270" w:type="dxa"/>
          </w:tcPr>
          <w:p w:rsidR="00000000" w:rsidRDefault="00DE16D7">
            <w:pPr>
              <w:pStyle w:val="tabletx"/>
              <w:jc w:val="right"/>
            </w:pPr>
          </w:p>
        </w:tc>
        <w:tc>
          <w:tcPr>
            <w:tcW w:w="1368" w:type="dxa"/>
          </w:tcPr>
          <w:p w:rsidR="00000000" w:rsidRDefault="00DE16D7">
            <w:pPr>
              <w:pStyle w:val="tabletx"/>
              <w:jc w:val="right"/>
            </w:pPr>
            <w:r>
              <w:t>17.5</w:t>
            </w:r>
          </w:p>
        </w:tc>
        <w:tc>
          <w:tcPr>
            <w:tcW w:w="263" w:type="dxa"/>
          </w:tcPr>
          <w:p w:rsidR="00000000" w:rsidRDefault="00DE16D7">
            <w:pPr>
              <w:pStyle w:val="tabletx"/>
              <w:jc w:val="right"/>
            </w:pPr>
          </w:p>
        </w:tc>
        <w:tc>
          <w:tcPr>
            <w:tcW w:w="1362" w:type="dxa"/>
            <w:gridSpan w:val="2"/>
          </w:tcPr>
          <w:p w:rsidR="00000000" w:rsidRDefault="00DE16D7">
            <w:pPr>
              <w:pStyle w:val="tabletx"/>
              <w:jc w:val="right"/>
            </w:pPr>
            <w:r>
              <w:t>-0.1</w:t>
            </w:r>
          </w:p>
        </w:tc>
      </w:tr>
      <w:tr w:rsidR="00000000">
        <w:trPr>
          <w:gridBefore w:val="1"/>
          <w:wBefore w:w="10" w:type="dxa"/>
          <w:trHeight w:val="360"/>
        </w:trPr>
        <w:tc>
          <w:tcPr>
            <w:tcW w:w="3469" w:type="dxa"/>
          </w:tcPr>
          <w:p w:rsidR="00000000" w:rsidRDefault="00DE16D7">
            <w:pPr>
              <w:pStyle w:val="tabletx"/>
            </w:pPr>
            <w:r>
              <w:t>Foster Care</w:t>
            </w:r>
          </w:p>
        </w:tc>
        <w:tc>
          <w:tcPr>
            <w:tcW w:w="270" w:type="dxa"/>
          </w:tcPr>
          <w:p w:rsidR="00000000" w:rsidRDefault="00DE16D7">
            <w:pPr>
              <w:pStyle w:val="tabletx"/>
            </w:pPr>
          </w:p>
        </w:tc>
        <w:tc>
          <w:tcPr>
            <w:tcW w:w="1368" w:type="dxa"/>
          </w:tcPr>
          <w:p w:rsidR="00000000" w:rsidRDefault="00DE16D7">
            <w:pPr>
              <w:pStyle w:val="tabletx"/>
              <w:jc w:val="right"/>
            </w:pPr>
            <w:r>
              <w:t>37.5</w:t>
            </w:r>
          </w:p>
        </w:tc>
        <w:tc>
          <w:tcPr>
            <w:tcW w:w="270" w:type="dxa"/>
          </w:tcPr>
          <w:p w:rsidR="00000000" w:rsidRDefault="00DE16D7">
            <w:pPr>
              <w:pStyle w:val="tabletx"/>
              <w:jc w:val="right"/>
            </w:pPr>
          </w:p>
        </w:tc>
        <w:tc>
          <w:tcPr>
            <w:tcW w:w="1368" w:type="dxa"/>
          </w:tcPr>
          <w:p w:rsidR="00000000" w:rsidRDefault="00DE16D7">
            <w:pPr>
              <w:pStyle w:val="tabletx"/>
              <w:jc w:val="right"/>
            </w:pPr>
            <w:r>
              <w:t>36.2</w:t>
            </w:r>
          </w:p>
        </w:tc>
        <w:tc>
          <w:tcPr>
            <w:tcW w:w="263" w:type="dxa"/>
          </w:tcPr>
          <w:p w:rsidR="00000000" w:rsidRDefault="00DE16D7">
            <w:pPr>
              <w:pStyle w:val="tabletx"/>
              <w:jc w:val="right"/>
            </w:pPr>
          </w:p>
        </w:tc>
        <w:tc>
          <w:tcPr>
            <w:tcW w:w="1362" w:type="dxa"/>
            <w:gridSpan w:val="2"/>
          </w:tcPr>
          <w:p w:rsidR="00000000" w:rsidRDefault="00DE16D7">
            <w:pPr>
              <w:pStyle w:val="tabletx"/>
              <w:jc w:val="right"/>
            </w:pPr>
            <w:r>
              <w:t>-1.3</w:t>
            </w:r>
          </w:p>
        </w:tc>
      </w:tr>
      <w:tr w:rsidR="00000000">
        <w:trPr>
          <w:gridBefore w:val="1"/>
          <w:wBefore w:w="10" w:type="dxa"/>
          <w:trHeight w:val="360"/>
        </w:trPr>
        <w:tc>
          <w:tcPr>
            <w:tcW w:w="3469" w:type="dxa"/>
          </w:tcPr>
          <w:p w:rsidR="00000000" w:rsidRDefault="00DE16D7">
            <w:pPr>
              <w:pStyle w:val="tabletx"/>
            </w:pPr>
            <w:r>
              <w:t>Child Support Enforcement Admin.</w:t>
            </w:r>
          </w:p>
        </w:tc>
        <w:tc>
          <w:tcPr>
            <w:tcW w:w="270" w:type="dxa"/>
          </w:tcPr>
          <w:p w:rsidR="00000000" w:rsidRDefault="00DE16D7">
            <w:pPr>
              <w:pStyle w:val="tabletx"/>
            </w:pPr>
          </w:p>
        </w:tc>
        <w:tc>
          <w:tcPr>
            <w:tcW w:w="1368" w:type="dxa"/>
          </w:tcPr>
          <w:p w:rsidR="00000000" w:rsidRDefault="00DE16D7">
            <w:pPr>
              <w:pStyle w:val="tabletx"/>
              <w:jc w:val="right"/>
            </w:pPr>
            <w:r>
              <w:t>44.5</w:t>
            </w:r>
          </w:p>
        </w:tc>
        <w:tc>
          <w:tcPr>
            <w:tcW w:w="270" w:type="dxa"/>
          </w:tcPr>
          <w:p w:rsidR="00000000" w:rsidRDefault="00DE16D7">
            <w:pPr>
              <w:pStyle w:val="tabletx"/>
              <w:jc w:val="right"/>
            </w:pPr>
          </w:p>
        </w:tc>
        <w:tc>
          <w:tcPr>
            <w:tcW w:w="1368" w:type="dxa"/>
          </w:tcPr>
          <w:p w:rsidR="00000000" w:rsidRDefault="00DE16D7">
            <w:pPr>
              <w:pStyle w:val="tabletx"/>
              <w:jc w:val="right"/>
            </w:pPr>
            <w:r>
              <w:t>45.4</w:t>
            </w:r>
          </w:p>
        </w:tc>
        <w:tc>
          <w:tcPr>
            <w:tcW w:w="263" w:type="dxa"/>
          </w:tcPr>
          <w:p w:rsidR="00000000" w:rsidRDefault="00DE16D7">
            <w:pPr>
              <w:pStyle w:val="tabletx"/>
              <w:jc w:val="right"/>
            </w:pPr>
          </w:p>
        </w:tc>
        <w:tc>
          <w:tcPr>
            <w:tcW w:w="1362" w:type="dxa"/>
            <w:gridSpan w:val="2"/>
          </w:tcPr>
          <w:p w:rsidR="00000000" w:rsidRDefault="00DE16D7">
            <w:pPr>
              <w:pStyle w:val="tabletx"/>
              <w:jc w:val="right"/>
            </w:pPr>
            <w:r>
              <w:t>0.9</w:t>
            </w:r>
          </w:p>
        </w:tc>
      </w:tr>
      <w:tr w:rsidR="00000000">
        <w:trPr>
          <w:gridBefore w:val="1"/>
          <w:wBefore w:w="10" w:type="dxa"/>
          <w:trHeight w:val="360"/>
        </w:trPr>
        <w:tc>
          <w:tcPr>
            <w:tcW w:w="3469" w:type="dxa"/>
          </w:tcPr>
          <w:p w:rsidR="00000000" w:rsidRDefault="00DE16D7">
            <w:pPr>
              <w:pStyle w:val="tabletx"/>
            </w:pPr>
            <w:r>
              <w:t>Child Care Entitlement</w:t>
            </w:r>
          </w:p>
        </w:tc>
        <w:tc>
          <w:tcPr>
            <w:tcW w:w="270" w:type="dxa"/>
          </w:tcPr>
          <w:p w:rsidR="00000000" w:rsidRDefault="00DE16D7">
            <w:pPr>
              <w:pStyle w:val="tabletx"/>
            </w:pPr>
          </w:p>
        </w:tc>
        <w:tc>
          <w:tcPr>
            <w:tcW w:w="1368" w:type="dxa"/>
          </w:tcPr>
          <w:p w:rsidR="00000000" w:rsidRDefault="00DE16D7">
            <w:pPr>
              <w:pStyle w:val="tabletx"/>
              <w:jc w:val="right"/>
            </w:pPr>
            <w:r>
              <w:t>23.1</w:t>
            </w:r>
          </w:p>
        </w:tc>
        <w:tc>
          <w:tcPr>
            <w:tcW w:w="270" w:type="dxa"/>
          </w:tcPr>
          <w:p w:rsidR="00000000" w:rsidRDefault="00DE16D7">
            <w:pPr>
              <w:pStyle w:val="tabletx"/>
              <w:jc w:val="right"/>
            </w:pPr>
          </w:p>
        </w:tc>
        <w:tc>
          <w:tcPr>
            <w:tcW w:w="1368" w:type="dxa"/>
          </w:tcPr>
          <w:p w:rsidR="00000000" w:rsidRDefault="00DE16D7">
            <w:pPr>
              <w:pStyle w:val="tabletx"/>
              <w:jc w:val="right"/>
            </w:pPr>
            <w:r>
              <w:t>23.1</w:t>
            </w:r>
          </w:p>
        </w:tc>
        <w:tc>
          <w:tcPr>
            <w:tcW w:w="263" w:type="dxa"/>
          </w:tcPr>
          <w:p w:rsidR="00000000" w:rsidRDefault="00DE16D7">
            <w:pPr>
              <w:pStyle w:val="tabletx"/>
              <w:jc w:val="right"/>
            </w:pPr>
          </w:p>
        </w:tc>
        <w:tc>
          <w:tcPr>
            <w:tcW w:w="1362" w:type="dxa"/>
            <w:gridSpan w:val="2"/>
          </w:tcPr>
          <w:p w:rsidR="00000000" w:rsidRDefault="00DE16D7">
            <w:pPr>
              <w:pStyle w:val="tabletx"/>
              <w:jc w:val="right"/>
            </w:pPr>
            <w:r>
              <w:t>0.0</w:t>
            </w:r>
          </w:p>
        </w:tc>
      </w:tr>
      <w:tr w:rsidR="00000000">
        <w:trPr>
          <w:gridBefore w:val="1"/>
          <w:wBefore w:w="10" w:type="dxa"/>
          <w:trHeight w:val="360"/>
        </w:trPr>
        <w:tc>
          <w:tcPr>
            <w:tcW w:w="3469" w:type="dxa"/>
          </w:tcPr>
          <w:p w:rsidR="00000000" w:rsidRDefault="00DE16D7">
            <w:pPr>
              <w:pStyle w:val="tabletx"/>
            </w:pPr>
            <w:r>
              <w:t>Rehabilitation Services</w:t>
            </w:r>
          </w:p>
        </w:tc>
        <w:tc>
          <w:tcPr>
            <w:tcW w:w="270" w:type="dxa"/>
          </w:tcPr>
          <w:p w:rsidR="00000000" w:rsidRDefault="00DE16D7">
            <w:pPr>
              <w:pStyle w:val="tabletx"/>
            </w:pPr>
          </w:p>
        </w:tc>
        <w:tc>
          <w:tcPr>
            <w:tcW w:w="1368" w:type="dxa"/>
          </w:tcPr>
          <w:p w:rsidR="00000000" w:rsidRDefault="00DE16D7">
            <w:pPr>
              <w:pStyle w:val="tabletx"/>
              <w:jc w:val="right"/>
            </w:pPr>
            <w:r>
              <w:t>28.3</w:t>
            </w:r>
          </w:p>
        </w:tc>
        <w:tc>
          <w:tcPr>
            <w:tcW w:w="270" w:type="dxa"/>
          </w:tcPr>
          <w:p w:rsidR="00000000" w:rsidRDefault="00DE16D7">
            <w:pPr>
              <w:pStyle w:val="tabletx"/>
              <w:jc w:val="right"/>
            </w:pPr>
          </w:p>
        </w:tc>
        <w:tc>
          <w:tcPr>
            <w:tcW w:w="1368" w:type="dxa"/>
          </w:tcPr>
          <w:p w:rsidR="00000000" w:rsidRDefault="00DE16D7">
            <w:pPr>
              <w:pStyle w:val="tabletx"/>
              <w:jc w:val="right"/>
            </w:pPr>
            <w:r>
              <w:t>29.5</w:t>
            </w:r>
          </w:p>
        </w:tc>
        <w:tc>
          <w:tcPr>
            <w:tcW w:w="263" w:type="dxa"/>
          </w:tcPr>
          <w:p w:rsidR="00000000" w:rsidRDefault="00DE16D7">
            <w:pPr>
              <w:pStyle w:val="tabletx"/>
              <w:jc w:val="right"/>
            </w:pPr>
          </w:p>
        </w:tc>
        <w:tc>
          <w:tcPr>
            <w:tcW w:w="1362" w:type="dxa"/>
            <w:gridSpan w:val="2"/>
          </w:tcPr>
          <w:p w:rsidR="00000000" w:rsidRDefault="00DE16D7">
            <w:pPr>
              <w:pStyle w:val="tabletx"/>
              <w:jc w:val="right"/>
            </w:pPr>
            <w:r>
              <w:t>1.2</w:t>
            </w:r>
          </w:p>
        </w:tc>
      </w:tr>
      <w:tr w:rsidR="00000000">
        <w:trPr>
          <w:gridBefore w:val="1"/>
          <w:wBefore w:w="10" w:type="dxa"/>
          <w:trHeight w:val="360"/>
        </w:trPr>
        <w:tc>
          <w:tcPr>
            <w:tcW w:w="3469" w:type="dxa"/>
          </w:tcPr>
          <w:p w:rsidR="00000000" w:rsidRDefault="00DE16D7">
            <w:pPr>
              <w:pStyle w:val="tabletx"/>
            </w:pPr>
            <w:r>
              <w:t>Women, Infant, and Children</w:t>
            </w:r>
          </w:p>
        </w:tc>
        <w:tc>
          <w:tcPr>
            <w:tcW w:w="270" w:type="dxa"/>
          </w:tcPr>
          <w:p w:rsidR="00000000" w:rsidRDefault="00DE16D7">
            <w:pPr>
              <w:pStyle w:val="tabletx"/>
            </w:pPr>
          </w:p>
        </w:tc>
        <w:tc>
          <w:tcPr>
            <w:tcW w:w="1368" w:type="dxa"/>
          </w:tcPr>
          <w:p w:rsidR="00000000" w:rsidRDefault="00DE16D7">
            <w:pPr>
              <w:pStyle w:val="tabletx"/>
              <w:jc w:val="right"/>
            </w:pPr>
            <w:r>
              <w:t>35.7</w:t>
            </w:r>
          </w:p>
        </w:tc>
        <w:tc>
          <w:tcPr>
            <w:tcW w:w="270" w:type="dxa"/>
          </w:tcPr>
          <w:p w:rsidR="00000000" w:rsidRDefault="00DE16D7">
            <w:pPr>
              <w:pStyle w:val="tabletx"/>
              <w:jc w:val="right"/>
            </w:pPr>
          </w:p>
        </w:tc>
        <w:tc>
          <w:tcPr>
            <w:tcW w:w="1368" w:type="dxa"/>
          </w:tcPr>
          <w:p w:rsidR="00000000" w:rsidRDefault="00DE16D7">
            <w:pPr>
              <w:pStyle w:val="tabletx"/>
              <w:jc w:val="right"/>
            </w:pPr>
            <w:r>
              <w:t>38.0</w:t>
            </w:r>
          </w:p>
        </w:tc>
        <w:tc>
          <w:tcPr>
            <w:tcW w:w="263" w:type="dxa"/>
          </w:tcPr>
          <w:p w:rsidR="00000000" w:rsidRDefault="00DE16D7">
            <w:pPr>
              <w:pStyle w:val="tabletx"/>
              <w:jc w:val="right"/>
            </w:pPr>
          </w:p>
        </w:tc>
        <w:tc>
          <w:tcPr>
            <w:tcW w:w="1362" w:type="dxa"/>
            <w:gridSpan w:val="2"/>
          </w:tcPr>
          <w:p w:rsidR="00000000" w:rsidRDefault="00DE16D7">
            <w:pPr>
              <w:pStyle w:val="tabletx"/>
              <w:jc w:val="right"/>
            </w:pPr>
            <w:r>
              <w:t>2.3</w:t>
            </w:r>
          </w:p>
        </w:tc>
      </w:tr>
      <w:tr w:rsidR="00000000">
        <w:trPr>
          <w:gridBefore w:val="1"/>
          <w:wBefore w:w="10" w:type="dxa"/>
          <w:trHeight w:val="360"/>
        </w:trPr>
        <w:tc>
          <w:tcPr>
            <w:tcW w:w="3469" w:type="dxa"/>
          </w:tcPr>
          <w:p w:rsidR="00000000" w:rsidRDefault="00DE16D7">
            <w:pPr>
              <w:pStyle w:val="tabletx"/>
            </w:pPr>
            <w:r>
              <w:t>Children’s Health Insu</w:t>
            </w:r>
            <w:r>
              <w:t>rance Program</w:t>
            </w:r>
          </w:p>
        </w:tc>
        <w:tc>
          <w:tcPr>
            <w:tcW w:w="270" w:type="dxa"/>
          </w:tcPr>
          <w:p w:rsidR="00000000" w:rsidRDefault="00DE16D7">
            <w:pPr>
              <w:pStyle w:val="tabletx"/>
            </w:pPr>
          </w:p>
        </w:tc>
        <w:tc>
          <w:tcPr>
            <w:tcW w:w="1368" w:type="dxa"/>
          </w:tcPr>
          <w:p w:rsidR="00000000" w:rsidRDefault="00DE16D7">
            <w:pPr>
              <w:pStyle w:val="tabletx"/>
              <w:jc w:val="right"/>
            </w:pPr>
            <w:r>
              <w:t>22.4</w:t>
            </w:r>
          </w:p>
        </w:tc>
        <w:tc>
          <w:tcPr>
            <w:tcW w:w="270" w:type="dxa"/>
          </w:tcPr>
          <w:p w:rsidR="00000000" w:rsidRDefault="00DE16D7">
            <w:pPr>
              <w:pStyle w:val="tabletx"/>
              <w:jc w:val="right"/>
            </w:pPr>
          </w:p>
        </w:tc>
        <w:tc>
          <w:tcPr>
            <w:tcW w:w="1368" w:type="dxa"/>
          </w:tcPr>
          <w:p w:rsidR="00000000" w:rsidRDefault="00DE16D7">
            <w:pPr>
              <w:pStyle w:val="tabletx"/>
              <w:jc w:val="right"/>
            </w:pPr>
            <w:r>
              <w:t>21.1</w:t>
            </w:r>
          </w:p>
        </w:tc>
        <w:tc>
          <w:tcPr>
            <w:tcW w:w="263" w:type="dxa"/>
          </w:tcPr>
          <w:p w:rsidR="00000000" w:rsidRDefault="00DE16D7">
            <w:pPr>
              <w:pStyle w:val="tabletx"/>
              <w:jc w:val="right"/>
            </w:pPr>
          </w:p>
        </w:tc>
        <w:tc>
          <w:tcPr>
            <w:tcW w:w="1362" w:type="dxa"/>
            <w:gridSpan w:val="2"/>
          </w:tcPr>
          <w:p w:rsidR="00000000" w:rsidRDefault="00DE16D7">
            <w:pPr>
              <w:pStyle w:val="tabletx"/>
              <w:jc w:val="right"/>
            </w:pPr>
            <w:r>
              <w:t>1.3</w:t>
            </w:r>
          </w:p>
        </w:tc>
      </w:tr>
      <w:tr w:rsidR="00000000">
        <w:trPr>
          <w:gridBefore w:val="1"/>
          <w:wBefore w:w="10" w:type="dxa"/>
          <w:trHeight w:val="360"/>
        </w:trPr>
        <w:tc>
          <w:tcPr>
            <w:tcW w:w="3469" w:type="dxa"/>
          </w:tcPr>
          <w:p w:rsidR="00000000" w:rsidRDefault="00DE16D7">
            <w:pPr>
              <w:pStyle w:val="tabletx"/>
            </w:pPr>
            <w:r>
              <w:t>Community Development Block Grant</w:t>
            </w:r>
          </w:p>
        </w:tc>
        <w:tc>
          <w:tcPr>
            <w:tcW w:w="270" w:type="dxa"/>
          </w:tcPr>
          <w:p w:rsidR="00000000" w:rsidRDefault="00DE16D7">
            <w:pPr>
              <w:pStyle w:val="tabletx"/>
            </w:pPr>
          </w:p>
        </w:tc>
        <w:tc>
          <w:tcPr>
            <w:tcW w:w="1368" w:type="dxa"/>
          </w:tcPr>
          <w:p w:rsidR="00000000" w:rsidRDefault="00DE16D7">
            <w:pPr>
              <w:pStyle w:val="tabletx"/>
              <w:jc w:val="right"/>
            </w:pPr>
            <w:r>
              <w:t>17.4</w:t>
            </w:r>
          </w:p>
        </w:tc>
        <w:tc>
          <w:tcPr>
            <w:tcW w:w="270" w:type="dxa"/>
          </w:tcPr>
          <w:p w:rsidR="00000000" w:rsidRDefault="00DE16D7">
            <w:pPr>
              <w:pStyle w:val="tabletx"/>
              <w:jc w:val="right"/>
            </w:pPr>
          </w:p>
        </w:tc>
        <w:tc>
          <w:tcPr>
            <w:tcW w:w="1368" w:type="dxa"/>
          </w:tcPr>
          <w:p w:rsidR="00000000" w:rsidRDefault="00DE16D7">
            <w:pPr>
              <w:pStyle w:val="tabletx"/>
              <w:jc w:val="right"/>
            </w:pPr>
            <w:r>
              <w:t>17.7</w:t>
            </w:r>
          </w:p>
        </w:tc>
        <w:tc>
          <w:tcPr>
            <w:tcW w:w="263" w:type="dxa"/>
          </w:tcPr>
          <w:p w:rsidR="00000000" w:rsidRDefault="00DE16D7">
            <w:pPr>
              <w:pStyle w:val="tabletx"/>
              <w:jc w:val="right"/>
            </w:pPr>
          </w:p>
        </w:tc>
        <w:tc>
          <w:tcPr>
            <w:tcW w:w="1362" w:type="dxa"/>
            <w:gridSpan w:val="2"/>
          </w:tcPr>
          <w:p w:rsidR="00000000" w:rsidRDefault="00DE16D7">
            <w:pPr>
              <w:pStyle w:val="tabletx"/>
              <w:jc w:val="right"/>
            </w:pPr>
            <w:r>
              <w:t>0.3</w:t>
            </w:r>
          </w:p>
        </w:tc>
      </w:tr>
      <w:tr w:rsidR="00000000">
        <w:trPr>
          <w:gridBefore w:val="1"/>
          <w:wBefore w:w="10" w:type="dxa"/>
          <w:trHeight w:val="360"/>
        </w:trPr>
        <w:tc>
          <w:tcPr>
            <w:tcW w:w="3469" w:type="dxa"/>
          </w:tcPr>
          <w:p w:rsidR="00000000" w:rsidRDefault="00DE16D7">
            <w:pPr>
              <w:pStyle w:val="tabletx"/>
            </w:pPr>
            <w:r>
              <w:t>Comm. Devel. Nonentitlement</w:t>
            </w:r>
          </w:p>
        </w:tc>
        <w:tc>
          <w:tcPr>
            <w:tcW w:w="270" w:type="dxa"/>
          </w:tcPr>
          <w:p w:rsidR="00000000" w:rsidRDefault="00DE16D7">
            <w:pPr>
              <w:pStyle w:val="tabletx"/>
            </w:pPr>
          </w:p>
        </w:tc>
        <w:tc>
          <w:tcPr>
            <w:tcW w:w="1368" w:type="dxa"/>
          </w:tcPr>
          <w:p w:rsidR="00000000" w:rsidRDefault="00DE16D7">
            <w:pPr>
              <w:pStyle w:val="tabletx"/>
              <w:jc w:val="right"/>
            </w:pPr>
            <w:r>
              <w:t>30.7</w:t>
            </w:r>
          </w:p>
        </w:tc>
        <w:tc>
          <w:tcPr>
            <w:tcW w:w="270" w:type="dxa"/>
          </w:tcPr>
          <w:p w:rsidR="00000000" w:rsidRDefault="00DE16D7">
            <w:pPr>
              <w:pStyle w:val="tabletx"/>
              <w:jc w:val="right"/>
            </w:pPr>
          </w:p>
        </w:tc>
        <w:tc>
          <w:tcPr>
            <w:tcW w:w="1368" w:type="dxa"/>
          </w:tcPr>
          <w:p w:rsidR="00000000" w:rsidRDefault="00DE16D7">
            <w:pPr>
              <w:pStyle w:val="tabletx"/>
              <w:jc w:val="right"/>
            </w:pPr>
            <w:r>
              <w:t>31.4</w:t>
            </w:r>
          </w:p>
        </w:tc>
        <w:tc>
          <w:tcPr>
            <w:tcW w:w="263" w:type="dxa"/>
          </w:tcPr>
          <w:p w:rsidR="00000000" w:rsidRDefault="00DE16D7">
            <w:pPr>
              <w:pStyle w:val="tabletx"/>
              <w:jc w:val="right"/>
            </w:pPr>
          </w:p>
        </w:tc>
        <w:tc>
          <w:tcPr>
            <w:tcW w:w="1362" w:type="dxa"/>
            <w:gridSpan w:val="2"/>
          </w:tcPr>
          <w:p w:rsidR="00000000" w:rsidRDefault="00DE16D7">
            <w:pPr>
              <w:pStyle w:val="tabletx"/>
              <w:jc w:val="right"/>
            </w:pPr>
            <w:r>
              <w:t>0.7</w:t>
            </w:r>
          </w:p>
        </w:tc>
      </w:tr>
      <w:tr w:rsidR="00000000">
        <w:trPr>
          <w:gridBefore w:val="1"/>
          <w:wBefore w:w="10" w:type="dxa"/>
          <w:trHeight w:val="360"/>
        </w:trPr>
        <w:tc>
          <w:tcPr>
            <w:tcW w:w="3469" w:type="dxa"/>
          </w:tcPr>
          <w:p w:rsidR="00000000" w:rsidRDefault="00DE16D7">
            <w:pPr>
              <w:pStyle w:val="tabletx"/>
            </w:pPr>
            <w:r>
              <w:t>Low Income Home Energy Assist.</w:t>
            </w:r>
          </w:p>
        </w:tc>
        <w:tc>
          <w:tcPr>
            <w:tcW w:w="270" w:type="dxa"/>
          </w:tcPr>
          <w:p w:rsidR="00000000" w:rsidRDefault="00DE16D7">
            <w:pPr>
              <w:pStyle w:val="tabletx"/>
            </w:pPr>
          </w:p>
        </w:tc>
        <w:tc>
          <w:tcPr>
            <w:tcW w:w="1368" w:type="dxa"/>
          </w:tcPr>
          <w:p w:rsidR="00000000" w:rsidRDefault="00DE16D7">
            <w:pPr>
              <w:pStyle w:val="tabletx"/>
              <w:jc w:val="right"/>
            </w:pPr>
            <w:r>
              <w:t>31.0</w:t>
            </w:r>
          </w:p>
        </w:tc>
        <w:tc>
          <w:tcPr>
            <w:tcW w:w="270" w:type="dxa"/>
          </w:tcPr>
          <w:p w:rsidR="00000000" w:rsidRDefault="00DE16D7">
            <w:pPr>
              <w:pStyle w:val="tabletx"/>
              <w:jc w:val="right"/>
            </w:pPr>
          </w:p>
        </w:tc>
        <w:tc>
          <w:tcPr>
            <w:tcW w:w="1368" w:type="dxa"/>
          </w:tcPr>
          <w:p w:rsidR="00000000" w:rsidRDefault="00DE16D7">
            <w:pPr>
              <w:pStyle w:val="tabletx"/>
              <w:jc w:val="right"/>
            </w:pPr>
            <w:r>
              <w:t>25.5</w:t>
            </w:r>
          </w:p>
        </w:tc>
        <w:tc>
          <w:tcPr>
            <w:tcW w:w="263" w:type="dxa"/>
          </w:tcPr>
          <w:p w:rsidR="00000000" w:rsidRDefault="00DE16D7">
            <w:pPr>
              <w:pStyle w:val="tabletx"/>
              <w:jc w:val="right"/>
            </w:pPr>
          </w:p>
        </w:tc>
        <w:tc>
          <w:tcPr>
            <w:tcW w:w="1362" w:type="dxa"/>
            <w:gridSpan w:val="2"/>
          </w:tcPr>
          <w:p w:rsidR="00000000" w:rsidRDefault="00DE16D7">
            <w:pPr>
              <w:pStyle w:val="tabletx"/>
              <w:jc w:val="right"/>
            </w:pPr>
            <w:r>
              <w:t>-5.5</w:t>
            </w:r>
          </w:p>
        </w:tc>
      </w:tr>
      <w:tr w:rsidR="00000000">
        <w:trPr>
          <w:gridBefore w:val="1"/>
          <w:wBefore w:w="10" w:type="dxa"/>
          <w:trHeight w:val="360"/>
        </w:trPr>
        <w:tc>
          <w:tcPr>
            <w:tcW w:w="3469" w:type="dxa"/>
          </w:tcPr>
          <w:p w:rsidR="00000000" w:rsidRDefault="00DE16D7">
            <w:pPr>
              <w:pStyle w:val="tabletx"/>
            </w:pPr>
            <w:r>
              <w:t>EPA – Wastewater SRF</w:t>
            </w:r>
          </w:p>
        </w:tc>
        <w:tc>
          <w:tcPr>
            <w:tcW w:w="270" w:type="dxa"/>
          </w:tcPr>
          <w:p w:rsidR="00000000" w:rsidRDefault="00DE16D7">
            <w:pPr>
              <w:pStyle w:val="tabletx"/>
            </w:pPr>
          </w:p>
        </w:tc>
        <w:tc>
          <w:tcPr>
            <w:tcW w:w="1368" w:type="dxa"/>
          </w:tcPr>
          <w:p w:rsidR="00000000" w:rsidRDefault="00DE16D7">
            <w:pPr>
              <w:pStyle w:val="tabletx"/>
              <w:jc w:val="right"/>
            </w:pPr>
            <w:r>
              <w:t>18.2</w:t>
            </w:r>
          </w:p>
        </w:tc>
        <w:tc>
          <w:tcPr>
            <w:tcW w:w="270" w:type="dxa"/>
          </w:tcPr>
          <w:p w:rsidR="00000000" w:rsidRDefault="00DE16D7">
            <w:pPr>
              <w:pStyle w:val="tabletx"/>
              <w:jc w:val="right"/>
            </w:pPr>
          </w:p>
        </w:tc>
        <w:tc>
          <w:tcPr>
            <w:tcW w:w="1368" w:type="dxa"/>
          </w:tcPr>
          <w:p w:rsidR="00000000" w:rsidRDefault="00DE16D7">
            <w:pPr>
              <w:pStyle w:val="tabletx"/>
              <w:jc w:val="right"/>
            </w:pPr>
            <w:r>
              <w:t>16.9</w:t>
            </w:r>
          </w:p>
        </w:tc>
        <w:tc>
          <w:tcPr>
            <w:tcW w:w="263" w:type="dxa"/>
          </w:tcPr>
          <w:p w:rsidR="00000000" w:rsidRDefault="00DE16D7">
            <w:pPr>
              <w:pStyle w:val="tabletx"/>
              <w:jc w:val="right"/>
            </w:pPr>
          </w:p>
        </w:tc>
        <w:tc>
          <w:tcPr>
            <w:tcW w:w="1362" w:type="dxa"/>
            <w:gridSpan w:val="2"/>
          </w:tcPr>
          <w:p w:rsidR="00000000" w:rsidRDefault="00DE16D7">
            <w:pPr>
              <w:pStyle w:val="tabletx"/>
              <w:jc w:val="right"/>
            </w:pPr>
            <w:r>
              <w:t>-1.3</w:t>
            </w:r>
          </w:p>
        </w:tc>
      </w:tr>
      <w:tr w:rsidR="00000000">
        <w:trPr>
          <w:gridBefore w:val="1"/>
          <w:wBefore w:w="10" w:type="dxa"/>
          <w:trHeight w:val="360"/>
        </w:trPr>
        <w:tc>
          <w:tcPr>
            <w:tcW w:w="3469" w:type="dxa"/>
          </w:tcPr>
          <w:p w:rsidR="00000000" w:rsidRDefault="00DE16D7">
            <w:pPr>
              <w:pStyle w:val="tabletx"/>
            </w:pPr>
            <w:r>
              <w:t>Bridge R &amp; R</w:t>
            </w:r>
          </w:p>
        </w:tc>
        <w:tc>
          <w:tcPr>
            <w:tcW w:w="270" w:type="dxa"/>
          </w:tcPr>
          <w:p w:rsidR="00000000" w:rsidRDefault="00DE16D7">
            <w:pPr>
              <w:pStyle w:val="tabletx"/>
            </w:pPr>
          </w:p>
        </w:tc>
        <w:tc>
          <w:tcPr>
            <w:tcW w:w="1368" w:type="dxa"/>
          </w:tcPr>
          <w:p w:rsidR="00000000" w:rsidRDefault="00DE16D7">
            <w:pPr>
              <w:pStyle w:val="tabletx"/>
              <w:jc w:val="right"/>
            </w:pPr>
            <w:r>
              <w:t>56.0</w:t>
            </w:r>
          </w:p>
        </w:tc>
        <w:tc>
          <w:tcPr>
            <w:tcW w:w="270" w:type="dxa"/>
          </w:tcPr>
          <w:p w:rsidR="00000000" w:rsidRDefault="00DE16D7">
            <w:pPr>
              <w:pStyle w:val="tabletx"/>
              <w:jc w:val="right"/>
            </w:pPr>
          </w:p>
        </w:tc>
        <w:tc>
          <w:tcPr>
            <w:tcW w:w="1368" w:type="dxa"/>
          </w:tcPr>
          <w:p w:rsidR="00000000" w:rsidRDefault="00DE16D7">
            <w:pPr>
              <w:pStyle w:val="tabletx"/>
              <w:jc w:val="right"/>
            </w:pPr>
            <w:r>
              <w:t>52.2</w:t>
            </w:r>
          </w:p>
        </w:tc>
        <w:tc>
          <w:tcPr>
            <w:tcW w:w="263" w:type="dxa"/>
          </w:tcPr>
          <w:p w:rsidR="00000000" w:rsidRDefault="00DE16D7">
            <w:pPr>
              <w:pStyle w:val="tabletx"/>
              <w:jc w:val="right"/>
            </w:pPr>
          </w:p>
        </w:tc>
        <w:tc>
          <w:tcPr>
            <w:tcW w:w="1362" w:type="dxa"/>
            <w:gridSpan w:val="2"/>
          </w:tcPr>
          <w:p w:rsidR="00000000" w:rsidRDefault="00DE16D7">
            <w:pPr>
              <w:pStyle w:val="tabletx"/>
              <w:jc w:val="right"/>
            </w:pPr>
            <w:r>
              <w:t>-3.8</w:t>
            </w:r>
          </w:p>
        </w:tc>
      </w:tr>
      <w:tr w:rsidR="00000000">
        <w:trPr>
          <w:gridBefore w:val="1"/>
          <w:wBefore w:w="10" w:type="dxa"/>
          <w:trHeight w:val="360"/>
        </w:trPr>
        <w:tc>
          <w:tcPr>
            <w:tcW w:w="3469" w:type="dxa"/>
          </w:tcPr>
          <w:p w:rsidR="00000000" w:rsidRDefault="00DE16D7">
            <w:pPr>
              <w:pStyle w:val="tabletx"/>
            </w:pPr>
            <w:r>
              <w:t>Inte</w:t>
            </w:r>
            <w:r>
              <w:t>rstate Maintenance</w:t>
            </w:r>
          </w:p>
        </w:tc>
        <w:tc>
          <w:tcPr>
            <w:tcW w:w="270" w:type="dxa"/>
          </w:tcPr>
          <w:p w:rsidR="00000000" w:rsidRDefault="00DE16D7">
            <w:pPr>
              <w:pStyle w:val="tabletx"/>
            </w:pPr>
          </w:p>
        </w:tc>
        <w:tc>
          <w:tcPr>
            <w:tcW w:w="1368" w:type="dxa"/>
          </w:tcPr>
          <w:p w:rsidR="00000000" w:rsidRDefault="00DE16D7">
            <w:pPr>
              <w:pStyle w:val="tabletx"/>
              <w:jc w:val="right"/>
            </w:pPr>
            <w:r>
              <w:t>57.2</w:t>
            </w:r>
          </w:p>
        </w:tc>
        <w:tc>
          <w:tcPr>
            <w:tcW w:w="270" w:type="dxa"/>
          </w:tcPr>
          <w:p w:rsidR="00000000" w:rsidRDefault="00DE16D7">
            <w:pPr>
              <w:pStyle w:val="tabletx"/>
              <w:jc w:val="right"/>
            </w:pPr>
          </w:p>
        </w:tc>
        <w:tc>
          <w:tcPr>
            <w:tcW w:w="1368" w:type="dxa"/>
          </w:tcPr>
          <w:p w:rsidR="00000000" w:rsidRDefault="00DE16D7">
            <w:pPr>
              <w:pStyle w:val="tabletx"/>
              <w:jc w:val="right"/>
            </w:pPr>
            <w:r>
              <w:t>53.3</w:t>
            </w:r>
          </w:p>
        </w:tc>
        <w:tc>
          <w:tcPr>
            <w:tcW w:w="263" w:type="dxa"/>
          </w:tcPr>
          <w:p w:rsidR="00000000" w:rsidRDefault="00DE16D7">
            <w:pPr>
              <w:pStyle w:val="tabletx"/>
              <w:jc w:val="right"/>
            </w:pPr>
          </w:p>
        </w:tc>
        <w:tc>
          <w:tcPr>
            <w:tcW w:w="1362" w:type="dxa"/>
            <w:gridSpan w:val="2"/>
          </w:tcPr>
          <w:p w:rsidR="00000000" w:rsidRDefault="00DE16D7">
            <w:pPr>
              <w:pStyle w:val="tabletx"/>
              <w:jc w:val="right"/>
            </w:pPr>
            <w:r>
              <w:t>-3.9</w:t>
            </w:r>
          </w:p>
        </w:tc>
      </w:tr>
      <w:tr w:rsidR="00000000">
        <w:trPr>
          <w:gridBefore w:val="1"/>
          <w:wBefore w:w="10" w:type="dxa"/>
          <w:trHeight w:val="360"/>
        </w:trPr>
        <w:tc>
          <w:tcPr>
            <w:tcW w:w="3469" w:type="dxa"/>
          </w:tcPr>
          <w:p w:rsidR="00000000" w:rsidRDefault="00DE16D7">
            <w:pPr>
              <w:pStyle w:val="tabletx"/>
            </w:pPr>
            <w:r>
              <w:t>National Highway System</w:t>
            </w:r>
          </w:p>
        </w:tc>
        <w:tc>
          <w:tcPr>
            <w:tcW w:w="270" w:type="dxa"/>
          </w:tcPr>
          <w:p w:rsidR="00000000" w:rsidRDefault="00DE16D7">
            <w:pPr>
              <w:pStyle w:val="tabletx"/>
            </w:pPr>
          </w:p>
        </w:tc>
        <w:tc>
          <w:tcPr>
            <w:tcW w:w="1368" w:type="dxa"/>
          </w:tcPr>
          <w:p w:rsidR="00000000" w:rsidRDefault="00DE16D7">
            <w:pPr>
              <w:pStyle w:val="tabletx"/>
              <w:jc w:val="right"/>
            </w:pPr>
            <w:r>
              <w:t>80.5</w:t>
            </w:r>
          </w:p>
        </w:tc>
        <w:tc>
          <w:tcPr>
            <w:tcW w:w="270" w:type="dxa"/>
          </w:tcPr>
          <w:p w:rsidR="00000000" w:rsidRDefault="00DE16D7">
            <w:pPr>
              <w:pStyle w:val="tabletx"/>
              <w:jc w:val="right"/>
            </w:pPr>
          </w:p>
        </w:tc>
        <w:tc>
          <w:tcPr>
            <w:tcW w:w="1368" w:type="dxa"/>
          </w:tcPr>
          <w:p w:rsidR="00000000" w:rsidRDefault="00DE16D7">
            <w:pPr>
              <w:pStyle w:val="tabletx"/>
              <w:jc w:val="right"/>
            </w:pPr>
            <w:r>
              <w:t>73.0</w:t>
            </w:r>
          </w:p>
        </w:tc>
        <w:tc>
          <w:tcPr>
            <w:tcW w:w="263" w:type="dxa"/>
          </w:tcPr>
          <w:p w:rsidR="00000000" w:rsidRDefault="00DE16D7">
            <w:pPr>
              <w:pStyle w:val="tabletx"/>
              <w:jc w:val="right"/>
            </w:pPr>
          </w:p>
        </w:tc>
        <w:tc>
          <w:tcPr>
            <w:tcW w:w="1362" w:type="dxa"/>
            <w:gridSpan w:val="2"/>
          </w:tcPr>
          <w:p w:rsidR="00000000" w:rsidRDefault="00DE16D7">
            <w:pPr>
              <w:pStyle w:val="tabletx"/>
              <w:jc w:val="right"/>
            </w:pPr>
            <w:r>
              <w:t>-7.5</w:t>
            </w:r>
          </w:p>
        </w:tc>
      </w:tr>
      <w:tr w:rsidR="00000000">
        <w:trPr>
          <w:gridBefore w:val="1"/>
          <w:wBefore w:w="10" w:type="dxa"/>
          <w:trHeight w:val="360"/>
        </w:trPr>
        <w:tc>
          <w:tcPr>
            <w:tcW w:w="3469" w:type="dxa"/>
          </w:tcPr>
          <w:p w:rsidR="00000000" w:rsidRDefault="00DE16D7">
            <w:pPr>
              <w:pStyle w:val="tabletx"/>
            </w:pPr>
            <w:r>
              <w:t>Surface Transportation Program</w:t>
            </w:r>
          </w:p>
        </w:tc>
        <w:tc>
          <w:tcPr>
            <w:tcW w:w="270" w:type="dxa"/>
          </w:tcPr>
          <w:p w:rsidR="00000000" w:rsidRDefault="00DE16D7">
            <w:pPr>
              <w:pStyle w:val="tabletx"/>
            </w:pPr>
          </w:p>
        </w:tc>
        <w:tc>
          <w:tcPr>
            <w:tcW w:w="1368" w:type="dxa"/>
            <w:tcBorders>
              <w:bottom w:val="single" w:sz="4" w:space="0" w:color="auto"/>
            </w:tcBorders>
          </w:tcPr>
          <w:p w:rsidR="00000000" w:rsidRDefault="00DE16D7">
            <w:pPr>
              <w:pStyle w:val="tabletx"/>
              <w:jc w:val="right"/>
            </w:pPr>
            <w:r>
              <w:t>85.4</w:t>
            </w:r>
          </w:p>
        </w:tc>
        <w:tc>
          <w:tcPr>
            <w:tcW w:w="270" w:type="dxa"/>
          </w:tcPr>
          <w:p w:rsidR="00000000" w:rsidRDefault="00DE16D7">
            <w:pPr>
              <w:pStyle w:val="tabletx"/>
              <w:jc w:val="right"/>
            </w:pPr>
          </w:p>
        </w:tc>
        <w:tc>
          <w:tcPr>
            <w:tcW w:w="1368" w:type="dxa"/>
            <w:tcBorders>
              <w:bottom w:val="single" w:sz="4" w:space="0" w:color="auto"/>
            </w:tcBorders>
          </w:tcPr>
          <w:p w:rsidR="00000000" w:rsidRDefault="00DE16D7">
            <w:pPr>
              <w:pStyle w:val="tabletx"/>
              <w:jc w:val="right"/>
            </w:pPr>
            <w:r>
              <w:t>77.2</w:t>
            </w:r>
          </w:p>
        </w:tc>
        <w:tc>
          <w:tcPr>
            <w:tcW w:w="263" w:type="dxa"/>
          </w:tcPr>
          <w:p w:rsidR="00000000" w:rsidRDefault="00DE16D7">
            <w:pPr>
              <w:pStyle w:val="tabletx"/>
              <w:jc w:val="right"/>
            </w:pPr>
          </w:p>
        </w:tc>
        <w:tc>
          <w:tcPr>
            <w:tcW w:w="1362" w:type="dxa"/>
            <w:gridSpan w:val="2"/>
            <w:tcBorders>
              <w:bottom w:val="single" w:sz="4" w:space="0" w:color="auto"/>
            </w:tcBorders>
          </w:tcPr>
          <w:p w:rsidR="00000000" w:rsidRDefault="00DE16D7">
            <w:pPr>
              <w:pStyle w:val="tabletx"/>
              <w:jc w:val="right"/>
            </w:pPr>
            <w:r>
              <w:t>-8.2</w:t>
            </w:r>
          </w:p>
        </w:tc>
      </w:tr>
      <w:tr w:rsidR="00000000">
        <w:trPr>
          <w:gridBefore w:val="1"/>
          <w:wBefore w:w="10" w:type="dxa"/>
          <w:trHeight w:val="360"/>
        </w:trPr>
        <w:tc>
          <w:tcPr>
            <w:tcW w:w="3469" w:type="dxa"/>
          </w:tcPr>
          <w:p w:rsidR="00000000" w:rsidRDefault="00DE16D7">
            <w:pPr>
              <w:pStyle w:val="tabletx"/>
            </w:pPr>
          </w:p>
        </w:tc>
        <w:tc>
          <w:tcPr>
            <w:tcW w:w="270" w:type="dxa"/>
          </w:tcPr>
          <w:p w:rsidR="00000000" w:rsidRDefault="00DE16D7">
            <w:pPr>
              <w:pStyle w:val="tabletx"/>
            </w:pPr>
          </w:p>
        </w:tc>
        <w:tc>
          <w:tcPr>
            <w:tcW w:w="1368" w:type="dxa"/>
            <w:tcBorders>
              <w:top w:val="single" w:sz="4" w:space="0" w:color="auto"/>
            </w:tcBorders>
          </w:tcPr>
          <w:p w:rsidR="00000000" w:rsidRDefault="00DE16D7">
            <w:pPr>
              <w:pStyle w:val="tabletx"/>
              <w:jc w:val="right"/>
            </w:pPr>
          </w:p>
        </w:tc>
        <w:tc>
          <w:tcPr>
            <w:tcW w:w="270" w:type="dxa"/>
          </w:tcPr>
          <w:p w:rsidR="00000000" w:rsidRDefault="00DE16D7">
            <w:pPr>
              <w:pStyle w:val="tabletx"/>
              <w:jc w:val="right"/>
            </w:pPr>
          </w:p>
        </w:tc>
        <w:tc>
          <w:tcPr>
            <w:tcW w:w="1368" w:type="dxa"/>
            <w:tcBorders>
              <w:top w:val="single" w:sz="4" w:space="0" w:color="auto"/>
            </w:tcBorders>
          </w:tcPr>
          <w:p w:rsidR="00000000" w:rsidRDefault="00DE16D7">
            <w:pPr>
              <w:pStyle w:val="tabletx"/>
              <w:jc w:val="right"/>
            </w:pPr>
          </w:p>
        </w:tc>
        <w:tc>
          <w:tcPr>
            <w:tcW w:w="263" w:type="dxa"/>
          </w:tcPr>
          <w:p w:rsidR="00000000" w:rsidRDefault="00DE16D7">
            <w:pPr>
              <w:pStyle w:val="tabletx"/>
              <w:jc w:val="right"/>
            </w:pPr>
          </w:p>
        </w:tc>
        <w:tc>
          <w:tcPr>
            <w:tcW w:w="1362" w:type="dxa"/>
            <w:gridSpan w:val="2"/>
            <w:tcBorders>
              <w:top w:val="single" w:sz="4" w:space="0" w:color="auto"/>
            </w:tcBorders>
          </w:tcPr>
          <w:p w:rsidR="00000000" w:rsidRDefault="00DE16D7">
            <w:pPr>
              <w:pStyle w:val="tabletx"/>
              <w:jc w:val="right"/>
            </w:pPr>
          </w:p>
        </w:tc>
      </w:tr>
      <w:tr w:rsidR="00000000">
        <w:trPr>
          <w:gridBefore w:val="1"/>
          <w:wBefore w:w="10" w:type="dxa"/>
          <w:trHeight w:val="360"/>
        </w:trPr>
        <w:tc>
          <w:tcPr>
            <w:tcW w:w="3469" w:type="dxa"/>
          </w:tcPr>
          <w:p w:rsidR="00000000" w:rsidRDefault="00DE16D7">
            <w:pPr>
              <w:pStyle w:val="tabletx"/>
              <w:rPr>
                <w:b/>
                <w:bCs/>
              </w:rPr>
            </w:pPr>
            <w:r>
              <w:rPr>
                <w:b/>
                <w:bCs/>
              </w:rPr>
              <w:t>Iowa Total (including a few other small grants)</w:t>
            </w:r>
          </w:p>
        </w:tc>
        <w:tc>
          <w:tcPr>
            <w:tcW w:w="270" w:type="dxa"/>
          </w:tcPr>
          <w:p w:rsidR="00000000" w:rsidRDefault="00DE16D7">
            <w:pPr>
              <w:pStyle w:val="tabletx"/>
            </w:pPr>
          </w:p>
        </w:tc>
        <w:tc>
          <w:tcPr>
            <w:tcW w:w="1368" w:type="dxa"/>
            <w:tcBorders>
              <w:bottom w:val="double" w:sz="4" w:space="0" w:color="auto"/>
            </w:tcBorders>
          </w:tcPr>
          <w:p w:rsidR="00000000" w:rsidRDefault="00DE16D7">
            <w:pPr>
              <w:pStyle w:val="tabletx"/>
              <w:jc w:val="right"/>
            </w:pPr>
            <w:r>
              <w:t>$        2,673.0</w:t>
            </w:r>
          </w:p>
        </w:tc>
        <w:tc>
          <w:tcPr>
            <w:tcW w:w="270" w:type="dxa"/>
          </w:tcPr>
          <w:p w:rsidR="00000000" w:rsidRDefault="00DE16D7">
            <w:pPr>
              <w:pStyle w:val="tabletx"/>
              <w:jc w:val="right"/>
            </w:pPr>
          </w:p>
        </w:tc>
        <w:tc>
          <w:tcPr>
            <w:tcW w:w="1368" w:type="dxa"/>
            <w:tcBorders>
              <w:bottom w:val="double" w:sz="4" w:space="0" w:color="auto"/>
            </w:tcBorders>
          </w:tcPr>
          <w:p w:rsidR="00000000" w:rsidRDefault="00DE16D7">
            <w:pPr>
              <w:pStyle w:val="tabletx"/>
              <w:jc w:val="right"/>
            </w:pPr>
            <w:r>
              <w:t>$        2,371.3</w:t>
            </w:r>
          </w:p>
        </w:tc>
        <w:tc>
          <w:tcPr>
            <w:tcW w:w="263" w:type="dxa"/>
          </w:tcPr>
          <w:p w:rsidR="00000000" w:rsidRDefault="00DE16D7">
            <w:pPr>
              <w:pStyle w:val="tabletx"/>
              <w:jc w:val="right"/>
            </w:pPr>
          </w:p>
        </w:tc>
        <w:tc>
          <w:tcPr>
            <w:tcW w:w="1362" w:type="dxa"/>
            <w:gridSpan w:val="2"/>
            <w:tcBorders>
              <w:bottom w:val="double" w:sz="4" w:space="0" w:color="auto"/>
            </w:tcBorders>
          </w:tcPr>
          <w:p w:rsidR="00000000" w:rsidRDefault="00DE16D7">
            <w:pPr>
              <w:pStyle w:val="tabletx"/>
              <w:jc w:val="right"/>
            </w:pPr>
            <w:r>
              <w:t>$          -301.7</w:t>
            </w:r>
          </w:p>
        </w:tc>
      </w:tr>
    </w:tbl>
    <w:p w:rsidR="00000000" w:rsidRDefault="00DE16D7">
      <w:pPr>
        <w:pStyle w:val="textup"/>
      </w:pPr>
      <w:r>
        <w:br w:type="page"/>
      </w:r>
      <w:r>
        <w:rPr>
          <w:b/>
        </w:rPr>
        <w:lastRenderedPageBreak/>
        <w:t>More Informa</w:t>
      </w:r>
      <w:r>
        <w:rPr>
          <w:b/>
        </w:rPr>
        <w:t>tion</w:t>
      </w:r>
      <w:r>
        <w:tab/>
        <w:t>Copies of the full Federal Funds Information for the States Report showing distribution levels to all states is available upon request to the Legislative Fiscal Bureau by calling 281-5279.</w:t>
      </w:r>
    </w:p>
    <w:p w:rsidR="00000000" w:rsidRDefault="00DE16D7">
      <w:pPr>
        <w:pStyle w:val="Contactup"/>
      </w:pPr>
      <w:r>
        <w:t>STAFF CONTACT:  Douglas Wulf (Ext. 13250)</w:t>
      </w:r>
    </w:p>
    <w:p w:rsidR="00000000" w:rsidRDefault="00DE16D7">
      <w:pPr>
        <w:pStyle w:val="Blurbtitle"/>
      </w:pPr>
      <w:bookmarkStart w:id="11" w:name="FU2LRBA"/>
      <w:r>
        <w:t>Federal Funds Releas</w:t>
      </w:r>
      <w:r>
        <w:t>ed for Caregiver Support Program</w:t>
      </w:r>
      <w:bookmarkEnd w:id="11"/>
    </w:p>
    <w:p w:rsidR="00000000" w:rsidRDefault="00DE16D7">
      <w:pPr>
        <w:pStyle w:val="textup"/>
      </w:pPr>
      <w:r>
        <w:rPr>
          <w:b/>
          <w:noProof/>
        </w:rPr>
        <w:drawing>
          <wp:anchor distT="0" distB="0" distL="114300" distR="114300" simplePos="0" relativeHeight="251660800" behindDoc="0" locked="0" layoutInCell="1" allowOverlap="1">
            <wp:simplePos x="0" y="0"/>
            <wp:positionH relativeFrom="column">
              <wp:posOffset>-1663065</wp:posOffset>
            </wp:positionH>
            <wp:positionV relativeFrom="paragraph">
              <wp:posOffset>395605</wp:posOffset>
            </wp:positionV>
            <wp:extent cx="685800" cy="457200"/>
            <wp:effectExtent l="19050" t="0" r="0" b="0"/>
            <wp:wrapNone/>
            <wp:docPr id="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39"/>
                    <a:srcRect/>
                    <a:stretch>
                      <a:fillRect/>
                    </a:stretch>
                  </pic:blipFill>
                  <pic:spPr bwMode="auto">
                    <a:xfrm>
                      <a:off x="0" y="0"/>
                      <a:ext cx="685800" cy="457200"/>
                    </a:xfrm>
                    <a:prstGeom prst="rect">
                      <a:avLst/>
                    </a:prstGeom>
                    <a:noFill/>
                    <a:ln w="9525">
                      <a:noFill/>
                      <a:miter lim="800000"/>
                      <a:headEnd/>
                      <a:tailEnd/>
                    </a:ln>
                    <a:effectLst/>
                  </pic:spPr>
                </pic:pic>
              </a:graphicData>
            </a:graphic>
          </wp:anchor>
        </w:drawing>
      </w:r>
      <w:r>
        <w:rPr>
          <w:b/>
        </w:rPr>
        <w:t>Federal Funds Released</w:t>
      </w:r>
      <w:r>
        <w:tab/>
        <w:t>On February 7, the U.S. Department of Health and Human Services released $128.0 million in categorical grants to states for the Family Caregiver Support Program.  The Older Americans Act of 2000 crea</w:t>
      </w:r>
      <w:r>
        <w:t>ted the Program to provide information and support to individuals who care for elderly family members.  Authorized services include information and assistance in gaining access to services, counseling, caregiver training, respite care, and supplemental ser</w:t>
      </w:r>
      <w:r>
        <w:t xml:space="preserve">vices designed to ease the burden on caregivers. </w:t>
      </w:r>
    </w:p>
    <w:p w:rsidR="00000000" w:rsidRDefault="00DE16D7">
      <w:pPr>
        <w:framePr w:w="945" w:h="1009" w:hSpace="180" w:wrap="around" w:vAnchor="text" w:hAnchor="page" w:x="1526" w:y="63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612775" cy="40195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a:srcRect/>
                    <a:stretch>
                      <a:fillRect/>
                    </a:stretch>
                  </pic:blipFill>
                  <pic:spPr bwMode="auto">
                    <a:xfrm>
                      <a:off x="0" y="0"/>
                      <a:ext cx="612775" cy="401955"/>
                    </a:xfrm>
                    <a:prstGeom prst="rect">
                      <a:avLst/>
                    </a:prstGeom>
                    <a:noFill/>
                    <a:ln w="9525">
                      <a:noFill/>
                      <a:miter lim="800000"/>
                      <a:headEnd/>
                      <a:tailEnd/>
                    </a:ln>
                  </pic:spPr>
                </pic:pic>
              </a:graphicData>
            </a:graphic>
          </wp:inline>
        </w:drawing>
      </w:r>
    </w:p>
    <w:p w:rsidR="00000000" w:rsidRDefault="00DE16D7">
      <w:pPr>
        <w:pStyle w:val="textup"/>
      </w:pPr>
      <w:r>
        <w:rPr>
          <w:b/>
        </w:rPr>
        <w:t>Iowa’s Share</w:t>
      </w:r>
      <w:r>
        <w:tab/>
        <w:t>For FY 2002, the Department of Elder Affairs will receive $1.6 million.  The funds require a 25.0% State match.  The State share will be approximately $528,000, bringing the total for the Pro</w:t>
      </w:r>
      <w:r>
        <w:t>gram funds to an estimated $2.1 million.  The funds will be passed through to the local Area Agencies on Aging (AAAs) and awarded through competitive grant processes to programs that develop and expand caregiver support programs.  In FY 2001, the Departmen</w:t>
      </w:r>
      <w:r>
        <w:t>t received a total of $1.9 million in caregiver support funds, with a federal share of $1.4 million and a State share of $464,000.</w:t>
      </w:r>
    </w:p>
    <w:p w:rsidR="00000000" w:rsidRDefault="00DE16D7">
      <w:pPr>
        <w:pStyle w:val="textup"/>
      </w:pPr>
      <w:r>
        <w:rPr>
          <w:b/>
        </w:rPr>
        <w:t>Caregiver Support Program</w:t>
      </w:r>
      <w:r>
        <w:tab/>
        <w:t>The Family Caregiver Support Program is the largest new support program under Title III of the Olde</w:t>
      </w:r>
      <w:r>
        <w:t>r Americans Act since Congress established nutritional programs to serve the elderly in 1972.  Title III provides funding for state and community programs.  The three major State programs include supportive services, congregate meals, and home-delivered me</w:t>
      </w:r>
      <w:r>
        <w:t xml:space="preserve">als.   </w:t>
      </w:r>
    </w:p>
    <w:p w:rsidR="00000000" w:rsidRDefault="00DE16D7">
      <w:pPr>
        <w:pStyle w:val="Contactup"/>
      </w:pPr>
      <w:r>
        <w:t>STAFF CONTACT:  Lisa Burk (Ext. 16765)</w:t>
      </w:r>
    </w:p>
    <w:p w:rsidR="00000000" w:rsidRDefault="00DE16D7">
      <w:pPr>
        <w:pStyle w:val="Blurbtitle"/>
      </w:pPr>
      <w:bookmarkStart w:id="12" w:name="FU2LRBC"/>
      <w:r>
        <w:t>Required Report on Community Grant Fund Received</w:t>
      </w:r>
      <w:bookmarkEnd w:id="12"/>
    </w:p>
    <w:p w:rsidR="00000000" w:rsidRDefault="00DE16D7">
      <w:pPr>
        <w:pStyle w:val="textup"/>
      </w:pPr>
      <w:r>
        <w:rPr>
          <w:b/>
          <w:bCs/>
          <w:noProof/>
        </w:rPr>
        <w:pict>
          <v:shape id="_x0000_s1034" type="#_x0000_t202" style="position:absolute;margin-left:-139.95pt;margin-top:39.15pt;width:54pt;height:1in;z-index:251661824" stroked="f">
            <v:textbox style="mso-next-textbox:#_x0000_s1034">
              <w:txbxContent>
                <w:p w:rsidR="00000000" w:rsidRDefault="00DE16D7">
                  <w:pPr>
                    <w:pBdr>
                      <w:top w:val="single" w:sz="12" w:space="5" w:color="auto" w:shadow="1"/>
                      <w:left w:val="single" w:sz="12" w:space="5" w:color="auto" w:shadow="1"/>
                      <w:bottom w:val="single" w:sz="12" w:space="5" w:color="auto" w:shadow="1"/>
                      <w:right w:val="single" w:sz="12" w:space="6" w:color="auto" w:shadow="1"/>
                    </w:pBdr>
                  </w:pPr>
                  <w:r>
                    <w:rPr>
                      <w:noProof/>
                    </w:rPr>
                    <w:drawing>
                      <wp:inline distT="0" distB="0" distL="0" distR="0">
                        <wp:extent cx="502285" cy="512445"/>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a:srcRect/>
                                <a:stretch>
                                  <a:fillRect/>
                                </a:stretch>
                              </pic:blipFill>
                              <pic:spPr bwMode="auto">
                                <a:xfrm>
                                  <a:off x="0" y="0"/>
                                  <a:ext cx="502285" cy="512445"/>
                                </a:xfrm>
                                <a:prstGeom prst="rect">
                                  <a:avLst/>
                                </a:prstGeom>
                                <a:noFill/>
                                <a:ln w="9525">
                                  <a:noFill/>
                                  <a:miter lim="800000"/>
                                  <a:headEnd/>
                                  <a:tailEnd/>
                                </a:ln>
                              </pic:spPr>
                            </pic:pic>
                          </a:graphicData>
                        </a:graphic>
                      </wp:inline>
                    </w:drawing>
                  </w:r>
                </w:p>
                <w:p w:rsidR="00000000" w:rsidRDefault="00DE16D7">
                  <w:pPr>
                    <w:pStyle w:val="Caption"/>
                    <w:pBdr>
                      <w:right w:val="single" w:sz="12" w:space="6" w:color="auto" w:shadow="1"/>
                    </w:pBdr>
                    <w:jc w:val="center"/>
                    <w:rPr>
                      <w:sz w:val="16"/>
                    </w:rPr>
                  </w:pPr>
                  <w:r>
                    <w:rPr>
                      <w:sz w:val="16"/>
                    </w:rPr>
                    <w:t>REPORT</w:t>
                  </w:r>
                </w:p>
                <w:p w:rsidR="00000000" w:rsidRDefault="00DE16D7"/>
              </w:txbxContent>
            </v:textbox>
          </v:shape>
        </w:pict>
      </w:r>
      <w:r>
        <w:rPr>
          <w:b/>
          <w:bCs/>
        </w:rPr>
        <w:t>Report Received</w:t>
      </w:r>
      <w:r>
        <w:tab/>
        <w:t xml:space="preserve">The Department of Human Rights, Division of Criminal and Juvenile Justice Planning (CJJP), is required by Section 232.190(5), </w:t>
      </w:r>
      <w:r>
        <w:rPr>
          <w:u w:val="single"/>
        </w:rPr>
        <w:t>Code of Iowa</w:t>
      </w:r>
      <w:r>
        <w:t xml:space="preserve">, to </w:t>
      </w:r>
      <w:r>
        <w:t>submit an annual report to the General Assembly regarding Community Grant Fund allocations, performance measures, and the effectiveness of the services and activities that are provided with these funds.</w:t>
      </w:r>
    </w:p>
    <w:p w:rsidR="00000000" w:rsidRDefault="00DE16D7">
      <w:pPr>
        <w:pStyle w:val="textup"/>
      </w:pPr>
      <w:r>
        <w:tab/>
        <w:t xml:space="preserve">The Community Grant Fund provides local communities </w:t>
      </w:r>
      <w:r>
        <w:t xml:space="preserve">with State funding for the prevention of juvenile crime.  It is combined with federal funding from the U.S. Department of Justice, Title V Delinquency Prevention Program, and is allocated to Iowa’s 39 Decategorization </w:t>
      </w:r>
      <w:r>
        <w:lastRenderedPageBreak/>
        <w:t>Boards, which use the funds to plan an</w:t>
      </w:r>
      <w:r>
        <w:t>d establish programs and services in the counties they represent.</w:t>
      </w:r>
    </w:p>
    <w:p w:rsidR="00000000" w:rsidRDefault="00DE16D7">
      <w:pPr>
        <w:pStyle w:val="textup"/>
      </w:pPr>
      <w:r>
        <w:tab/>
        <w:t>The Report outlines outcomes for FY 2001 when the Community Grant Fund provided $1.6 million from the General Fund to local communities.  For FY 2002, the Community Grant Fund was appropria</w:t>
      </w:r>
      <w:r>
        <w:t>ted $725,000 and the Report notes many of the outcomes covered in the current report will not be tracked in subsequent years due to the decrease in funding and the discontinuation of program efforts.</w:t>
      </w:r>
    </w:p>
    <w:p w:rsidR="00000000" w:rsidRDefault="00DE16D7">
      <w:pPr>
        <w:pStyle w:val="textup"/>
      </w:pPr>
      <w:r>
        <w:rPr>
          <w:b/>
          <w:bCs/>
        </w:rPr>
        <w:t>Copies Available</w:t>
      </w:r>
      <w:r>
        <w:tab/>
        <w:t>Copies of the Report are available upon</w:t>
      </w:r>
      <w:r>
        <w:t xml:space="preserve"> request from the Legislative Fiscal Bureau (LFB), or may be accessed via the link to the Department of Human Rights on the LFB web site at: </w:t>
      </w:r>
      <w:hyperlink r:id="rId42" w:history="1">
        <w:r>
          <w:rPr>
            <w:rStyle w:val="Hyperlink"/>
            <w:color w:val="auto"/>
          </w:rPr>
          <w:t>http://st</w:t>
        </w:r>
        <w:r>
          <w:rPr>
            <w:rStyle w:val="Hyperlink"/>
            <w:color w:val="auto"/>
          </w:rPr>
          <w:t>a</w:t>
        </w:r>
        <w:r>
          <w:rPr>
            <w:rStyle w:val="Hyperlink"/>
            <w:color w:val="auto"/>
          </w:rPr>
          <w:t>ffweb.legis.state.ia</w:t>
        </w:r>
        <w:r>
          <w:rPr>
            <w:rStyle w:val="Hyperlink"/>
            <w:color w:val="auto"/>
          </w:rPr>
          <w:t>.us/lfb/subcom/health_hr/health_hr.ht</w:t>
        </w:r>
        <w:r>
          <w:rPr>
            <w:rStyle w:val="Hyperlink"/>
            <w:color w:val="auto"/>
          </w:rPr>
          <w:t>m</w:t>
        </w:r>
      </w:hyperlink>
    </w:p>
    <w:p w:rsidR="00000000" w:rsidRDefault="00DE16D7">
      <w:pPr>
        <w:pStyle w:val="Contactup"/>
      </w:pPr>
      <w:r>
        <w:t>STAFF CONTACT:  Lisa Burk (Ext. 16765)</w:t>
      </w:r>
    </w:p>
    <w:p w:rsidR="00000000" w:rsidRDefault="00DE16D7">
      <w:pPr>
        <w:pStyle w:val="Blurbtitle"/>
      </w:pPr>
      <w:bookmarkStart w:id="13" w:name="FU2MBMA"/>
      <w:r>
        <w:t>Highway Construction Contracts</w:t>
      </w:r>
      <w:bookmarkEnd w:id="13"/>
    </w:p>
    <w:p w:rsidR="00000000" w:rsidRDefault="00DE16D7">
      <w:pPr>
        <w:framePr w:w="505" w:h="856" w:hSpace="180" w:wrap="around" w:vAnchor="text" w:hAnchor="page" w:x="1526" w:y="55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61950" cy="3619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srcRect/>
                    <a:stretch>
                      <a:fillRect/>
                    </a:stretch>
                  </pic:blipFill>
                  <pic:spPr bwMode="auto">
                    <a:xfrm>
                      <a:off x="0" y="0"/>
                      <a:ext cx="361950" cy="361950"/>
                    </a:xfrm>
                    <a:prstGeom prst="rect">
                      <a:avLst/>
                    </a:prstGeom>
                    <a:noFill/>
                    <a:ln w="9525">
                      <a:noFill/>
                      <a:miter lim="800000"/>
                      <a:headEnd/>
                      <a:tailEnd/>
                    </a:ln>
                  </pic:spPr>
                </pic:pic>
              </a:graphicData>
            </a:graphic>
          </wp:inline>
        </w:drawing>
      </w:r>
    </w:p>
    <w:p w:rsidR="00000000" w:rsidRDefault="00DE16D7">
      <w:pPr>
        <w:pStyle w:val="textup"/>
      </w:pPr>
      <w:r>
        <w:rPr>
          <w:b/>
        </w:rPr>
        <w:t>Construction Contracts</w:t>
      </w:r>
      <w:r>
        <w:tab/>
        <w:t>The Department of Transportation (DOT) notifies the Legislative Fiscal Bureau of all highway construction contracts in ex</w:t>
      </w:r>
      <w:r>
        <w:t xml:space="preserve">cess of $5.0 million for informational purposes.  A contract totaling $10.9 million was awarded in December, and six contracts totaling $54.2 million were awarded in January.  </w:t>
      </w:r>
    </w:p>
    <w:p w:rsidR="00000000" w:rsidRDefault="00DE16D7">
      <w:pPr>
        <w:pStyle w:val="textup"/>
        <w:rPr>
          <w:b/>
          <w:bCs/>
          <w:i/>
          <w:iCs/>
        </w:rPr>
      </w:pPr>
      <w:r>
        <w:rPr>
          <w:b/>
          <w:bCs/>
        </w:rPr>
        <w:t>Polk County</w:t>
      </w:r>
      <w:r>
        <w:rPr>
          <w:bCs/>
        </w:rPr>
        <w:tab/>
        <w:t>In December, the following contracts in Polk County were awarded:</w:t>
      </w:r>
    </w:p>
    <w:p w:rsidR="00000000" w:rsidRDefault="00DE16D7">
      <w:pPr>
        <w:pStyle w:val="Bulletup"/>
      </w:pPr>
      <w:r>
        <w:t>T</w:t>
      </w:r>
      <w:r>
        <w:t>o M. Peterson Construction Co. of Des Moines:</w:t>
      </w:r>
    </w:p>
    <w:p w:rsidR="00000000" w:rsidRDefault="00DE16D7">
      <w:pPr>
        <w:pStyle w:val="Bulletup10"/>
      </w:pPr>
      <w:r>
        <w:t xml:space="preserve">$10.8 million for approximately 4 miles of new pavement along Iowa 5 from west of the 50th street interchange, east to the Iowa 28 interchange.  </w:t>
      </w:r>
    </w:p>
    <w:p w:rsidR="00000000" w:rsidRDefault="00DE16D7">
      <w:pPr>
        <w:pStyle w:val="Bulletup10"/>
      </w:pPr>
      <w:r>
        <w:t>$129,000 for new traffic signs.</w:t>
      </w:r>
    </w:p>
    <w:p w:rsidR="00000000" w:rsidRDefault="00DE16D7">
      <w:pPr>
        <w:pStyle w:val="textup"/>
      </w:pPr>
      <w:r>
        <w:tab/>
        <w:t>In January, the following contr</w:t>
      </w:r>
      <w:r>
        <w:t>acts were awarded:</w:t>
      </w:r>
    </w:p>
    <w:p w:rsidR="00000000" w:rsidRDefault="00DE16D7">
      <w:pPr>
        <w:pStyle w:val="textup"/>
      </w:pPr>
      <w:r>
        <w:rPr>
          <w:b/>
        </w:rPr>
        <w:t>Jasper County</w:t>
      </w:r>
      <w:r>
        <w:tab/>
      </w:r>
      <w:r>
        <w:rPr>
          <w:b/>
          <w:bCs/>
        </w:rPr>
        <w:t>Jasper County</w:t>
      </w:r>
      <w:r>
        <w:t xml:space="preserve"> - to Fred Carlson Co., Inc., of Decorah:</w:t>
      </w:r>
    </w:p>
    <w:p w:rsidR="00000000" w:rsidRDefault="00DE16D7">
      <w:pPr>
        <w:pStyle w:val="Bulletup"/>
      </w:pPr>
      <w:r>
        <w:t xml:space="preserve">$7.9 million for approximately 11 miles of new pavement along Iowa 330 from north of Junction F17 to southwest of Melbourne.  </w:t>
      </w:r>
    </w:p>
    <w:p w:rsidR="00000000" w:rsidRDefault="00DE16D7">
      <w:pPr>
        <w:pStyle w:val="Bulletup"/>
        <w:rPr>
          <w:b/>
          <w:bCs/>
        </w:rPr>
      </w:pPr>
      <w:r>
        <w:t xml:space="preserve">$37,000 for new traffic signs.  </w:t>
      </w:r>
    </w:p>
    <w:p w:rsidR="00000000" w:rsidRDefault="00DE16D7">
      <w:pPr>
        <w:pStyle w:val="textup"/>
        <w:tabs>
          <w:tab w:val="clear" w:pos="2880"/>
        </w:tabs>
      </w:pPr>
      <w:r>
        <w:rPr>
          <w:b/>
        </w:rPr>
        <w:t>Jones Co</w:t>
      </w:r>
      <w:r>
        <w:rPr>
          <w:b/>
        </w:rPr>
        <w:t>unty</w:t>
      </w:r>
      <w:r>
        <w:rPr>
          <w:b/>
          <w:bCs/>
        </w:rPr>
        <w:tab/>
        <w:t xml:space="preserve">Jones County </w:t>
      </w:r>
      <w:r>
        <w:t>-</w:t>
      </w:r>
      <w:r>
        <w:rPr>
          <w:b/>
          <w:bCs/>
        </w:rPr>
        <w:t xml:space="preserve"> </w:t>
      </w:r>
      <w:r>
        <w:t>to Flynn Co., Inc., of Dubuque:  $8.8 million for approximately 6 miles of grading and new pavement along U.S. 151 from the north city limits in Anamosa to the west city limits of Langworth.</w:t>
      </w:r>
    </w:p>
    <w:p w:rsidR="00000000" w:rsidRDefault="00DE16D7">
      <w:pPr>
        <w:pStyle w:val="textup"/>
        <w:tabs>
          <w:tab w:val="clear" w:pos="2880"/>
        </w:tabs>
        <w:rPr>
          <w:b/>
          <w:bCs/>
        </w:rPr>
      </w:pPr>
      <w:r>
        <w:rPr>
          <w:b/>
          <w:bCs/>
        </w:rPr>
        <w:t>Marshall County</w:t>
      </w:r>
      <w:r>
        <w:rPr>
          <w:b/>
          <w:bCs/>
        </w:rPr>
        <w:tab/>
        <w:t>Marshall County:</w:t>
      </w:r>
    </w:p>
    <w:p w:rsidR="00000000" w:rsidRDefault="00DE16D7">
      <w:pPr>
        <w:pStyle w:val="Bulletup"/>
      </w:pPr>
      <w:r>
        <w:t>To Tom Kuete</w:t>
      </w:r>
      <w:r>
        <w:t xml:space="preserve">r Construction Co., Inc., of Peosta: $6.0 million for approximately 4 miles of grading and new pavement along U.S. 30 from west of the west city limits of Le Grand, east to the Tama County line.  </w:t>
      </w:r>
    </w:p>
    <w:p w:rsidR="00000000" w:rsidRDefault="00DE16D7">
      <w:pPr>
        <w:pStyle w:val="Bulletup"/>
      </w:pPr>
      <w:r>
        <w:lastRenderedPageBreak/>
        <w:t>To Cedar Valley Corporation of Waterloo:</w:t>
      </w:r>
    </w:p>
    <w:p w:rsidR="00000000" w:rsidRDefault="00DE16D7">
      <w:pPr>
        <w:pStyle w:val="Bulletup1"/>
      </w:pPr>
      <w:r>
        <w:t>$9.3 million for a</w:t>
      </w:r>
      <w:r>
        <w:t xml:space="preserve">pproximately 8 miles of new pavement along Iowa 330 from southwest of Melbourne to north of U.S. 30.  </w:t>
      </w:r>
    </w:p>
    <w:p w:rsidR="00000000" w:rsidRDefault="00DE16D7">
      <w:pPr>
        <w:pStyle w:val="Bulletup1"/>
        <w:rPr>
          <w:b/>
          <w:bCs/>
        </w:rPr>
      </w:pPr>
      <w:r>
        <w:t xml:space="preserve">$46,000 for new traffic signs.  </w:t>
      </w:r>
    </w:p>
    <w:p w:rsidR="00000000" w:rsidRDefault="00DE16D7">
      <w:pPr>
        <w:pStyle w:val="textup"/>
        <w:tabs>
          <w:tab w:val="clear" w:pos="2880"/>
        </w:tabs>
        <w:rPr>
          <w:b/>
          <w:szCs w:val="24"/>
        </w:rPr>
      </w:pPr>
      <w:r>
        <w:rPr>
          <w:b/>
          <w:szCs w:val="24"/>
        </w:rPr>
        <w:t>Polk County</w:t>
      </w:r>
      <w:r>
        <w:rPr>
          <w:b/>
          <w:szCs w:val="24"/>
        </w:rPr>
        <w:tab/>
        <w:t>Polk County:</w:t>
      </w:r>
    </w:p>
    <w:p w:rsidR="00000000" w:rsidRDefault="00DE16D7">
      <w:pPr>
        <w:framePr w:hSpace="187" w:wrap="notBeside" w:vAnchor="text" w:hAnchor="page" w:x="1165" w:y="310"/>
      </w:pPr>
      <w:r>
        <w:object w:dxaOrig="3586" w:dyaOrig="2506">
          <v:shape id="_x0000_i1047" type="#_x0000_t75" style="width:53.8pt;height:38pt" o:ole="">
            <v:imagedata r:id="rId19" o:title=""/>
          </v:shape>
          <o:OLEObject Type="Embed" ProgID="Word.Picture.8" ShapeID="_x0000_i1047" DrawAspect="Content" ObjectID="_1315221962" r:id="rId44"/>
        </w:object>
      </w:r>
    </w:p>
    <w:p w:rsidR="00000000" w:rsidRDefault="00DE16D7">
      <w:pPr>
        <w:pStyle w:val="Bulletup"/>
      </w:pPr>
      <w:r>
        <w:t>To Fred Carlson Co., Inc., of Decorah:</w:t>
      </w:r>
    </w:p>
    <w:p w:rsidR="00000000" w:rsidRDefault="00DE16D7">
      <w:pPr>
        <w:pStyle w:val="Bulletup1"/>
        <w:rPr>
          <w:szCs w:val="24"/>
        </w:rPr>
      </w:pPr>
      <w:r>
        <w:rPr>
          <w:szCs w:val="24"/>
        </w:rPr>
        <w:t>$8.5 million for approximate</w:t>
      </w:r>
      <w:r>
        <w:rPr>
          <w:szCs w:val="24"/>
        </w:rPr>
        <w:t>ly 6 miles of grading and new pavement along U.S. 65 from the junction with S27, north to the junction with F17 in Jasper County.</w:t>
      </w:r>
    </w:p>
    <w:p w:rsidR="00000000" w:rsidRDefault="00DE16D7">
      <w:pPr>
        <w:pStyle w:val="Bulletup1"/>
        <w:rPr>
          <w:szCs w:val="24"/>
        </w:rPr>
      </w:pPr>
      <w:r>
        <w:rPr>
          <w:szCs w:val="24"/>
        </w:rPr>
        <w:t>$36,000 for new traffic signs.</w:t>
      </w:r>
    </w:p>
    <w:p w:rsidR="00000000" w:rsidRDefault="00DE16D7">
      <w:pPr>
        <w:pStyle w:val="textup"/>
        <w:tabs>
          <w:tab w:val="clear" w:pos="2880"/>
        </w:tabs>
        <w:rPr>
          <w:b/>
          <w:szCs w:val="24"/>
        </w:rPr>
      </w:pPr>
      <w:r>
        <w:rPr>
          <w:b/>
          <w:szCs w:val="24"/>
        </w:rPr>
        <w:t xml:space="preserve">Warren County </w:t>
      </w:r>
      <w:r>
        <w:rPr>
          <w:b/>
          <w:szCs w:val="24"/>
        </w:rPr>
        <w:tab/>
        <w:t>Warren County:</w:t>
      </w:r>
    </w:p>
    <w:p w:rsidR="00000000" w:rsidRDefault="00DE16D7">
      <w:pPr>
        <w:pStyle w:val="Bulletup"/>
      </w:pPr>
      <w:r>
        <w:t>To Cedar Valley Corporation of Waterloo:  $13.6 million for new p</w:t>
      </w:r>
      <w:r>
        <w:t xml:space="preserve">avement along Iowa 5 from northwest of Hartford to northwest of Pleasantville in Marion County.  </w:t>
      </w:r>
    </w:p>
    <w:p w:rsidR="00000000" w:rsidRDefault="00DE16D7">
      <w:pPr>
        <w:pStyle w:val="Contactup"/>
        <w:rPr>
          <w:szCs w:val="24"/>
        </w:rPr>
      </w:pPr>
      <w:r>
        <w:rPr>
          <w:szCs w:val="24"/>
        </w:rPr>
        <w:t>STAFF CONTACT:  Mary Beth Mellick (Ext. 18223)</w:t>
      </w:r>
    </w:p>
    <w:p w:rsidR="00000000" w:rsidRDefault="00DE16D7">
      <w:pPr>
        <w:pStyle w:val="textup"/>
      </w:pPr>
    </w:p>
    <w:p w:rsidR="00000000" w:rsidRDefault="00DE16D7">
      <w:pPr>
        <w:pStyle w:val="textup"/>
      </w:pPr>
    </w:p>
    <w:p w:rsidR="00000000" w:rsidRDefault="00DE16D7">
      <w:pPr>
        <w:pStyle w:val="Header"/>
        <w:tabs>
          <w:tab w:val="clear" w:pos="4320"/>
          <w:tab w:val="clear" w:pos="8640"/>
        </w:tabs>
      </w:pPr>
      <w:r>
        <w:t>This document can be found on the LFB web site:</w:t>
      </w:r>
    </w:p>
    <w:p w:rsidR="00000000" w:rsidRDefault="00DE16D7">
      <w:pPr>
        <w:pStyle w:val="Header"/>
        <w:tabs>
          <w:tab w:val="clear" w:pos="4320"/>
          <w:tab w:val="clear" w:pos="8640"/>
        </w:tabs>
      </w:pPr>
      <w:hyperlink r:id="rId45" w:history="1">
        <w:r>
          <w:rPr>
            <w:rStyle w:val="Hyperlink"/>
          </w:rPr>
          <w:t>http://staffweb.legis.state.ia.us/lfb/fupdate/fupdate.htm</w:t>
        </w:r>
      </w:hyperlink>
    </w:p>
    <w:p w:rsidR="00000000" w:rsidRDefault="00DE16D7">
      <w:pPr>
        <w:pStyle w:val="Header"/>
        <w:tabs>
          <w:tab w:val="clear" w:pos="4320"/>
          <w:tab w:val="clear" w:pos="8640"/>
        </w:tabs>
      </w:pPr>
    </w:p>
    <w:p w:rsidR="00000000" w:rsidRDefault="00DE16D7">
      <w:pPr>
        <w:pStyle w:val="Header"/>
        <w:tabs>
          <w:tab w:val="clear" w:pos="4320"/>
          <w:tab w:val="clear" w:pos="8640"/>
        </w:tabs>
      </w:pPr>
    </w:p>
    <w:p w:rsidR="00000000" w:rsidRDefault="00DE16D7">
      <w:pPr>
        <w:pStyle w:val="Bulletup2"/>
        <w:numPr>
          <w:ilvl w:val="0"/>
          <w:numId w:val="0"/>
        </w:numPr>
        <w:ind w:left="648" w:hanging="288"/>
        <w:sectPr w:rsidR="00000000">
          <w:headerReference w:type="even" r:id="rId46"/>
          <w:headerReference w:type="default" r:id="rId47"/>
          <w:type w:val="continuous"/>
          <w:pgSz w:w="12240" w:h="15840" w:code="1"/>
          <w:pgMar w:top="1714" w:right="1440" w:bottom="1440" w:left="3960" w:header="720" w:footer="720" w:gutter="0"/>
          <w:cols w:space="720"/>
          <w:titlePg/>
        </w:sectPr>
      </w:pPr>
    </w:p>
    <w:p w:rsidR="00000000" w:rsidRDefault="00DE16D7">
      <w:pPr>
        <w:pStyle w:val="Header"/>
        <w:tabs>
          <w:tab w:val="clear" w:pos="4320"/>
          <w:tab w:val="clear" w:pos="8640"/>
        </w:tabs>
      </w:pPr>
    </w:p>
    <w:sectPr w:rsidR="00000000">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E16D7">
      <w:r>
        <w:separator/>
      </w:r>
    </w:p>
  </w:endnote>
  <w:endnote w:type="continuationSeparator" w:id="1">
    <w:p w:rsidR="00000000" w:rsidRDefault="00DE16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E16D7">
      <w:r>
        <w:separator/>
      </w:r>
    </w:p>
  </w:footnote>
  <w:footnote w:type="continuationSeparator" w:id="1">
    <w:p w:rsidR="00000000" w:rsidRDefault="00DE1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16D7">
    <w:pPr>
      <w:pStyle w:val="PageE"/>
    </w:pPr>
    <w:r>
      <w:t>FISCAL UPDATE</w:t>
    </w:r>
  </w:p>
  <w:p w:rsidR="00000000" w:rsidRDefault="00DE16D7">
    <w:pPr>
      <w:pStyle w:val="PageE"/>
    </w:pPr>
    <w:bookmarkStart w:id="14" w:name="HeaderEvenLockDate"/>
    <w:r>
      <w:rPr>
        <w:noProof/>
      </w:rPr>
      <w:pict>
        <v:line id="_x0000_s2049" style="position:absolute;left:0;text-align:left;z-index:251657216" from="-2in,21.4pt" to="345.6pt,21.4pt" o:allowincell="f" strokeweight="2pt"/>
      </w:pict>
    </w:r>
    <w:r>
      <w:rPr>
        <w:noProof/>
      </w:rPr>
      <w:t>February 18, 2002</w:t>
    </w:r>
    <w:bookmarkEnd w:id="14"/>
    <w:r>
      <w:tab/>
    </w:r>
    <w:r>
      <w:rPr>
        <w:b w:val="0"/>
      </w:rPr>
      <w:fldChar w:fldCharType="begin"/>
    </w:r>
    <w:r>
      <w:rPr>
        <w:b w:val="0"/>
      </w:rPr>
      <w:instrText xml:space="preserve"> PAGE </w:instrText>
    </w:r>
    <w:r>
      <w:rPr>
        <w:b w:val="0"/>
      </w:rPr>
      <w:fldChar w:fldCharType="separate"/>
    </w:r>
    <w:r>
      <w:rPr>
        <w:b w:val="0"/>
        <w:noProof/>
      </w:rPr>
      <w:t>14</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16D7">
    <w:pPr>
      <w:pStyle w:val="PageO"/>
      <w:rPr>
        <w:b/>
      </w:rPr>
    </w:pPr>
    <w:r>
      <w:rPr>
        <w:b/>
      </w:rPr>
      <w:t>FISCAL UPDATE</w:t>
    </w:r>
  </w:p>
  <w:p w:rsidR="00000000" w:rsidRDefault="00DE16D7">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
      </w:rPr>
      <w:fldChar w:fldCharType="begin"/>
    </w:r>
    <w:r>
      <w:rPr>
        <w:b/>
      </w:rPr>
      <w:instrText xml:space="preserve"> PAGE </w:instrText>
    </w:r>
    <w:r>
      <w:rPr>
        <w:b/>
      </w:rPr>
      <w:fldChar w:fldCharType="separate"/>
    </w:r>
    <w:r>
      <w:rPr>
        <w:b/>
        <w:noProof/>
      </w:rPr>
      <w:t>15</w:t>
    </w:r>
    <w:r>
      <w:rPr>
        <w:b/>
      </w:rPr>
      <w:fldChar w:fldCharType="end"/>
    </w:r>
    <w:r>
      <w:rPr>
        <w:b/>
      </w:rPr>
      <w:t xml:space="preserve">  </w:t>
    </w:r>
    <w:r>
      <w:rPr>
        <w:b/>
      </w:rPr>
      <w:tab/>
      <w:t xml:space="preserve">                                </w:t>
    </w:r>
    <w:r>
      <w:rPr>
        <w:b/>
        <w:noProof/>
      </w:rPr>
      <w:t>February 18, 2002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8398C85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0AD94A23"/>
    <w:multiLevelType w:val="singleLevel"/>
    <w:tmpl w:val="352E6BE2"/>
    <w:lvl w:ilvl="0">
      <w:start w:val="1"/>
      <w:numFmt w:val="bullet"/>
      <w:lvlText w:val=""/>
      <w:lvlJc w:val="left"/>
      <w:pPr>
        <w:tabs>
          <w:tab w:val="num" w:pos="360"/>
        </w:tabs>
        <w:ind w:left="360" w:hanging="360"/>
      </w:pPr>
      <w:rPr>
        <w:rFonts w:ascii="Symbol" w:hAnsi="Symbol" w:hint="default"/>
        <w:sz w:val="18"/>
      </w:rPr>
    </w:lvl>
  </w:abstractNum>
  <w:abstractNum w:abstractNumId="2">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3">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4">
    <w:nsid w:val="182C7DD4"/>
    <w:multiLevelType w:val="singleLevel"/>
    <w:tmpl w:val="223259B8"/>
    <w:lvl w:ilvl="0">
      <w:start w:val="1"/>
      <w:numFmt w:val="decimal"/>
      <w:lvlText w:val="%1."/>
      <w:lvlJc w:val="left"/>
      <w:pPr>
        <w:tabs>
          <w:tab w:val="num" w:pos="360"/>
        </w:tabs>
        <w:ind w:left="360" w:hanging="360"/>
      </w:pPr>
    </w:lvl>
  </w:abstractNum>
  <w:abstractNum w:abstractNumId="5">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6">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7">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8">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9">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10">
    <w:nsid w:val="3B114AF7"/>
    <w:multiLevelType w:val="hybridMultilevel"/>
    <w:tmpl w:val="54E69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12">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3">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4">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5"/>
  </w:num>
  <w:num w:numId="2">
    <w:abstractNumId w:val="6"/>
  </w:num>
  <w:num w:numId="3">
    <w:abstractNumId w:val="6"/>
  </w:num>
  <w:num w:numId="4">
    <w:abstractNumId w:val="6"/>
  </w:num>
  <w:num w:numId="5">
    <w:abstractNumId w:val="6"/>
  </w:num>
  <w:num w:numId="6">
    <w:abstractNumId w:val="3"/>
  </w:num>
  <w:num w:numId="7">
    <w:abstractNumId w:val="6"/>
  </w:num>
  <w:num w:numId="8">
    <w:abstractNumId w:val="6"/>
  </w:num>
  <w:num w:numId="9">
    <w:abstractNumId w:val="11"/>
  </w:num>
  <w:num w:numId="10">
    <w:abstractNumId w:val="7"/>
  </w:num>
  <w:num w:numId="11">
    <w:abstractNumId w:val="2"/>
  </w:num>
  <w:num w:numId="12">
    <w:abstractNumId w:val="13"/>
  </w:num>
  <w:num w:numId="13">
    <w:abstractNumId w:val="14"/>
  </w:num>
  <w:num w:numId="14">
    <w:abstractNumId w:val="12"/>
  </w:num>
  <w:num w:numId="15">
    <w:abstractNumId w:val="9"/>
  </w:num>
  <w:num w:numId="16">
    <w:abstractNumId w:val="0"/>
  </w:num>
  <w:num w:numId="17">
    <w:abstractNumId w:val="1"/>
  </w:num>
  <w:num w:numId="18">
    <w:abstractNumId w:val="4"/>
  </w:num>
  <w:num w:numId="19">
    <w:abstractNumId w:val="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E16D7"/>
    <w:rsid w:val="00DE1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16"/>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Caption">
    <w:name w:val="caption"/>
    <w:basedOn w:val="Normal"/>
    <w:next w:val="Normal"/>
    <w:qFormat/>
    <w:pPr>
      <w:framePr w:w="508" w:h="1009" w:hSpace="180" w:wrap="around" w:vAnchor="text" w:hAnchor="page" w:x="9441" w:y="3720"/>
      <w:pBdr>
        <w:top w:val="single" w:sz="12" w:space="5" w:color="auto" w:shadow="1"/>
        <w:left w:val="single" w:sz="12" w:space="5" w:color="auto" w:shadow="1"/>
        <w:bottom w:val="single" w:sz="12" w:space="5" w:color="auto" w:shadow="1"/>
        <w:right w:val="single" w:sz="12" w:space="5" w:color="auto" w:shadow="1"/>
      </w:pBdr>
    </w:pPr>
    <w:rPr>
      <w:rFonts w:ascii="Tahoma" w:hAnsi="Tahoma"/>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3.wmf"/><Relationship Id="rId39"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8.wmf"/><Relationship Id="rId42" Type="http://schemas.openxmlformats.org/officeDocument/2006/relationships/hyperlink" Target="http://staffweb.legis.state.ia.us/lfb/subcom/health_hr/health_hr.htm" TargetMode="External"/><Relationship Id="rId47" Type="http://schemas.openxmlformats.org/officeDocument/2006/relationships/header" Target="header2.xml"/><Relationship Id="rId7" Type="http://schemas.openxmlformats.org/officeDocument/2006/relationships/hyperlink" Target="http://staffweb.legis.state.ia.us/lfb/" TargetMode="Externa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5.bin"/><Relationship Id="rId33" Type="http://schemas.openxmlformats.org/officeDocument/2006/relationships/image" Target="media/image17.wmf"/><Relationship Id="rId38" Type="http://schemas.openxmlformats.org/officeDocument/2006/relationships/image" Target="media/image21.wmf"/><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4.bin"/><Relationship Id="rId29" Type="http://schemas.openxmlformats.org/officeDocument/2006/relationships/oleObject" Target="embeddings/oleObject7.bin"/><Relationship Id="rId41"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ffweb.legis.state.ia.us/lfb/" TargetMode="External"/><Relationship Id="rId24" Type="http://schemas.openxmlformats.org/officeDocument/2006/relationships/image" Target="media/image12.wmf"/><Relationship Id="rId32" Type="http://schemas.openxmlformats.org/officeDocument/2006/relationships/oleObject" Target="embeddings/oleObject8.bin"/><Relationship Id="rId37" Type="http://schemas.openxmlformats.org/officeDocument/2006/relationships/image" Target="media/image20.png"/><Relationship Id="rId40" Type="http://schemas.openxmlformats.org/officeDocument/2006/relationships/image" Target="media/image23.wmf"/><Relationship Id="rId45" Type="http://schemas.openxmlformats.org/officeDocument/2006/relationships/hyperlink" Target="http://staffweb.legis.state.ia.us/lfb/fupdate/fupdate.htm"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oleObject" Target="embeddings/oleObject9.bin"/><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8.wmf"/><Relationship Id="rId31" Type="http://schemas.openxmlformats.org/officeDocument/2006/relationships/image" Target="media/image16.wmf"/><Relationship Id="rId44"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image" Target="media/image10.wmf"/><Relationship Id="rId27" Type="http://schemas.openxmlformats.org/officeDocument/2006/relationships/oleObject" Target="embeddings/oleObject6.bin"/><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image" Target="media/image25.png"/><Relationship Id="rId48" Type="http://schemas.openxmlformats.org/officeDocument/2006/relationships/fontTable" Target="fontTable.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15</Pages>
  <Words>5322</Words>
  <Characters>30338</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35589</CharactersWithSpaces>
  <SharedDoc>false</SharedDoc>
  <HLinks>
    <vt:vector size="42" baseType="variant">
      <vt:variant>
        <vt:i4>2031699</vt:i4>
      </vt:variant>
      <vt:variant>
        <vt:i4>39</vt:i4>
      </vt:variant>
      <vt:variant>
        <vt:i4>0</vt:i4>
      </vt:variant>
      <vt:variant>
        <vt:i4>5</vt:i4>
      </vt:variant>
      <vt:variant>
        <vt:lpwstr>http://staffweb.legis.state.ia.us/lfb/fupdate/fupdate.htm</vt:lpwstr>
      </vt:variant>
      <vt:variant>
        <vt:lpwstr/>
      </vt:variant>
      <vt:variant>
        <vt:i4>1310751</vt:i4>
      </vt:variant>
      <vt:variant>
        <vt:i4>33</vt:i4>
      </vt:variant>
      <vt:variant>
        <vt:i4>0</vt:i4>
      </vt:variant>
      <vt:variant>
        <vt:i4>5</vt:i4>
      </vt:variant>
      <vt:variant>
        <vt:lpwstr>http://staffweb.legis.state.ia.us/lfb/subcom/health_hr/health_hr.htm</vt:lpwstr>
      </vt:variant>
      <vt:variant>
        <vt:lpwstr/>
      </vt:variant>
      <vt:variant>
        <vt:i4>6946875</vt:i4>
      </vt:variant>
      <vt:variant>
        <vt:i4>6</vt:i4>
      </vt:variant>
      <vt:variant>
        <vt:i4>0</vt:i4>
      </vt:variant>
      <vt:variant>
        <vt:i4>5</vt:i4>
      </vt:variant>
      <vt:variant>
        <vt:lpwstr>http://staffweb.legis.state.ia.us/lfb/</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8257583</vt:i4>
      </vt:variant>
      <vt:variant>
        <vt:i4>9166</vt:i4>
      </vt:variant>
      <vt:variant>
        <vt:i4>1025</vt:i4>
      </vt:variant>
      <vt:variant>
        <vt:i4>1</vt:i4>
      </vt:variant>
      <vt:variant>
        <vt:lpwstr>S:\Clipart\Regional\Govt\LAWEN012.WMF</vt:lpwstr>
      </vt:variant>
      <vt:variant>
        <vt:lpwstr/>
      </vt:variant>
      <vt:variant>
        <vt:i4>655403</vt:i4>
      </vt:variant>
      <vt:variant>
        <vt:i4>36813</vt:i4>
      </vt:variant>
      <vt:variant>
        <vt:i4>1026</vt:i4>
      </vt:variant>
      <vt:variant>
        <vt:i4>1</vt:i4>
      </vt:variant>
      <vt:variant>
        <vt:lpwstr>DISK2\PFiles\MSOffice\Clipart\standard\stddir1\bd00025_.wmf</vt:lpwstr>
      </vt:variant>
      <vt:variant>
        <vt:lpwstr/>
      </vt:variant>
      <vt:variant>
        <vt:i4>5373969</vt:i4>
      </vt:variant>
      <vt:variant>
        <vt:i4>36816</vt:i4>
      </vt:variant>
      <vt:variant>
        <vt:i4>1027</vt:i4>
      </vt:variant>
      <vt:variant>
        <vt:i4>1</vt:i4>
      </vt:variant>
      <vt:variant>
        <vt:lpwstr>DISK2\PFiles\MSOffice\Clipart\smbusbas\bd20016_.wmf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 Bureau</dc:creator>
  <cp:keywords/>
  <dc:description/>
  <cp:lastModifiedBy>Margaret Noon</cp:lastModifiedBy>
  <cp:revision>2</cp:revision>
  <cp:lastPrinted>2002-02-18T16:45:00Z</cp:lastPrinted>
  <dcterms:created xsi:type="dcterms:W3CDTF">2009-09-23T19:39:00Z</dcterms:created>
  <dcterms:modified xsi:type="dcterms:W3CDTF">2009-09-23T19:39:00Z</dcterms:modified>
</cp:coreProperties>
</file>