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15A50">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3632" from="36pt,42.45pt" to="568.8pt,42.45pt" o:allowincell="f" strokeweight="2pt"/>
        </w:pict>
      </w:r>
      <w:r>
        <w:tab/>
        <w:t>FISCAL UPDATE</w:t>
      </w:r>
      <w:r>
        <w:tab/>
      </w:r>
      <w:r>
        <w:rPr>
          <w:sz w:val="36"/>
        </w:rPr>
        <w:t>December 10, 2001</w:t>
      </w:r>
    </w:p>
    <w:p w:rsidR="00000000" w:rsidRDefault="00915A50">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915A50">
      <w:pPr>
        <w:pStyle w:val="Title3up"/>
        <w:framePr w:wrap="around" w:y="-989" w:anchorLock="1"/>
        <w:shd w:val="pct20" w:color="auto" w:fill="FFFFFF"/>
        <w:spacing w:after="0"/>
        <w:ind w:left="720"/>
        <w:rPr>
          <w:sz w:val="24"/>
        </w:rPr>
      </w:pPr>
      <w:r>
        <w:tab/>
      </w:r>
      <w:r>
        <w:tab/>
      </w:r>
      <w:hyperlink r:id="rId7" w:history="1">
        <w:r>
          <w:rPr>
            <w:rStyle w:val="Hyperlink"/>
            <w:sz w:val="20"/>
          </w:rPr>
          <w:t>http://staffweb.legis.state.ia.us/lfb/</w:t>
        </w:r>
      </w:hyperlink>
    </w:p>
    <w:p w:rsidR="00000000" w:rsidRDefault="00915A50">
      <w:pPr>
        <w:pStyle w:val="Blurbtitle"/>
      </w:pPr>
      <w:bookmarkStart w:id="0" w:name="FU12JWRA"/>
    </w:p>
    <w:p w:rsidR="00000000" w:rsidRDefault="00915A50">
      <w:pPr>
        <w:pStyle w:val="Blurbtitle"/>
      </w:pPr>
      <w:r>
        <w:t>December 2001 Revenue Estimating Conference</w:t>
      </w:r>
      <w:bookmarkEnd w:id="0"/>
    </w:p>
    <w:p w:rsidR="00000000" w:rsidRDefault="00915A50">
      <w:pPr>
        <w:pStyle w:val="textup"/>
        <w:ind w:right="-360"/>
      </w:pPr>
      <w:r>
        <w:rPr>
          <w:b/>
        </w:rPr>
        <w:t>REC Meeting</w:t>
      </w:r>
      <w:r>
        <w:tab/>
        <w:t>The Revenue E</w:t>
      </w:r>
      <w:r>
        <w:t>stimating Conference (REC) met December 7 to review FY 2002 and FY 2003 estimated General Fund revenues.  Net revenues over the two fiscal years decreased a total of $29.4 million.</w:t>
      </w:r>
    </w:p>
    <w:p w:rsidR="00000000" w:rsidRDefault="00915A50">
      <w:pPr>
        <w:pStyle w:val="textup"/>
        <w:tabs>
          <w:tab w:val="clear" w:pos="2880"/>
        </w:tabs>
        <w:ind w:right="-360"/>
      </w:pPr>
      <w:r>
        <w:rPr>
          <w:b/>
        </w:rPr>
        <w:t>FY 2002 Estimate Decreased</w:t>
      </w:r>
      <w:r>
        <w:tab/>
        <w:t>The REC revised downward the total FY 2002 Gener</w:t>
      </w:r>
      <w:r>
        <w:t xml:space="preserve">al Fund tax and other receipts estimate established in October to $5.192 billion.  </w:t>
      </w:r>
    </w:p>
    <w:p w:rsidR="00000000" w:rsidRDefault="00915A50">
      <w:pPr>
        <w:framePr w:hSpace="180" w:wrap="around" w:vAnchor="text" w:hAnchor="page" w:x="1342" w:y="607"/>
      </w:pPr>
      <w:r>
        <w:rPr>
          <w:noProof/>
        </w:rPr>
        <w:drawing>
          <wp:inline distT="0" distB="0" distL="0" distR="0">
            <wp:extent cx="685800" cy="596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5800" cy="596900"/>
                    </a:xfrm>
                    <a:prstGeom prst="rect">
                      <a:avLst/>
                    </a:prstGeom>
                    <a:noFill/>
                    <a:ln w="9525">
                      <a:noFill/>
                      <a:miter lim="800000"/>
                      <a:headEnd/>
                      <a:tailEnd/>
                    </a:ln>
                  </pic:spPr>
                </pic:pic>
              </a:graphicData>
            </a:graphic>
          </wp:inline>
        </w:drawing>
      </w:r>
    </w:p>
    <w:p w:rsidR="00000000" w:rsidRDefault="00915A50">
      <w:pPr>
        <w:pStyle w:val="textup"/>
        <w:tabs>
          <w:tab w:val="clear" w:pos="2880"/>
        </w:tabs>
        <w:ind w:right="-360"/>
      </w:pPr>
      <w:r>
        <w:rPr>
          <w:b/>
        </w:rPr>
        <w:t>Net Receipts</w:t>
      </w:r>
      <w:r>
        <w:tab/>
        <w:t>Net receipts (total taxes, other receipts, transfers, and accrued revenues minus refunds) were revised downward from $4.694 billion to $4.673 billion, reflec</w:t>
      </w:r>
      <w:r>
        <w:t xml:space="preserve">ting decreased estimates for personal income and sales taxes.  The use tax estimate was increased.  The REC action resulted in estimated FY 2002 net General Fund receipts growth of $25.7 million (0.6%) compared to actual FY 2001 net receipts.  </w:t>
      </w:r>
    </w:p>
    <w:p w:rsidR="00000000" w:rsidRDefault="00915A50">
      <w:pPr>
        <w:pStyle w:val="textup"/>
        <w:tabs>
          <w:tab w:val="clear" w:pos="2880"/>
        </w:tabs>
        <w:ind w:right="-360"/>
      </w:pPr>
      <w:r>
        <w:rPr>
          <w:b/>
        </w:rPr>
        <w:t>FY 2003 Est</w:t>
      </w:r>
      <w:r>
        <w:rPr>
          <w:b/>
        </w:rPr>
        <w:t>imate</w:t>
      </w:r>
      <w:r>
        <w:tab/>
        <w:t xml:space="preserve">The REC also revised downward the FY 2003 total tax and other receipts estimate established in October to $5.302 billion, which is 2.1% above the revised FY 2002 estimate.  </w:t>
      </w:r>
    </w:p>
    <w:p w:rsidR="00000000" w:rsidRDefault="00915A50">
      <w:pPr>
        <w:pStyle w:val="textup"/>
        <w:tabs>
          <w:tab w:val="clear" w:pos="2880"/>
        </w:tabs>
        <w:ind w:right="-360"/>
      </w:pPr>
      <w:r>
        <w:rPr>
          <w:b/>
        </w:rPr>
        <w:t>FY 2003 Net Receipts</w:t>
      </w:r>
      <w:r>
        <w:tab/>
        <w:t>Net receipts (total taxes, other receipts, transfers, a</w:t>
      </w:r>
      <w:r>
        <w:t xml:space="preserve">nd accrued revenues, minus refunds) were set at $4.745 billion.  The REC action resulted in estimated FY 2003 net General Fund receipts growth of $71.9 million (1.5%) compared to estimated FY 2002 net receipts.  </w:t>
      </w:r>
    </w:p>
    <w:p w:rsidR="00000000" w:rsidRDefault="00915A50">
      <w:pPr>
        <w:framePr w:w="655" w:h="865" w:hSpace="180" w:wrap="around" w:vAnchor="text" w:hAnchor="page" w:x="1542" w:y="5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330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19100" cy="330200"/>
                    </a:xfrm>
                    <a:prstGeom prst="rect">
                      <a:avLst/>
                    </a:prstGeom>
                    <a:noFill/>
                    <a:ln w="9525">
                      <a:noFill/>
                      <a:miter lim="800000"/>
                      <a:headEnd/>
                      <a:tailEnd/>
                    </a:ln>
                  </pic:spPr>
                </pic:pic>
              </a:graphicData>
            </a:graphic>
          </wp:inline>
        </w:drawing>
      </w:r>
    </w:p>
    <w:p w:rsidR="00000000" w:rsidRDefault="00915A50">
      <w:pPr>
        <w:pStyle w:val="textup"/>
        <w:tabs>
          <w:tab w:val="clear" w:pos="2880"/>
        </w:tabs>
        <w:ind w:right="-360"/>
      </w:pPr>
      <w:r>
        <w:rPr>
          <w:b/>
        </w:rPr>
        <w:t>Gambling Revenue Estimates</w:t>
      </w:r>
      <w:r>
        <w:tab/>
        <w:t>The Conference</w:t>
      </w:r>
      <w:r>
        <w:t xml:space="preserve"> did not revise the estimate for gambling receipts deposited to other funds for either year.  Gambling proceeds to the General Fund are statutorily capped at $60.0 million, with the excess deposited to the Rebuild Iowa Infrastructure Fund, Vision Iowa Fund</w:t>
      </w:r>
      <w:r>
        <w:t xml:space="preserve">, and School Infrastructure Fund.  The Lottery estimates for FY 2002 and FY 2003 were unchanged. </w:t>
      </w:r>
    </w:p>
    <w:tbl>
      <w:tblPr>
        <w:tblpPr w:leftFromText="187" w:rightFromText="187" w:vertAnchor="page" w:horzAnchor="page" w:tblpX="1234" w:tblpY="13325"/>
        <w:tblW w:w="10458" w:type="dxa"/>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915A50">
            <w:pPr>
              <w:pStyle w:val="ISSUE"/>
              <w:framePr w:w="0" w:hRule="auto" w:hSpace="0" w:wrap="auto" w:vAnchor="margin" w:hAnchor="text" w:xAlign="left" w:yAlign="inline"/>
              <w:ind w:left="342" w:hanging="342"/>
              <w:rPr>
                <w:b/>
              </w:rPr>
            </w:pPr>
          </w:p>
        </w:tc>
        <w:tc>
          <w:tcPr>
            <w:tcW w:w="4230" w:type="dxa"/>
          </w:tcPr>
          <w:p w:rsidR="00000000" w:rsidRDefault="00915A50">
            <w:pPr>
              <w:pStyle w:val="ISSUE"/>
              <w:framePr w:w="0" w:hRule="auto" w:hSpace="0" w:wrap="auto" w:vAnchor="margin" w:hAnchor="text" w:xAlign="left" w:yAlign="inline"/>
              <w:ind w:left="342" w:hanging="342"/>
            </w:pPr>
          </w:p>
        </w:tc>
        <w:tc>
          <w:tcPr>
            <w:tcW w:w="4680" w:type="dxa"/>
          </w:tcPr>
          <w:p w:rsidR="00000000" w:rsidRDefault="00915A50">
            <w:pPr>
              <w:pStyle w:val="ISSUE"/>
              <w:framePr w:w="0" w:hRule="auto" w:hSpace="0" w:wrap="auto" w:vAnchor="margin" w:hAnchor="text" w:xAlign="left" w:yAlign="inline"/>
              <w:ind w:left="342" w:hanging="342"/>
            </w:pPr>
          </w:p>
        </w:tc>
      </w:tr>
      <w:tr w:rsidR="00000000">
        <w:tblPrEx>
          <w:tblCellMar>
            <w:top w:w="0" w:type="dxa"/>
            <w:bottom w:w="0" w:type="dxa"/>
          </w:tblCellMar>
        </w:tblPrEx>
        <w:tc>
          <w:tcPr>
            <w:tcW w:w="1548" w:type="dxa"/>
          </w:tcPr>
          <w:p w:rsidR="00000000" w:rsidRDefault="00915A50">
            <w:pPr>
              <w:pStyle w:val="ISSUE"/>
              <w:framePr w:w="0" w:hRule="auto" w:hSpace="0" w:wrap="auto" w:vAnchor="margin" w:hAnchor="text" w:xAlign="left" w:yAlign="inline"/>
              <w:ind w:left="342" w:hanging="342"/>
              <w:rPr>
                <w:b/>
                <w:u w:val="single"/>
              </w:rPr>
            </w:pPr>
            <w:r>
              <w:rPr>
                <w:b/>
                <w:u w:val="single"/>
              </w:rPr>
              <w:t>IN THIS ISSUE:</w:t>
            </w:r>
          </w:p>
        </w:tc>
        <w:tc>
          <w:tcPr>
            <w:tcW w:w="4230" w:type="dxa"/>
          </w:tcPr>
          <w:p w:rsidR="00000000" w:rsidRDefault="00915A50">
            <w:pPr>
              <w:pStyle w:val="ISSUE"/>
              <w:framePr w:w="0" w:hRule="auto" w:hSpace="0" w:wrap="auto" w:vAnchor="margin" w:hAnchor="text" w:xAlign="left" w:yAlign="inline"/>
              <w:ind w:left="342" w:hanging="342"/>
            </w:pPr>
            <w:r>
              <w:t>December 2001 REC Meeting, pg. 1</w:t>
            </w:r>
          </w:p>
        </w:tc>
        <w:tc>
          <w:tcPr>
            <w:tcW w:w="4680" w:type="dxa"/>
          </w:tcPr>
          <w:p w:rsidR="00000000" w:rsidRDefault="00915A50">
            <w:pPr>
              <w:pStyle w:val="ISSUE"/>
              <w:framePr w:w="0" w:hRule="auto" w:hSpace="0" w:wrap="auto" w:vAnchor="margin" w:hAnchor="text" w:xAlign="left" w:yAlign="inline"/>
              <w:ind w:left="342" w:hanging="342"/>
            </w:pPr>
            <w:r>
              <w:t>Public Defender-Impact of 4.3% Reduction, pg. 10</w:t>
            </w:r>
          </w:p>
        </w:tc>
      </w:tr>
      <w:tr w:rsidR="00000000">
        <w:tblPrEx>
          <w:tblCellMar>
            <w:top w:w="0" w:type="dxa"/>
            <w:bottom w:w="0" w:type="dxa"/>
          </w:tblCellMar>
        </w:tblPrEx>
        <w:tc>
          <w:tcPr>
            <w:tcW w:w="1548" w:type="dxa"/>
          </w:tcPr>
          <w:p w:rsidR="00000000" w:rsidRDefault="00915A50">
            <w:pPr>
              <w:pStyle w:val="ISSUE"/>
              <w:framePr w:w="0" w:hRule="auto" w:hSpace="0" w:wrap="auto" w:vAnchor="margin" w:hAnchor="text" w:xAlign="left" w:yAlign="inline"/>
              <w:ind w:left="342" w:hanging="342"/>
              <w:rPr>
                <w:u w:val="single"/>
              </w:rPr>
            </w:pPr>
          </w:p>
        </w:tc>
        <w:tc>
          <w:tcPr>
            <w:tcW w:w="4230" w:type="dxa"/>
          </w:tcPr>
          <w:p w:rsidR="00000000" w:rsidRDefault="00915A50">
            <w:pPr>
              <w:pStyle w:val="ISSUE"/>
              <w:framePr w:w="0" w:hRule="auto" w:hSpace="0" w:wrap="auto" w:vAnchor="margin" w:hAnchor="text" w:xAlign="left" w:yAlign="inline"/>
              <w:ind w:left="342" w:hanging="342"/>
            </w:pPr>
            <w:r>
              <w:t xml:space="preserve">Gov. Public Hearing – FY 2003 Budget, pg. 3 </w:t>
            </w:r>
          </w:p>
        </w:tc>
        <w:tc>
          <w:tcPr>
            <w:tcW w:w="4680" w:type="dxa"/>
          </w:tcPr>
          <w:p w:rsidR="00000000" w:rsidRDefault="00915A50">
            <w:pPr>
              <w:pStyle w:val="ISSUE"/>
              <w:framePr w:w="0" w:hRule="auto" w:hSpace="0" w:wrap="auto" w:vAnchor="margin" w:hAnchor="text" w:xAlign="left" w:yAlign="inline"/>
              <w:ind w:left="342" w:hanging="342"/>
            </w:pPr>
            <w:r>
              <w:t>Dept. of C</w:t>
            </w:r>
            <w:r>
              <w:t>orrections – Fed Funds Update, pg. 11</w:t>
            </w:r>
          </w:p>
        </w:tc>
      </w:tr>
      <w:tr w:rsidR="00000000">
        <w:tblPrEx>
          <w:tblCellMar>
            <w:top w:w="0" w:type="dxa"/>
            <w:bottom w:w="0" w:type="dxa"/>
          </w:tblCellMar>
        </w:tblPrEx>
        <w:tc>
          <w:tcPr>
            <w:tcW w:w="1548" w:type="dxa"/>
          </w:tcPr>
          <w:p w:rsidR="00000000" w:rsidRDefault="00915A50">
            <w:pPr>
              <w:pStyle w:val="ISSUE"/>
              <w:framePr w:w="0" w:hRule="auto" w:hSpace="0" w:wrap="auto" w:vAnchor="margin" w:hAnchor="text" w:xAlign="left" w:yAlign="inline"/>
              <w:ind w:left="342" w:hanging="342"/>
            </w:pPr>
          </w:p>
        </w:tc>
        <w:tc>
          <w:tcPr>
            <w:tcW w:w="4230" w:type="dxa"/>
          </w:tcPr>
          <w:p w:rsidR="00000000" w:rsidRDefault="00915A50">
            <w:pPr>
              <w:pStyle w:val="ISSUE"/>
              <w:framePr w:w="0" w:hRule="auto" w:hSpace="0" w:wrap="auto" w:vAnchor="margin" w:hAnchor="text" w:xAlign="left" w:yAlign="inline"/>
              <w:ind w:left="342" w:hanging="342"/>
            </w:pPr>
            <w:r>
              <w:t xml:space="preserve">Allocation Transfer:  Indigent Defense, pg. 6 </w:t>
            </w:r>
          </w:p>
        </w:tc>
        <w:tc>
          <w:tcPr>
            <w:tcW w:w="4680" w:type="dxa"/>
          </w:tcPr>
          <w:p w:rsidR="00000000" w:rsidRDefault="00915A50">
            <w:pPr>
              <w:pStyle w:val="ISSUE"/>
              <w:framePr w:w="0" w:hRule="auto" w:hSpace="0" w:wrap="auto" w:vAnchor="margin" w:hAnchor="text" w:xAlign="left" w:yAlign="inline"/>
              <w:tabs>
                <w:tab w:val="left" w:pos="10080"/>
                <w:tab w:val="left" w:pos="10260"/>
                <w:tab w:val="left" w:pos="10350"/>
              </w:tabs>
              <w:ind w:left="342" w:hanging="342"/>
            </w:pPr>
            <w:r>
              <w:rPr>
                <w:b/>
                <w:bCs/>
                <w:i/>
                <w:iCs/>
              </w:rPr>
              <w:t>Issue Review</w:t>
            </w:r>
            <w:r>
              <w:t xml:space="preserve"> – Cattle Feedlots, pg. 11</w:t>
            </w:r>
          </w:p>
        </w:tc>
      </w:tr>
      <w:tr w:rsidR="00000000">
        <w:tblPrEx>
          <w:tblCellMar>
            <w:top w:w="0" w:type="dxa"/>
            <w:bottom w:w="0" w:type="dxa"/>
          </w:tblCellMar>
        </w:tblPrEx>
        <w:tc>
          <w:tcPr>
            <w:tcW w:w="1548" w:type="dxa"/>
          </w:tcPr>
          <w:p w:rsidR="00000000" w:rsidRDefault="00915A50">
            <w:pPr>
              <w:pStyle w:val="ISSUE"/>
              <w:framePr w:w="0" w:hRule="auto" w:hSpace="0" w:wrap="auto" w:vAnchor="margin" w:hAnchor="text" w:xAlign="left" w:yAlign="inline"/>
              <w:ind w:left="342" w:hanging="342"/>
            </w:pPr>
          </w:p>
        </w:tc>
        <w:tc>
          <w:tcPr>
            <w:tcW w:w="4230" w:type="dxa"/>
          </w:tcPr>
          <w:p w:rsidR="00000000" w:rsidRDefault="00915A50">
            <w:pPr>
              <w:pStyle w:val="ISSUE"/>
              <w:framePr w:w="0" w:hRule="auto" w:hSpace="0" w:wrap="auto" w:vAnchor="margin" w:hAnchor="text" w:xAlign="left" w:yAlign="inline"/>
              <w:ind w:left="342" w:hanging="342"/>
            </w:pPr>
            <w:r>
              <w:t>Consumer Advocate–Supplemental Appr., pg. 6</w:t>
            </w:r>
          </w:p>
        </w:tc>
        <w:tc>
          <w:tcPr>
            <w:tcW w:w="4680" w:type="dxa"/>
          </w:tcPr>
          <w:p w:rsidR="00000000" w:rsidRDefault="00915A50">
            <w:pPr>
              <w:pStyle w:val="ISSUE"/>
              <w:framePr w:w="0" w:hRule="auto" w:hSpace="0" w:wrap="auto" w:vAnchor="margin" w:hAnchor="text" w:xAlign="left" w:yAlign="inline"/>
              <w:tabs>
                <w:tab w:val="left" w:pos="10080"/>
                <w:tab w:val="left" w:pos="10350"/>
              </w:tabs>
              <w:ind w:left="342" w:hanging="342"/>
            </w:pPr>
            <w:r>
              <w:t>Knoxville Subst. Abuse Treatment Facility, pg. 12</w:t>
            </w:r>
          </w:p>
        </w:tc>
      </w:tr>
      <w:tr w:rsidR="00000000">
        <w:tblPrEx>
          <w:tblCellMar>
            <w:top w:w="0" w:type="dxa"/>
            <w:bottom w:w="0" w:type="dxa"/>
          </w:tblCellMar>
        </w:tblPrEx>
        <w:tc>
          <w:tcPr>
            <w:tcW w:w="1548" w:type="dxa"/>
          </w:tcPr>
          <w:p w:rsidR="00000000" w:rsidRDefault="00915A50">
            <w:pPr>
              <w:pStyle w:val="ISSUE"/>
              <w:framePr w:w="0" w:hRule="auto" w:hSpace="0" w:wrap="auto" w:vAnchor="margin" w:hAnchor="text" w:xAlign="left" w:yAlign="inline"/>
              <w:ind w:left="342" w:hanging="342"/>
            </w:pPr>
          </w:p>
        </w:tc>
        <w:tc>
          <w:tcPr>
            <w:tcW w:w="4230" w:type="dxa"/>
          </w:tcPr>
          <w:p w:rsidR="00000000" w:rsidRDefault="00915A50">
            <w:pPr>
              <w:pStyle w:val="ISSUE"/>
              <w:framePr w:w="0" w:hRule="auto" w:hSpace="0" w:wrap="auto" w:vAnchor="margin" w:hAnchor="text" w:xAlign="left" w:yAlign="inline"/>
              <w:ind w:left="342" w:hanging="342"/>
            </w:pPr>
            <w:r>
              <w:t>Medicaid Work Group Meeting, pg.</w:t>
            </w:r>
            <w:r>
              <w:t xml:space="preserve"> 7</w:t>
            </w:r>
          </w:p>
        </w:tc>
        <w:tc>
          <w:tcPr>
            <w:tcW w:w="4680" w:type="dxa"/>
          </w:tcPr>
          <w:p w:rsidR="00000000" w:rsidRDefault="00915A50">
            <w:pPr>
              <w:pStyle w:val="ISSUE"/>
              <w:framePr w:w="0" w:hRule="auto" w:hSpace="0" w:wrap="auto" w:vAnchor="margin" w:hAnchor="text" w:xAlign="left" w:yAlign="inline"/>
              <w:tabs>
                <w:tab w:val="left" w:pos="10080"/>
                <w:tab w:val="left" w:pos="10350"/>
              </w:tabs>
              <w:ind w:left="342" w:hanging="342"/>
            </w:pPr>
            <w:r>
              <w:t>Office of Drug Policy Control Relocated, pg. 13</w:t>
            </w:r>
          </w:p>
        </w:tc>
      </w:tr>
      <w:tr w:rsidR="00000000">
        <w:tblPrEx>
          <w:tblCellMar>
            <w:top w:w="0" w:type="dxa"/>
            <w:bottom w:w="0" w:type="dxa"/>
          </w:tblCellMar>
        </w:tblPrEx>
        <w:tc>
          <w:tcPr>
            <w:tcW w:w="1548" w:type="dxa"/>
          </w:tcPr>
          <w:p w:rsidR="00000000" w:rsidRDefault="00915A50">
            <w:pPr>
              <w:pStyle w:val="ISSUE"/>
              <w:framePr w:w="0" w:hRule="auto" w:hSpace="0" w:wrap="auto" w:vAnchor="margin" w:hAnchor="text" w:xAlign="left" w:yAlign="inline"/>
              <w:ind w:left="342" w:hanging="342"/>
              <w:rPr>
                <w:u w:val="single"/>
              </w:rPr>
            </w:pPr>
          </w:p>
        </w:tc>
        <w:tc>
          <w:tcPr>
            <w:tcW w:w="4230" w:type="dxa"/>
          </w:tcPr>
          <w:p w:rsidR="00000000" w:rsidRDefault="00915A50">
            <w:pPr>
              <w:pStyle w:val="ISSUE"/>
              <w:framePr w:w="0" w:hRule="auto" w:hSpace="0" w:wrap="auto" w:vAnchor="margin" w:hAnchor="text" w:xAlign="left" w:yAlign="inline"/>
              <w:ind w:left="342" w:hanging="342"/>
            </w:pPr>
            <w:r>
              <w:t>Parole Board -Impact of 4.3% Reduction, pg. 8</w:t>
            </w:r>
          </w:p>
        </w:tc>
        <w:tc>
          <w:tcPr>
            <w:tcW w:w="4680" w:type="dxa"/>
          </w:tcPr>
          <w:p w:rsidR="00000000" w:rsidRDefault="00915A50">
            <w:pPr>
              <w:pStyle w:val="ISSUE"/>
              <w:framePr w:w="0" w:hRule="auto" w:hSpace="0" w:wrap="auto" w:vAnchor="margin" w:hAnchor="text" w:xAlign="left" w:yAlign="inline"/>
              <w:tabs>
                <w:tab w:val="left" w:pos="10080"/>
                <w:tab w:val="left" w:pos="10350"/>
              </w:tabs>
              <w:ind w:left="342" w:hanging="342"/>
            </w:pPr>
            <w:r>
              <w:t>ICN Video Classrooms Update, pg. 13</w:t>
            </w:r>
          </w:p>
        </w:tc>
      </w:tr>
      <w:tr w:rsidR="00000000">
        <w:tblPrEx>
          <w:tblCellMar>
            <w:top w:w="0" w:type="dxa"/>
            <w:bottom w:w="0" w:type="dxa"/>
          </w:tblCellMar>
        </w:tblPrEx>
        <w:tc>
          <w:tcPr>
            <w:tcW w:w="1548" w:type="dxa"/>
          </w:tcPr>
          <w:p w:rsidR="00000000" w:rsidRDefault="00915A50">
            <w:pPr>
              <w:pStyle w:val="ISSUE"/>
              <w:framePr w:w="0" w:hRule="auto" w:hSpace="0" w:wrap="auto" w:vAnchor="margin" w:hAnchor="text" w:xAlign="left" w:yAlign="inline"/>
              <w:ind w:left="342" w:hanging="342"/>
            </w:pPr>
          </w:p>
        </w:tc>
        <w:tc>
          <w:tcPr>
            <w:tcW w:w="4230" w:type="dxa"/>
          </w:tcPr>
          <w:p w:rsidR="00000000" w:rsidRDefault="00915A50">
            <w:pPr>
              <w:pStyle w:val="ISSUE"/>
              <w:framePr w:w="0" w:hRule="auto" w:hSpace="0" w:wrap="auto" w:vAnchor="margin" w:hAnchor="text" w:xAlign="left" w:yAlign="inline"/>
              <w:ind w:left="342" w:hanging="342"/>
            </w:pPr>
            <w:r>
              <w:t>Justice Dept.–Impact of 4.3% Reduction, pg. 8</w:t>
            </w:r>
          </w:p>
        </w:tc>
        <w:tc>
          <w:tcPr>
            <w:tcW w:w="4680" w:type="dxa"/>
          </w:tcPr>
          <w:p w:rsidR="00000000" w:rsidRDefault="00915A50">
            <w:pPr>
              <w:pStyle w:val="ISSUE"/>
              <w:framePr w:w="0" w:hRule="auto" w:hSpace="0" w:wrap="auto" w:vAnchor="margin" w:hAnchor="text" w:xAlign="left" w:yAlign="inline"/>
              <w:tabs>
                <w:tab w:val="left" w:pos="10080"/>
                <w:tab w:val="left" w:pos="10350"/>
              </w:tabs>
              <w:ind w:left="342" w:hanging="342"/>
            </w:pPr>
            <w:r>
              <w:t>What’s New on the LFB Web Site, pg. 14</w:t>
            </w:r>
          </w:p>
        </w:tc>
      </w:tr>
      <w:tr w:rsidR="00000000">
        <w:tblPrEx>
          <w:tblCellMar>
            <w:top w:w="0" w:type="dxa"/>
            <w:bottom w:w="0" w:type="dxa"/>
          </w:tblCellMar>
        </w:tblPrEx>
        <w:tc>
          <w:tcPr>
            <w:tcW w:w="1548" w:type="dxa"/>
          </w:tcPr>
          <w:p w:rsidR="00000000" w:rsidRDefault="00915A50">
            <w:pPr>
              <w:pStyle w:val="ISSUE"/>
              <w:framePr w:w="0" w:hRule="auto" w:hSpace="0" w:wrap="auto" w:vAnchor="margin" w:hAnchor="text" w:xAlign="left" w:yAlign="inline"/>
              <w:ind w:left="342" w:hanging="342"/>
            </w:pPr>
          </w:p>
        </w:tc>
        <w:tc>
          <w:tcPr>
            <w:tcW w:w="4230" w:type="dxa"/>
          </w:tcPr>
          <w:p w:rsidR="00000000" w:rsidRDefault="00915A50">
            <w:pPr>
              <w:pStyle w:val="ISSUE"/>
              <w:framePr w:w="0" w:hRule="auto" w:hSpace="0" w:wrap="auto" w:vAnchor="margin" w:hAnchor="text" w:xAlign="left" w:yAlign="inline"/>
              <w:ind w:left="342" w:hanging="342"/>
            </w:pPr>
            <w:r>
              <w:t>Corrections–Impact of 4.3% Reduc</w:t>
            </w:r>
            <w:r>
              <w:t>tion, pg. 9</w:t>
            </w:r>
          </w:p>
        </w:tc>
        <w:tc>
          <w:tcPr>
            <w:tcW w:w="4680" w:type="dxa"/>
          </w:tcPr>
          <w:p w:rsidR="00000000" w:rsidRDefault="00915A50">
            <w:pPr>
              <w:pStyle w:val="ISSUE"/>
              <w:framePr w:w="0" w:hRule="auto" w:hSpace="0" w:wrap="auto" w:vAnchor="margin" w:hAnchor="text" w:xAlign="left" w:yAlign="inline"/>
              <w:tabs>
                <w:tab w:val="left" w:pos="10080"/>
                <w:tab w:val="left" w:pos="10350"/>
              </w:tabs>
              <w:ind w:left="342" w:hanging="342"/>
            </w:pPr>
          </w:p>
        </w:tc>
      </w:tr>
    </w:tbl>
    <w:p w:rsidR="00000000" w:rsidRDefault="00915A50">
      <w:pPr>
        <w:pStyle w:val="textup"/>
        <w:tabs>
          <w:tab w:val="clear" w:pos="2880"/>
        </w:tabs>
      </w:pPr>
      <w:r>
        <w:rPr>
          <w:noProof/>
        </w:rPr>
        <w:pict>
          <v:shapetype id="_x0000_t202" coordsize="21600,21600" o:spt="202" path="m,l,21600r21600,l21600,xe">
            <v:stroke joinstyle="miter"/>
            <v:path gradientshapeok="t" o:connecttype="rect"/>
          </v:shapetype>
          <v:shape id="_x0000_s1027" type="#_x0000_t202" style="position:absolute;margin-left:-130.95pt;margin-top:33.6pt;width:1in;height:54pt;z-index:251654656;mso-position-horizontal-relative:text;mso-position-vertical-relative:text">
            <v:textbox style="mso-next-textbox:#_x0000_s1027">
              <w:txbxContent>
                <w:p w:rsidR="00000000" w:rsidRDefault="00915A50">
                  <w:r>
                    <w:rPr>
                      <w:noProof/>
                    </w:rPr>
                    <w:drawing>
                      <wp:inline distT="0" distB="0" distL="0" distR="0">
                        <wp:extent cx="787400" cy="635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787400" cy="635000"/>
                                </a:xfrm>
                                <a:prstGeom prst="rect">
                                  <a:avLst/>
                                </a:prstGeom>
                                <a:noFill/>
                                <a:ln w="9525">
                                  <a:noFill/>
                                  <a:miter lim="800000"/>
                                  <a:headEnd/>
                                  <a:tailEnd/>
                                </a:ln>
                              </pic:spPr>
                            </pic:pic>
                          </a:graphicData>
                        </a:graphic>
                      </wp:inline>
                    </w:drawing>
                  </w:r>
                </w:p>
              </w:txbxContent>
            </v:textbox>
            <w10:wrap type="square"/>
          </v:shape>
        </w:pict>
      </w:r>
      <w:r>
        <w:rPr>
          <w:b/>
        </w:rPr>
        <w:t>Spreadsheet Change</w:t>
      </w:r>
      <w:r>
        <w:tab/>
      </w:r>
      <w:r>
        <w:rPr>
          <w:noProof/>
        </w:rPr>
        <w:t>The Second Special Session of the 2001 General Assembly added estimation of accrued revenues to the duties of the REC.  Accrued revenues are those revenues received after the June 30 close of a cash year that are the resul</w:t>
      </w:r>
      <w:r>
        <w:rPr>
          <w:noProof/>
        </w:rPr>
        <w:t>t of taxable events during the prior July 1 to June 30 year.  For example, income taxes withheld by an employer for paydays occurring from June 16 to June 30, 2001, were in many instances due to the State by July 10, 2001.  The money received by the Depart</w:t>
      </w:r>
      <w:r>
        <w:rPr>
          <w:noProof/>
        </w:rPr>
        <w:t>ment of Revenue and Finance on July 10 is deposited to the General Fund and treated as FY 2002 revenue on a cash year basis.  However, for accounting purposes the revenue is accrued back to FY 2001.  The REC now includes a projection of net accrued revenue</w:t>
      </w:r>
      <w:r>
        <w:rPr>
          <w:noProof/>
        </w:rPr>
        <w:t xml:space="preserve">s, which is equal to $7.0 million in FY 2002.  The net accrued amount is </w:t>
      </w:r>
      <w:r>
        <w:rPr>
          <w:noProof/>
        </w:rPr>
        <w:lastRenderedPageBreak/>
        <w:t>positive, which means the REC is projecting accrued revenues at the end of FY 2002 will exceed accrued revenues from the end of FY 2001 by $7.0 million.</w:t>
      </w:r>
    </w:p>
    <w:p w:rsidR="00000000" w:rsidRDefault="00915A50">
      <w:pPr>
        <w:pStyle w:val="textup"/>
        <w:tabs>
          <w:tab w:val="clear" w:pos="2880"/>
        </w:tabs>
        <w:spacing w:before="72" w:after="72"/>
      </w:pPr>
      <w:r>
        <w:rPr>
          <w:noProof/>
        </w:rPr>
        <w:drawing>
          <wp:anchor distT="0" distB="0" distL="114300" distR="114300" simplePos="0" relativeHeight="251661824" behindDoc="0" locked="0" layoutInCell="1" allowOverlap="1">
            <wp:simplePos x="0" y="0"/>
            <wp:positionH relativeFrom="column">
              <wp:posOffset>-977265</wp:posOffset>
            </wp:positionH>
            <wp:positionV relativeFrom="paragraph">
              <wp:posOffset>548640</wp:posOffset>
            </wp:positionV>
            <wp:extent cx="4599940" cy="6629400"/>
            <wp:effectExtent l="19050" t="0" r="0" b="0"/>
            <wp:wrapTopAndBottom/>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4599940" cy="6629400"/>
                    </a:xfrm>
                    <a:prstGeom prst="rect">
                      <a:avLst/>
                    </a:prstGeom>
                    <a:noFill/>
                    <a:ln w="9525">
                      <a:noFill/>
                      <a:miter lim="800000"/>
                      <a:headEnd/>
                      <a:tailEnd/>
                    </a:ln>
                  </pic:spPr>
                </pic:pic>
              </a:graphicData>
            </a:graphic>
          </wp:anchor>
        </w:drawing>
      </w:r>
      <w:r>
        <w:rPr>
          <w:b/>
        </w:rPr>
        <w:t xml:space="preserve"> Estimates by Source</w:t>
      </w:r>
      <w:r>
        <w:tab/>
        <w:t>The spre</w:t>
      </w:r>
      <w:r>
        <w:t xml:space="preserve">adsheet below details the latest REC estimates by source of revenue.  </w:t>
      </w:r>
    </w:p>
    <w:p w:rsidR="00000000" w:rsidRDefault="00915A50">
      <w:pPr>
        <w:pStyle w:val="Contactup"/>
      </w:pPr>
      <w:r>
        <w:t>STAFF CONTACT:  Jeff Robinson (Ext. 14614)</w:t>
      </w:r>
    </w:p>
    <w:p w:rsidR="00000000" w:rsidRDefault="00915A50">
      <w:pPr>
        <w:pStyle w:val="Blurbtitle"/>
      </w:pPr>
      <w:bookmarkStart w:id="1" w:name="FU12MASA"/>
      <w:r>
        <w:lastRenderedPageBreak/>
        <w:t>Governor’s Public Hearing on FY 2003 Budget</w:t>
      </w:r>
      <w:bookmarkEnd w:id="1"/>
    </w:p>
    <w:p w:rsidR="00000000" w:rsidRDefault="00915A50">
      <w:pPr>
        <w:framePr w:w="653" w:h="929" w:hSpace="180" w:wrap="around" w:vAnchor="text" w:hAnchor="page" w:x="1542" w:y="45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06400" cy="279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06400" cy="279400"/>
                    </a:xfrm>
                    <a:prstGeom prst="rect">
                      <a:avLst/>
                    </a:prstGeom>
                    <a:noFill/>
                    <a:ln w="9525">
                      <a:noFill/>
                      <a:miter lim="800000"/>
                      <a:headEnd/>
                      <a:tailEnd/>
                    </a:ln>
                  </pic:spPr>
                </pic:pic>
              </a:graphicData>
            </a:graphic>
          </wp:inline>
        </w:drawing>
      </w:r>
    </w:p>
    <w:p w:rsidR="00000000" w:rsidRDefault="00915A50">
      <w:pPr>
        <w:framePr w:w="653" w:h="929" w:hSpace="180" w:wrap="around" w:vAnchor="text" w:hAnchor="page" w:x="1542" w:y="459"/>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Public Hearing</w:t>
      </w:r>
    </w:p>
    <w:p w:rsidR="00000000" w:rsidRDefault="00915A50">
      <w:pPr>
        <w:pStyle w:val="textup"/>
      </w:pPr>
      <w:r>
        <w:rPr>
          <w:b/>
        </w:rPr>
        <w:t>Public Hearing</w:t>
      </w:r>
      <w:r>
        <w:tab/>
        <w:t>Governor Vilsack held a public hearing at the Wallace Building aud</w:t>
      </w:r>
      <w:r>
        <w:t>itorium in Des Moines on December 3 to review the General Fund budget for FY 2003.  The audience included approximately 50 members of the general public and 50 State employees and staff.  Also in attendance were State Auditor Richard Johnson and Representa</w:t>
      </w:r>
      <w:r>
        <w:t xml:space="preserve">tive Betty Grundberg (Des Moines).  </w:t>
      </w:r>
    </w:p>
    <w:p w:rsidR="00000000" w:rsidRDefault="00915A50">
      <w:pPr>
        <w:pStyle w:val="textup"/>
      </w:pPr>
      <w:r>
        <w:rPr>
          <w:b/>
        </w:rPr>
        <w:t>Recent Accomplishments</w:t>
      </w:r>
      <w:r>
        <w:rPr>
          <w:i/>
          <w:iCs/>
        </w:rPr>
        <w:tab/>
      </w:r>
      <w:r>
        <w:t xml:space="preserve">Lt. Governor Pederson stated that education remains the number one priority for the Vilsack/Pederson administration.  The Lt. Governor outlined the following recent accomplishments by the current </w:t>
      </w:r>
      <w:r>
        <w:t>administration and General Assembly:</w:t>
      </w:r>
    </w:p>
    <w:p w:rsidR="00000000" w:rsidRDefault="00915A50">
      <w:pPr>
        <w:pStyle w:val="Bulletup0"/>
      </w:pPr>
      <w:r>
        <w:rPr>
          <w:b/>
          <w:noProof/>
        </w:rPr>
        <w:pict>
          <v:shape id="_x0000_s1031" type="#_x0000_t202" style="position:absolute;left:0;text-align:left;margin-left:-130.95pt;margin-top:21.45pt;width:85.15pt;height:54pt;z-index:251656704">
            <v:textbox>
              <w:txbxContent>
                <w:p w:rsidR="00000000" w:rsidRDefault="00915A50">
                  <w:r>
                    <w:rPr>
                      <w:noProof/>
                    </w:rPr>
                    <w:drawing>
                      <wp:inline distT="0" distB="0" distL="0" distR="0">
                        <wp:extent cx="876300" cy="5715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876300" cy="571500"/>
                                </a:xfrm>
                                <a:prstGeom prst="rect">
                                  <a:avLst/>
                                </a:prstGeom>
                                <a:noFill/>
                                <a:ln w="9525">
                                  <a:noFill/>
                                  <a:miter lim="800000"/>
                                  <a:headEnd/>
                                  <a:tailEnd/>
                                </a:ln>
                              </pic:spPr>
                            </pic:pic>
                          </a:graphicData>
                        </a:graphic>
                      </wp:inline>
                    </w:drawing>
                  </w:r>
                </w:p>
              </w:txbxContent>
            </v:textbox>
            <w10:wrap type="square"/>
          </v:shape>
        </w:pict>
      </w:r>
      <w:r>
        <w:t>Class Size Reduction Initiative for kindergarten through third grade.  Since the initiative began in FY 1999 class sizes have decreased as follows:</w:t>
      </w:r>
    </w:p>
    <w:p w:rsidR="00000000" w:rsidRDefault="00915A50">
      <w:pPr>
        <w:pStyle w:val="Bulletup0"/>
        <w:tabs>
          <w:tab w:val="clear" w:pos="360"/>
          <w:tab w:val="num" w:pos="720"/>
        </w:tabs>
        <w:spacing w:after="120"/>
        <w:ind w:left="720"/>
      </w:pPr>
      <w:r>
        <w:t>Kindergarten – from 19.7 to 18.6</w:t>
      </w:r>
    </w:p>
    <w:p w:rsidR="00000000" w:rsidRDefault="00915A50">
      <w:pPr>
        <w:pStyle w:val="Bulletup0"/>
        <w:tabs>
          <w:tab w:val="clear" w:pos="360"/>
          <w:tab w:val="num" w:pos="720"/>
        </w:tabs>
        <w:spacing w:after="120"/>
        <w:ind w:left="720"/>
      </w:pPr>
      <w:r>
        <w:t>First Grade – from 20.1 to 18.8</w:t>
      </w:r>
    </w:p>
    <w:p w:rsidR="00000000" w:rsidRDefault="00915A50">
      <w:pPr>
        <w:pStyle w:val="Bulletup0"/>
        <w:tabs>
          <w:tab w:val="clear" w:pos="360"/>
          <w:tab w:val="num" w:pos="720"/>
        </w:tabs>
        <w:spacing w:after="120"/>
        <w:ind w:left="720"/>
      </w:pPr>
      <w:r>
        <w:t>Secon</w:t>
      </w:r>
      <w:r>
        <w:t>d Grade – from 20.7 to 19.7</w:t>
      </w:r>
    </w:p>
    <w:p w:rsidR="00000000" w:rsidRDefault="00915A50">
      <w:pPr>
        <w:pStyle w:val="Bulletup0"/>
        <w:tabs>
          <w:tab w:val="clear" w:pos="360"/>
          <w:tab w:val="num" w:pos="720"/>
        </w:tabs>
        <w:spacing w:after="120"/>
        <w:ind w:left="720"/>
      </w:pPr>
      <w:r>
        <w:t>Third Grade – from 21.7 to 20.6</w:t>
      </w:r>
    </w:p>
    <w:p w:rsidR="00000000" w:rsidRDefault="00915A50">
      <w:pPr>
        <w:pStyle w:val="Bulletup0"/>
      </w:pPr>
      <w:r>
        <w:t>Recruiting and Retaining Quality Teachers.  All but nine of Iowa’s 371 school districts are participating in the new Teacher Quality and Compensation Initiative that was funded at $40.0 million fo</w:t>
      </w:r>
      <w:r>
        <w:t>r FY 2002.</w:t>
      </w:r>
    </w:p>
    <w:p w:rsidR="00000000" w:rsidRDefault="00915A50">
      <w:pPr>
        <w:pStyle w:val="Bulletup0"/>
      </w:pPr>
      <w:r>
        <w:t>Senior Living Trust Fund.  The Fund provides alternative long-term care options for older Iowans.</w:t>
      </w:r>
    </w:p>
    <w:p w:rsidR="00000000" w:rsidRDefault="00915A50">
      <w:pPr>
        <w:pStyle w:val="Bulletup0"/>
      </w:pPr>
      <w:r>
        <w:t>Healthy And Well Kids in Iowa (hawk-i) Program.  This Program provides health care coverage for more than 30,000 previously uninsured children.</w:t>
      </w:r>
    </w:p>
    <w:p w:rsidR="00000000" w:rsidRDefault="00915A50">
      <w:pPr>
        <w:pStyle w:val="Bulletup0"/>
      </w:pPr>
      <w:r>
        <w:t>Iow</w:t>
      </w:r>
      <w:r>
        <w:t>a’s Workforce.  Iowa continues to experience record employment and low unemployment due to a variety of economic development programs such as the Community Economic Betterment Account (CEBA).  The average hourly wage for CEBA jobs has increased from $12.34</w:t>
      </w:r>
      <w:r>
        <w:t xml:space="preserve"> in FY 1999 to $18.01 in FY 2001.</w:t>
      </w:r>
    </w:p>
    <w:p w:rsidR="00000000" w:rsidRDefault="00915A50">
      <w:pPr>
        <w:pStyle w:val="textup"/>
      </w:pPr>
      <w:r>
        <w:rPr>
          <w:b/>
        </w:rPr>
        <w:t>Budget Issues</w:t>
      </w:r>
      <w:r>
        <w:tab/>
        <w:t>The following key budget issues were presented at the hearing:</w:t>
      </w:r>
    </w:p>
    <w:p w:rsidR="00000000" w:rsidRDefault="00915A50">
      <w:pPr>
        <w:framePr w:w="778" w:h="979" w:hSpace="187" w:wrap="around" w:vAnchor="text" w:hAnchor="page" w:x="1535" w:y="24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44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95300" cy="444500"/>
                    </a:xfrm>
                    <a:prstGeom prst="rect">
                      <a:avLst/>
                    </a:prstGeom>
                    <a:noFill/>
                    <a:ln w="9525">
                      <a:noFill/>
                      <a:miter lim="800000"/>
                      <a:headEnd/>
                      <a:tailEnd/>
                    </a:ln>
                  </pic:spPr>
                </pic:pic>
              </a:graphicData>
            </a:graphic>
          </wp:inline>
        </w:drawing>
      </w:r>
    </w:p>
    <w:p w:rsidR="00000000" w:rsidRDefault="00915A50">
      <w:pPr>
        <w:pStyle w:val="Bulletup0"/>
      </w:pPr>
      <w:r>
        <w:rPr>
          <w:i/>
          <w:iCs/>
          <w:u w:val="single"/>
        </w:rPr>
        <w:t>Homeland Security</w:t>
      </w:r>
      <w:r>
        <w:t xml:space="preserve"> – Commissioner E. A. “Penny” Westfall, Department of Public Safety.  The Commissioner stated that significant emphasis has be</w:t>
      </w:r>
      <w:r>
        <w:t>en placed on safety and security since the terrorist attacks on September 11.  Ellen Gordon, Director of the Emergency Management Division of the Department of Public Safety, has been appointed by the Governor as Iowa’s Homeland Security Advisor.  The Depa</w:t>
      </w:r>
      <w:r>
        <w:t>rtment of Public Safety has increased partnership and cooperation with local police and county sheriff departments.  The Department has also been cooperating with federal authorities regarding antiterrorism and intelligence efforts.</w:t>
      </w:r>
    </w:p>
    <w:p w:rsidR="00000000" w:rsidRDefault="00915A50">
      <w:pPr>
        <w:pStyle w:val="Bulletup0"/>
      </w:pPr>
      <w:r>
        <w:rPr>
          <w:i/>
          <w:iCs/>
          <w:u w:val="single"/>
        </w:rPr>
        <w:t>Educational Achievement</w:t>
      </w:r>
      <w:r>
        <w:t xml:space="preserve"> – Director Ted Stilwill, Department of Education.  Director Stilwill focused on two issues – literacy and class size.  He indicated that Iowa has experienced slight improvements in the following statistics:</w:t>
      </w:r>
    </w:p>
    <w:p w:rsidR="00000000" w:rsidRDefault="00915A50">
      <w:pPr>
        <w:pStyle w:val="Bulletup0"/>
        <w:numPr>
          <w:ilvl w:val="0"/>
          <w:numId w:val="0"/>
        </w:numPr>
      </w:pPr>
    </w:p>
    <w:p w:rsidR="00000000" w:rsidRDefault="00915A50">
      <w:pPr>
        <w:pStyle w:val="textup"/>
        <w:spacing w:before="0" w:after="0"/>
        <w:jc w:val="center"/>
        <w:rPr>
          <w:b/>
          <w:bCs/>
          <w:sz w:val="18"/>
        </w:rPr>
      </w:pPr>
      <w:r>
        <w:rPr>
          <w:b/>
          <w:bCs/>
        </w:rPr>
        <w:lastRenderedPageBreak/>
        <w:t xml:space="preserve">                                            </w:t>
      </w:r>
      <w:r>
        <w:rPr>
          <w:b/>
          <w:bCs/>
          <w:sz w:val="18"/>
        </w:rPr>
        <w:t>Iow</w:t>
      </w:r>
      <w:r>
        <w:rPr>
          <w:b/>
          <w:bCs/>
          <w:sz w:val="18"/>
        </w:rPr>
        <w:t>a Tests of Basic Skills (ITBS) – Fourth Grade Scores</w:t>
      </w:r>
    </w:p>
    <w:tbl>
      <w:tblPr>
        <w:tblW w:w="0" w:type="auto"/>
        <w:jc w:val="center"/>
        <w:tblInd w:w="1405" w:type="dxa"/>
        <w:tblBorders>
          <w:top w:val="single" w:sz="4" w:space="0" w:color="auto"/>
          <w:left w:val="single" w:sz="4" w:space="0" w:color="auto"/>
          <w:bottom w:val="single" w:sz="4" w:space="0" w:color="auto"/>
          <w:right w:val="single" w:sz="4" w:space="0" w:color="auto"/>
        </w:tblBorders>
        <w:tblLook w:val="0000"/>
      </w:tblPr>
      <w:tblGrid>
        <w:gridCol w:w="857"/>
        <w:gridCol w:w="686"/>
        <w:gridCol w:w="687"/>
        <w:gridCol w:w="687"/>
        <w:gridCol w:w="687"/>
        <w:gridCol w:w="687"/>
        <w:gridCol w:w="673"/>
        <w:gridCol w:w="687"/>
      </w:tblGrid>
      <w:tr w:rsidR="00000000">
        <w:tblPrEx>
          <w:tblCellMar>
            <w:top w:w="0" w:type="dxa"/>
            <w:bottom w:w="0" w:type="dxa"/>
          </w:tblCellMar>
        </w:tblPrEx>
        <w:trPr>
          <w:jc w:val="center"/>
        </w:trPr>
        <w:tc>
          <w:tcPr>
            <w:tcW w:w="959" w:type="dxa"/>
          </w:tcPr>
          <w:p w:rsidR="00000000" w:rsidRDefault="00915A50">
            <w:pPr>
              <w:pStyle w:val="Bulletup1"/>
              <w:numPr>
                <w:ilvl w:val="0"/>
                <w:numId w:val="0"/>
              </w:numPr>
              <w:spacing w:after="0"/>
              <w:rPr>
                <w:sz w:val="16"/>
                <w:u w:val="single"/>
              </w:rPr>
            </w:pPr>
          </w:p>
        </w:tc>
        <w:tc>
          <w:tcPr>
            <w:tcW w:w="902" w:type="dxa"/>
          </w:tcPr>
          <w:p w:rsidR="00000000" w:rsidRDefault="00915A50">
            <w:pPr>
              <w:pStyle w:val="Bulletup1"/>
              <w:numPr>
                <w:ilvl w:val="0"/>
                <w:numId w:val="0"/>
              </w:numPr>
              <w:spacing w:after="0"/>
              <w:jc w:val="center"/>
              <w:rPr>
                <w:sz w:val="16"/>
                <w:u w:val="single"/>
              </w:rPr>
            </w:pPr>
            <w:r>
              <w:rPr>
                <w:sz w:val="16"/>
                <w:u w:val="single"/>
              </w:rPr>
              <w:t>FY 95</w:t>
            </w:r>
          </w:p>
        </w:tc>
        <w:tc>
          <w:tcPr>
            <w:tcW w:w="902" w:type="dxa"/>
          </w:tcPr>
          <w:p w:rsidR="00000000" w:rsidRDefault="00915A50">
            <w:pPr>
              <w:pStyle w:val="Bulletup1"/>
              <w:numPr>
                <w:ilvl w:val="0"/>
                <w:numId w:val="0"/>
              </w:numPr>
              <w:spacing w:after="0"/>
              <w:jc w:val="center"/>
              <w:rPr>
                <w:sz w:val="16"/>
                <w:u w:val="single"/>
              </w:rPr>
            </w:pPr>
            <w:r>
              <w:rPr>
                <w:sz w:val="16"/>
                <w:u w:val="single"/>
              </w:rPr>
              <w:t>FY 96</w:t>
            </w:r>
          </w:p>
        </w:tc>
        <w:tc>
          <w:tcPr>
            <w:tcW w:w="902" w:type="dxa"/>
          </w:tcPr>
          <w:p w:rsidR="00000000" w:rsidRDefault="00915A50">
            <w:pPr>
              <w:pStyle w:val="Bulletup1"/>
              <w:numPr>
                <w:ilvl w:val="0"/>
                <w:numId w:val="0"/>
              </w:numPr>
              <w:spacing w:after="0"/>
              <w:jc w:val="center"/>
              <w:rPr>
                <w:sz w:val="16"/>
                <w:u w:val="single"/>
              </w:rPr>
            </w:pPr>
            <w:r>
              <w:rPr>
                <w:sz w:val="16"/>
                <w:u w:val="single"/>
              </w:rPr>
              <w:t>FY 97</w:t>
            </w:r>
          </w:p>
        </w:tc>
        <w:tc>
          <w:tcPr>
            <w:tcW w:w="902" w:type="dxa"/>
          </w:tcPr>
          <w:p w:rsidR="00000000" w:rsidRDefault="00915A50">
            <w:pPr>
              <w:pStyle w:val="Bulletup1"/>
              <w:numPr>
                <w:ilvl w:val="0"/>
                <w:numId w:val="0"/>
              </w:numPr>
              <w:spacing w:after="0"/>
              <w:jc w:val="center"/>
              <w:rPr>
                <w:sz w:val="16"/>
                <w:u w:val="single"/>
              </w:rPr>
            </w:pPr>
            <w:r>
              <w:rPr>
                <w:sz w:val="16"/>
                <w:u w:val="single"/>
              </w:rPr>
              <w:t>FY 98</w:t>
            </w:r>
          </w:p>
        </w:tc>
        <w:tc>
          <w:tcPr>
            <w:tcW w:w="902" w:type="dxa"/>
          </w:tcPr>
          <w:p w:rsidR="00000000" w:rsidRDefault="00915A50">
            <w:pPr>
              <w:pStyle w:val="Bulletup1"/>
              <w:numPr>
                <w:ilvl w:val="0"/>
                <w:numId w:val="0"/>
              </w:numPr>
              <w:spacing w:after="0"/>
              <w:jc w:val="center"/>
              <w:rPr>
                <w:sz w:val="16"/>
                <w:u w:val="single"/>
              </w:rPr>
            </w:pPr>
            <w:r>
              <w:rPr>
                <w:sz w:val="16"/>
                <w:u w:val="single"/>
              </w:rPr>
              <w:t>FY 99</w:t>
            </w:r>
          </w:p>
        </w:tc>
        <w:tc>
          <w:tcPr>
            <w:tcW w:w="863" w:type="dxa"/>
          </w:tcPr>
          <w:p w:rsidR="00000000" w:rsidRDefault="00915A50">
            <w:pPr>
              <w:pStyle w:val="Bulletup1"/>
              <w:numPr>
                <w:ilvl w:val="0"/>
                <w:numId w:val="0"/>
              </w:numPr>
              <w:spacing w:after="0"/>
              <w:jc w:val="center"/>
              <w:rPr>
                <w:sz w:val="16"/>
                <w:u w:val="single"/>
              </w:rPr>
            </w:pPr>
            <w:r>
              <w:rPr>
                <w:sz w:val="16"/>
                <w:u w:val="single"/>
              </w:rPr>
              <w:t>FY 00</w:t>
            </w:r>
          </w:p>
        </w:tc>
        <w:tc>
          <w:tcPr>
            <w:tcW w:w="902" w:type="dxa"/>
          </w:tcPr>
          <w:p w:rsidR="00000000" w:rsidRDefault="00915A50">
            <w:pPr>
              <w:pStyle w:val="Bulletup1"/>
              <w:numPr>
                <w:ilvl w:val="0"/>
                <w:numId w:val="0"/>
              </w:numPr>
              <w:spacing w:after="0"/>
              <w:jc w:val="center"/>
              <w:rPr>
                <w:sz w:val="16"/>
                <w:u w:val="single"/>
              </w:rPr>
            </w:pPr>
            <w:r>
              <w:rPr>
                <w:sz w:val="16"/>
                <w:u w:val="single"/>
              </w:rPr>
              <w:t>FY 01</w:t>
            </w:r>
          </w:p>
        </w:tc>
      </w:tr>
      <w:tr w:rsidR="00000000">
        <w:tblPrEx>
          <w:tblCellMar>
            <w:top w:w="0" w:type="dxa"/>
            <w:bottom w:w="0" w:type="dxa"/>
          </w:tblCellMar>
        </w:tblPrEx>
        <w:trPr>
          <w:jc w:val="center"/>
        </w:trPr>
        <w:tc>
          <w:tcPr>
            <w:tcW w:w="959" w:type="dxa"/>
          </w:tcPr>
          <w:p w:rsidR="00000000" w:rsidRDefault="00915A50">
            <w:pPr>
              <w:pStyle w:val="Bulletup1"/>
              <w:numPr>
                <w:ilvl w:val="0"/>
                <w:numId w:val="0"/>
              </w:numPr>
              <w:spacing w:after="0"/>
              <w:rPr>
                <w:sz w:val="16"/>
              </w:rPr>
            </w:pPr>
            <w:r>
              <w:rPr>
                <w:sz w:val="16"/>
              </w:rPr>
              <w:t>Math</w:t>
            </w:r>
          </w:p>
        </w:tc>
        <w:tc>
          <w:tcPr>
            <w:tcW w:w="902" w:type="dxa"/>
          </w:tcPr>
          <w:p w:rsidR="00000000" w:rsidRDefault="00915A50">
            <w:pPr>
              <w:pStyle w:val="Bulletup1"/>
              <w:numPr>
                <w:ilvl w:val="0"/>
                <w:numId w:val="0"/>
              </w:numPr>
              <w:spacing w:after="0"/>
              <w:jc w:val="center"/>
              <w:rPr>
                <w:sz w:val="16"/>
              </w:rPr>
            </w:pPr>
            <w:r>
              <w:rPr>
                <w:sz w:val="16"/>
              </w:rPr>
              <w:t>74.6</w:t>
            </w:r>
          </w:p>
        </w:tc>
        <w:tc>
          <w:tcPr>
            <w:tcW w:w="902" w:type="dxa"/>
          </w:tcPr>
          <w:p w:rsidR="00000000" w:rsidRDefault="00915A50">
            <w:pPr>
              <w:pStyle w:val="Bulletup1"/>
              <w:numPr>
                <w:ilvl w:val="0"/>
                <w:numId w:val="0"/>
              </w:numPr>
              <w:spacing w:after="0"/>
              <w:jc w:val="center"/>
              <w:rPr>
                <w:sz w:val="16"/>
              </w:rPr>
            </w:pPr>
            <w:r>
              <w:rPr>
                <w:sz w:val="16"/>
              </w:rPr>
              <w:t>74.5</w:t>
            </w:r>
          </w:p>
        </w:tc>
        <w:tc>
          <w:tcPr>
            <w:tcW w:w="902" w:type="dxa"/>
          </w:tcPr>
          <w:p w:rsidR="00000000" w:rsidRDefault="00915A50">
            <w:pPr>
              <w:pStyle w:val="Bulletup1"/>
              <w:numPr>
                <w:ilvl w:val="0"/>
                <w:numId w:val="0"/>
              </w:numPr>
              <w:spacing w:after="0"/>
              <w:jc w:val="center"/>
              <w:rPr>
                <w:sz w:val="16"/>
              </w:rPr>
            </w:pPr>
            <w:r>
              <w:rPr>
                <w:sz w:val="16"/>
              </w:rPr>
              <w:t>73.6</w:t>
            </w:r>
          </w:p>
        </w:tc>
        <w:tc>
          <w:tcPr>
            <w:tcW w:w="902" w:type="dxa"/>
          </w:tcPr>
          <w:p w:rsidR="00000000" w:rsidRDefault="00915A50">
            <w:pPr>
              <w:pStyle w:val="Bulletup1"/>
              <w:numPr>
                <w:ilvl w:val="0"/>
                <w:numId w:val="0"/>
              </w:numPr>
              <w:spacing w:after="0"/>
              <w:jc w:val="center"/>
              <w:rPr>
                <w:sz w:val="16"/>
              </w:rPr>
            </w:pPr>
            <w:r>
              <w:rPr>
                <w:sz w:val="16"/>
              </w:rPr>
              <w:t>72.9</w:t>
            </w:r>
          </w:p>
        </w:tc>
        <w:tc>
          <w:tcPr>
            <w:tcW w:w="902" w:type="dxa"/>
          </w:tcPr>
          <w:p w:rsidR="00000000" w:rsidRDefault="00915A50">
            <w:pPr>
              <w:pStyle w:val="Bulletup1"/>
              <w:numPr>
                <w:ilvl w:val="0"/>
                <w:numId w:val="0"/>
              </w:numPr>
              <w:spacing w:after="0"/>
              <w:jc w:val="center"/>
              <w:rPr>
                <w:sz w:val="16"/>
              </w:rPr>
            </w:pPr>
            <w:r>
              <w:rPr>
                <w:sz w:val="16"/>
              </w:rPr>
              <w:t>71.5</w:t>
            </w:r>
          </w:p>
        </w:tc>
        <w:tc>
          <w:tcPr>
            <w:tcW w:w="863" w:type="dxa"/>
          </w:tcPr>
          <w:p w:rsidR="00000000" w:rsidRDefault="00915A50">
            <w:pPr>
              <w:pStyle w:val="Bulletup1"/>
              <w:numPr>
                <w:ilvl w:val="0"/>
                <w:numId w:val="0"/>
              </w:numPr>
              <w:spacing w:after="0"/>
              <w:jc w:val="center"/>
              <w:rPr>
                <w:sz w:val="16"/>
              </w:rPr>
            </w:pPr>
            <w:r>
              <w:rPr>
                <w:sz w:val="16"/>
              </w:rPr>
              <w:t>71.0</w:t>
            </w:r>
          </w:p>
        </w:tc>
        <w:tc>
          <w:tcPr>
            <w:tcW w:w="902" w:type="dxa"/>
          </w:tcPr>
          <w:p w:rsidR="00000000" w:rsidRDefault="00915A50">
            <w:pPr>
              <w:pStyle w:val="Bulletup1"/>
              <w:numPr>
                <w:ilvl w:val="0"/>
                <w:numId w:val="0"/>
              </w:numPr>
              <w:spacing w:after="0"/>
              <w:jc w:val="center"/>
              <w:rPr>
                <w:sz w:val="16"/>
              </w:rPr>
            </w:pPr>
            <w:r>
              <w:rPr>
                <w:sz w:val="16"/>
              </w:rPr>
              <w:t>71.4</w:t>
            </w:r>
          </w:p>
        </w:tc>
      </w:tr>
      <w:tr w:rsidR="00000000">
        <w:tblPrEx>
          <w:tblCellMar>
            <w:top w:w="0" w:type="dxa"/>
            <w:bottom w:w="0" w:type="dxa"/>
          </w:tblCellMar>
        </w:tblPrEx>
        <w:trPr>
          <w:jc w:val="center"/>
        </w:trPr>
        <w:tc>
          <w:tcPr>
            <w:tcW w:w="959" w:type="dxa"/>
          </w:tcPr>
          <w:p w:rsidR="00000000" w:rsidRDefault="00915A50">
            <w:pPr>
              <w:pStyle w:val="Bulletup1"/>
              <w:numPr>
                <w:ilvl w:val="0"/>
                <w:numId w:val="0"/>
              </w:numPr>
              <w:spacing w:after="0"/>
              <w:rPr>
                <w:sz w:val="16"/>
              </w:rPr>
            </w:pPr>
            <w:r>
              <w:rPr>
                <w:sz w:val="16"/>
              </w:rPr>
              <w:t>Reading</w:t>
            </w:r>
          </w:p>
        </w:tc>
        <w:tc>
          <w:tcPr>
            <w:tcW w:w="902" w:type="dxa"/>
          </w:tcPr>
          <w:p w:rsidR="00000000" w:rsidRDefault="00915A50">
            <w:pPr>
              <w:pStyle w:val="Bulletup1"/>
              <w:numPr>
                <w:ilvl w:val="0"/>
                <w:numId w:val="0"/>
              </w:numPr>
              <w:spacing w:after="0"/>
              <w:jc w:val="center"/>
              <w:rPr>
                <w:sz w:val="16"/>
              </w:rPr>
            </w:pPr>
            <w:r>
              <w:rPr>
                <w:sz w:val="16"/>
              </w:rPr>
              <w:t>71.4</w:t>
            </w:r>
          </w:p>
        </w:tc>
        <w:tc>
          <w:tcPr>
            <w:tcW w:w="902" w:type="dxa"/>
          </w:tcPr>
          <w:p w:rsidR="00000000" w:rsidRDefault="00915A50">
            <w:pPr>
              <w:pStyle w:val="Bulletup1"/>
              <w:numPr>
                <w:ilvl w:val="0"/>
                <w:numId w:val="0"/>
              </w:numPr>
              <w:spacing w:after="0"/>
              <w:jc w:val="center"/>
              <w:rPr>
                <w:sz w:val="16"/>
              </w:rPr>
            </w:pPr>
            <w:r>
              <w:rPr>
                <w:sz w:val="16"/>
              </w:rPr>
              <w:t>71.3</w:t>
            </w:r>
          </w:p>
        </w:tc>
        <w:tc>
          <w:tcPr>
            <w:tcW w:w="902" w:type="dxa"/>
          </w:tcPr>
          <w:p w:rsidR="00000000" w:rsidRDefault="00915A50">
            <w:pPr>
              <w:pStyle w:val="Bulletup1"/>
              <w:numPr>
                <w:ilvl w:val="0"/>
                <w:numId w:val="0"/>
              </w:numPr>
              <w:spacing w:after="0"/>
              <w:jc w:val="center"/>
              <w:rPr>
                <w:sz w:val="16"/>
              </w:rPr>
            </w:pPr>
            <w:r>
              <w:rPr>
                <w:sz w:val="16"/>
              </w:rPr>
              <w:t>70.6</w:t>
            </w:r>
          </w:p>
        </w:tc>
        <w:tc>
          <w:tcPr>
            <w:tcW w:w="902" w:type="dxa"/>
          </w:tcPr>
          <w:p w:rsidR="00000000" w:rsidRDefault="00915A50">
            <w:pPr>
              <w:pStyle w:val="Bulletup1"/>
              <w:numPr>
                <w:ilvl w:val="0"/>
                <w:numId w:val="0"/>
              </w:numPr>
              <w:spacing w:after="0"/>
              <w:jc w:val="center"/>
              <w:rPr>
                <w:sz w:val="16"/>
              </w:rPr>
            </w:pPr>
            <w:r>
              <w:rPr>
                <w:sz w:val="16"/>
              </w:rPr>
              <w:t>69.8</w:t>
            </w:r>
          </w:p>
        </w:tc>
        <w:tc>
          <w:tcPr>
            <w:tcW w:w="902" w:type="dxa"/>
          </w:tcPr>
          <w:p w:rsidR="00000000" w:rsidRDefault="00915A50">
            <w:pPr>
              <w:pStyle w:val="Bulletup1"/>
              <w:numPr>
                <w:ilvl w:val="0"/>
                <w:numId w:val="0"/>
              </w:numPr>
              <w:spacing w:after="0"/>
              <w:jc w:val="center"/>
              <w:rPr>
                <w:sz w:val="16"/>
              </w:rPr>
            </w:pPr>
            <w:r>
              <w:rPr>
                <w:sz w:val="16"/>
              </w:rPr>
              <w:t>68.6</w:t>
            </w:r>
          </w:p>
        </w:tc>
        <w:tc>
          <w:tcPr>
            <w:tcW w:w="863" w:type="dxa"/>
          </w:tcPr>
          <w:p w:rsidR="00000000" w:rsidRDefault="00915A50">
            <w:pPr>
              <w:pStyle w:val="Bulletup1"/>
              <w:numPr>
                <w:ilvl w:val="0"/>
                <w:numId w:val="0"/>
              </w:numPr>
              <w:spacing w:after="0"/>
              <w:jc w:val="center"/>
              <w:rPr>
                <w:sz w:val="16"/>
              </w:rPr>
            </w:pPr>
            <w:r>
              <w:rPr>
                <w:sz w:val="16"/>
              </w:rPr>
              <w:t>67.7</w:t>
            </w:r>
          </w:p>
        </w:tc>
        <w:tc>
          <w:tcPr>
            <w:tcW w:w="902" w:type="dxa"/>
          </w:tcPr>
          <w:p w:rsidR="00000000" w:rsidRDefault="00915A50">
            <w:pPr>
              <w:pStyle w:val="Bulletup1"/>
              <w:numPr>
                <w:ilvl w:val="0"/>
                <w:numId w:val="0"/>
              </w:numPr>
              <w:spacing w:after="0"/>
              <w:jc w:val="center"/>
              <w:rPr>
                <w:sz w:val="16"/>
              </w:rPr>
            </w:pPr>
            <w:r>
              <w:rPr>
                <w:sz w:val="16"/>
              </w:rPr>
              <w:t>67.8</w:t>
            </w:r>
          </w:p>
        </w:tc>
      </w:tr>
    </w:tbl>
    <w:p w:rsidR="00000000" w:rsidRDefault="00915A50">
      <w:pPr>
        <w:pStyle w:val="textup"/>
      </w:pPr>
      <w:r>
        <w:tab/>
        <w:t>Mr. Stilwill also provided and discussed the following statistics regardi</w:t>
      </w:r>
      <w:r>
        <w:t>ng Iowa’s high schools:</w:t>
      </w:r>
    </w:p>
    <w:p w:rsidR="00000000" w:rsidRDefault="00915A50">
      <w:pPr>
        <w:pStyle w:val="Bulletup0"/>
      </w:pPr>
      <w:r>
        <w:t>Percent of Public Graduates Pursuing or Intending to Pursue Post-Secondary Education/Training.  This percentage has increased from 61.4% for the 1985 graduating class to 82.7% for the graduating class of 2001.</w:t>
      </w:r>
    </w:p>
    <w:p w:rsidR="00000000" w:rsidRDefault="00915A50">
      <w:pPr>
        <w:pStyle w:val="Bulletup0"/>
      </w:pPr>
      <w:r>
        <w:t>Comparison of Iowa’s A</w:t>
      </w:r>
      <w:r>
        <w:t>merican College Testing (ACT) Scores to National Results.  Iowa’s average ACT score has ranged from 21.8 for the 1990 graduating class to 22.0 for the graduating class of 2001.  The national average ranged from 20.6 to 21.0 for the same period.</w:t>
      </w:r>
    </w:p>
    <w:p w:rsidR="00000000" w:rsidRDefault="00915A50">
      <w:pPr>
        <w:pStyle w:val="textup"/>
      </w:pPr>
      <w:r>
        <w:rPr>
          <w:b/>
        </w:rPr>
        <w:t>Health &amp; Sa</w:t>
      </w:r>
      <w:r>
        <w:rPr>
          <w:b/>
        </w:rPr>
        <w:t>fety</w:t>
      </w:r>
      <w:r>
        <w:tab/>
      </w:r>
      <w:r>
        <w:rPr>
          <w:i/>
          <w:iCs/>
          <w:u w:val="single"/>
        </w:rPr>
        <w:t>Health and Safety for all Iowans</w:t>
      </w:r>
      <w:r>
        <w:t xml:space="preserve"> – Director Jessie Rasmussen, Department of Human Services (DHS), presented the Department’s commitment to the following:</w:t>
      </w:r>
    </w:p>
    <w:p w:rsidR="00000000" w:rsidRDefault="00915A50">
      <w:pPr>
        <w:pStyle w:val="Bulletup0"/>
      </w:pPr>
      <w:r>
        <w:t>Health of Children.  Director Rasmussen echoed the comments regarding the hawk-i Program (see abo</w:t>
      </w:r>
      <w:r>
        <w:t>ve).  She also mentioned that a recent study by the University of Iowa revealed that health care involves more than healthy children.  In addition, resources have been provided to allow 2,260 children with disabilities to receive care at home.</w:t>
      </w:r>
    </w:p>
    <w:p w:rsidR="00000000" w:rsidRDefault="00915A50">
      <w:pPr>
        <w:pStyle w:val="Bulletup0"/>
      </w:pPr>
      <w:r>
        <w:t>Health of Pe</w:t>
      </w:r>
      <w:r>
        <w:t>rsons with Disabilities.  Approximately 3,220 Iowans with disabilities have the dignity of work and assurance of health care through the Medicaid buy-in program.  Director Rasmussen announced the receipt of a new $1.0 million grant to support disabled pers</w:t>
      </w:r>
      <w:r>
        <w:t>ons.</w:t>
      </w:r>
    </w:p>
    <w:p w:rsidR="00000000" w:rsidRDefault="00915A50">
      <w:pPr>
        <w:pStyle w:val="Bulletup0"/>
      </w:pPr>
      <w:r>
        <w:rPr>
          <w:noProof/>
          <w:sz w:val="20"/>
        </w:rPr>
        <w:pict>
          <v:shape id="_x0000_s1032" type="#_x0000_t202" style="position:absolute;left:0;text-align:left;margin-left:-130.95pt;margin-top:31.8pt;width:58.05pt;height:51.7pt;z-index:251657728">
            <v:textbox>
              <w:txbxContent>
                <w:p w:rsidR="00000000" w:rsidRDefault="00915A50">
                  <w:r>
                    <w:rPr>
                      <w:noProof/>
                    </w:rPr>
                    <w:drawing>
                      <wp:inline distT="0" distB="0" distL="0" distR="0">
                        <wp:extent cx="520700" cy="5207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20700" cy="520700"/>
                                </a:xfrm>
                                <a:prstGeom prst="rect">
                                  <a:avLst/>
                                </a:prstGeom>
                                <a:noFill/>
                                <a:ln w="9525">
                                  <a:noFill/>
                                  <a:miter lim="800000"/>
                                  <a:headEnd/>
                                  <a:tailEnd/>
                                </a:ln>
                              </pic:spPr>
                            </pic:pic>
                          </a:graphicData>
                        </a:graphic>
                      </wp:inline>
                    </w:drawing>
                  </w:r>
                </w:p>
              </w:txbxContent>
            </v:textbox>
            <w10:wrap type="square"/>
          </v:shape>
        </w:pict>
      </w:r>
      <w:r>
        <w:t>Health of Senior Citizens.  The Senior Living Trust Fund has created alternative long-term care choices that support maximum independence for the elderly through the creation of 400 additional assisted living units and 10,000 additional home and comm</w:t>
      </w:r>
      <w:r>
        <w:t>unity-based service units.</w:t>
      </w:r>
    </w:p>
    <w:p w:rsidR="00000000" w:rsidRDefault="00915A50">
      <w:pPr>
        <w:pStyle w:val="Bulletup0"/>
      </w:pPr>
      <w:r>
        <w:t>Safety of Children.  More than 1,900 children have been adopted.  The DHS received the federal Health and Human Service Adoption 2002 Excellence Award for increased adoptions.  The Department plans to continue the focus on adopti</w:t>
      </w:r>
      <w:r>
        <w:t>on and building communities of protection to reduce child abuse.</w:t>
      </w:r>
    </w:p>
    <w:p w:rsidR="00000000" w:rsidRDefault="00915A50">
      <w:pPr>
        <w:framePr w:w="796" w:h="865" w:hSpace="180" w:wrap="auto" w:vAnchor="text" w:hAnchor="page" w:x="1542" w:y="128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5080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508000" cy="508000"/>
                    </a:xfrm>
                    <a:prstGeom prst="rect">
                      <a:avLst/>
                    </a:prstGeom>
                    <a:noFill/>
                    <a:ln w="9525">
                      <a:noFill/>
                      <a:miter lim="800000"/>
                      <a:headEnd/>
                      <a:tailEnd/>
                    </a:ln>
                  </pic:spPr>
                </pic:pic>
              </a:graphicData>
            </a:graphic>
          </wp:inline>
        </w:drawing>
      </w:r>
    </w:p>
    <w:p w:rsidR="00000000" w:rsidRDefault="00915A50">
      <w:pPr>
        <w:pStyle w:val="textup"/>
      </w:pPr>
      <w:r>
        <w:rPr>
          <w:b/>
        </w:rPr>
        <w:t>Accountable Government</w:t>
      </w:r>
      <w:r>
        <w:tab/>
      </w:r>
      <w:r>
        <w:rPr>
          <w:i/>
          <w:iCs/>
          <w:u w:val="single"/>
        </w:rPr>
        <w:t>Accountable Government</w:t>
      </w:r>
      <w:r>
        <w:t xml:space="preserve"> – Director Kevin Techau, Department of Inspections and Appeals, reviewed Governor Vilsack’s efforts to improve State government.  The overall g</w:t>
      </w:r>
      <w:r>
        <w:t>oal of the effort is to renew, remodel, rededicate, and reaffirm the public trust in State government.  A significant indication of change is the major reorganization currently occurring in three State agencies – the Departments of Human Services (DHS), Tr</w:t>
      </w:r>
      <w:r>
        <w:t>ansportation (DOT), and Natural Resources (DNR).  State government reform also includes efforts assuring that government is:</w:t>
      </w:r>
    </w:p>
    <w:p w:rsidR="00000000" w:rsidRDefault="00915A50">
      <w:pPr>
        <w:pStyle w:val="Bulletup0"/>
      </w:pPr>
      <w:r>
        <w:t>Accessible and Responsible.  Some examples include enterprise resource planning, consolidation of professional licensing, and coord</w:t>
      </w:r>
      <w:r>
        <w:t>ination of permit, licensing, and inspections functions.</w:t>
      </w:r>
    </w:p>
    <w:p w:rsidR="00000000" w:rsidRDefault="00915A50">
      <w:pPr>
        <w:pStyle w:val="Bulletup0"/>
      </w:pPr>
      <w:r>
        <w:t>Streamlined and Flexible.  Examples include creating a single administrative agency and centralization of payroll and human resource functions.</w:t>
      </w:r>
    </w:p>
    <w:p w:rsidR="00000000" w:rsidRDefault="00915A50">
      <w:pPr>
        <w:pStyle w:val="Bulletup0"/>
      </w:pPr>
      <w:r>
        <w:lastRenderedPageBreak/>
        <w:t xml:space="preserve">Financially Responsible.  An early out/buy out program </w:t>
      </w:r>
      <w:r>
        <w:t>was approved during the Extraordinary Session in November that will allow the State to save money through workforce attrition.  The Governor also favors biennial budgeting, replacing selected contract functions with full-time employees (FTEs), and simple m</w:t>
      </w:r>
      <w:r>
        <w:t>isdemeanor reform that may reduce indigent defense costs.</w:t>
      </w:r>
    </w:p>
    <w:p w:rsidR="00000000" w:rsidRDefault="00915A50">
      <w:pPr>
        <w:pStyle w:val="Bulletup0"/>
      </w:pPr>
      <w:r>
        <w:t>Entrepreneurial.  Working groups are examining savings that could be achieved through enterprise utility management and contracting for in-state hotel/motel rates to reduce travel expense.</w:t>
      </w:r>
    </w:p>
    <w:p w:rsidR="00000000" w:rsidRDefault="00915A50">
      <w:pPr>
        <w:pStyle w:val="textup"/>
      </w:pPr>
      <w:r>
        <w:rPr>
          <w:b/>
          <w:u w:val="single"/>
        </w:rPr>
        <w:t>Budget an</w:t>
      </w:r>
      <w:r>
        <w:rPr>
          <w:b/>
          <w:u w:val="single"/>
        </w:rPr>
        <w:t>d Finance</w:t>
      </w:r>
      <w:r>
        <w:rPr>
          <w:i/>
          <w:iCs/>
        </w:rPr>
        <w:tab/>
        <w:t>Iowa’s Budget and Finances</w:t>
      </w:r>
      <w:r>
        <w:t xml:space="preserve"> – Governor Vilsack’s comments included the following:</w:t>
      </w:r>
    </w:p>
    <w:p w:rsidR="00000000" w:rsidRDefault="00915A50">
      <w:pPr>
        <w:framePr w:w="796" w:h="865" w:hSpace="180" w:wrap="auto" w:vAnchor="text" w:hAnchor="page" w:x="1542" w:y="36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064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495300" cy="406400"/>
                    </a:xfrm>
                    <a:prstGeom prst="rect">
                      <a:avLst/>
                    </a:prstGeom>
                    <a:noFill/>
                    <a:ln w="9525">
                      <a:noFill/>
                      <a:miter lim="800000"/>
                      <a:headEnd/>
                      <a:tailEnd/>
                    </a:ln>
                  </pic:spPr>
                </pic:pic>
              </a:graphicData>
            </a:graphic>
          </wp:inline>
        </w:drawing>
      </w:r>
    </w:p>
    <w:p w:rsidR="00000000" w:rsidRDefault="00915A50">
      <w:pPr>
        <w:pStyle w:val="Bulletup0"/>
      </w:pPr>
      <w:r>
        <w:rPr>
          <w:b/>
          <w:bCs/>
        </w:rPr>
        <w:t>Revenue Decline.</w:t>
      </w:r>
      <w:r>
        <w:t xml:space="preserve">  Both Iowa and the United States have experienced revenue declines.  The nation has experienced six consecutive quarters of reduced revenue growth</w:t>
      </w:r>
      <w:r>
        <w:t xml:space="preserve"> averaging 1.4% annually.  The U.S. gross domestic product (GDP) rate was a negative 0.4% for the third quarter of 2001.  Most U.S. states are experiencing FY 2002 budget problems.  A total of 28 states (including Iowa) are spending on target, but have exp</w:t>
      </w:r>
      <w:r>
        <w:t>erienced budget difficulties because revenues have not been received as projected.  A total of 44 states are experiencing revenue growth below forecasted levels.  Seven states have convened special sessions.  As many as 20 states may tap reserve funds.</w:t>
      </w:r>
    </w:p>
    <w:p w:rsidR="00000000" w:rsidRDefault="00915A50">
      <w:pPr>
        <w:pStyle w:val="Bulletup0"/>
      </w:pPr>
      <w:r>
        <w:rPr>
          <w:b/>
          <w:bCs/>
        </w:rPr>
        <w:t>Tax</w:t>
      </w:r>
      <w:r>
        <w:rPr>
          <w:b/>
          <w:bCs/>
        </w:rPr>
        <w:t xml:space="preserve"> Cut Period has Ended.</w:t>
      </w:r>
      <w:r>
        <w:t xml:space="preserve">  The National Conference of State Legislatures (NCSL) reported that net tax cuts (percent of prior year revenues) fell to the lowest point in seven fiscal years during FY 2001.</w:t>
      </w:r>
    </w:p>
    <w:p w:rsidR="00000000" w:rsidRDefault="00915A50">
      <w:pPr>
        <w:pStyle w:val="Bulletup0"/>
      </w:pPr>
      <w:r>
        <w:rPr>
          <w:b/>
          <w:bCs/>
        </w:rPr>
        <w:t>Budget Perspective.</w:t>
      </w:r>
      <w:r>
        <w:t xml:space="preserve">  The Governor displayed graphs illus</w:t>
      </w:r>
      <w:r>
        <w:t>trating the following:</w:t>
      </w:r>
    </w:p>
    <w:p w:rsidR="00000000" w:rsidRDefault="00915A50">
      <w:pPr>
        <w:pStyle w:val="Bulletup2"/>
        <w:tabs>
          <w:tab w:val="clear" w:pos="720"/>
          <w:tab w:val="num" w:pos="274"/>
        </w:tabs>
        <w:spacing w:after="0"/>
        <w:ind w:left="720"/>
      </w:pPr>
      <w:r>
        <w:t>Iowa Revenues:  Long Term Trend is also Down</w:t>
      </w:r>
    </w:p>
    <w:p w:rsidR="00000000" w:rsidRDefault="00915A50">
      <w:pPr>
        <w:pStyle w:val="Bulletup2"/>
        <w:tabs>
          <w:tab w:val="clear" w:pos="720"/>
          <w:tab w:val="num" w:pos="274"/>
        </w:tabs>
        <w:spacing w:after="0"/>
        <w:ind w:left="720"/>
      </w:pPr>
      <w:r>
        <w:t>Spending Growth has been Modest</w:t>
      </w:r>
    </w:p>
    <w:p w:rsidR="00000000" w:rsidRDefault="00915A50">
      <w:pPr>
        <w:pStyle w:val="Bulletup2"/>
        <w:tabs>
          <w:tab w:val="clear" w:pos="720"/>
          <w:tab w:val="num" w:pos="274"/>
        </w:tabs>
        <w:spacing w:after="0"/>
        <w:ind w:left="720"/>
      </w:pPr>
      <w:r>
        <w:t>FY 2002 Cuts are Historic</w:t>
      </w:r>
    </w:p>
    <w:p w:rsidR="00000000" w:rsidRDefault="00915A50">
      <w:pPr>
        <w:pStyle w:val="Bulletup2"/>
        <w:tabs>
          <w:tab w:val="clear" w:pos="720"/>
          <w:tab w:val="num" w:pos="274"/>
        </w:tabs>
        <w:spacing w:after="0"/>
        <w:ind w:left="720"/>
      </w:pPr>
      <w:r>
        <w:t>Tax Cuts have Reduced Available Resources</w:t>
      </w:r>
    </w:p>
    <w:p w:rsidR="00000000" w:rsidRDefault="00915A50">
      <w:pPr>
        <w:pStyle w:val="Bulletup2"/>
        <w:tabs>
          <w:tab w:val="clear" w:pos="720"/>
          <w:tab w:val="num" w:pos="274"/>
        </w:tabs>
        <w:spacing w:after="0"/>
        <w:ind w:left="720"/>
      </w:pPr>
      <w:r>
        <w:t>Iowa’s Ongoing Revenues have not kept pace with Expenditures</w:t>
      </w:r>
    </w:p>
    <w:p w:rsidR="00000000" w:rsidRDefault="00915A50">
      <w:pPr>
        <w:pStyle w:val="Bulletup2"/>
        <w:tabs>
          <w:tab w:val="clear" w:pos="720"/>
          <w:tab w:val="num" w:pos="274"/>
        </w:tabs>
        <w:ind w:left="720"/>
      </w:pPr>
      <w:r>
        <w:t>FY 2002 General Fund Expend</w:t>
      </w:r>
      <w:r>
        <w:t>itures</w:t>
      </w:r>
    </w:p>
    <w:p w:rsidR="00000000" w:rsidRDefault="00915A50">
      <w:pPr>
        <w:pStyle w:val="Bulletup0"/>
      </w:pPr>
      <w:r>
        <w:rPr>
          <w:b/>
          <w:bCs/>
        </w:rPr>
        <w:t>Medicaid Growth is a Budget Concern.</w:t>
      </w:r>
      <w:r>
        <w:t xml:space="preserve">  Caseloads and costs have increased significantly in the last two years.  Funds appropriated for Medicaid in Iowa for FY 2002 are not expected to be sufficient – supplemental funding will be required.  This defic</w:t>
      </w:r>
      <w:r>
        <w:t>it will carry over to FY 2003.</w:t>
      </w:r>
    </w:p>
    <w:p w:rsidR="00000000" w:rsidRDefault="00915A50">
      <w:pPr>
        <w:pStyle w:val="Bulletup0"/>
      </w:pPr>
      <w:r>
        <w:rPr>
          <w:b/>
          <w:bCs/>
        </w:rPr>
        <w:t>Iowa’s Credit Rating is Good.</w:t>
      </w:r>
      <w:r>
        <w:t xml:space="preserve">  Iowa’s bond rating of AA+ is good when compared to surrounding states.  Only Minnesota and Missouri have higher ratings (AAA).</w:t>
      </w:r>
    </w:p>
    <w:p w:rsidR="00000000" w:rsidRDefault="00915A50">
      <w:pPr>
        <w:pStyle w:val="Bulletup0"/>
      </w:pPr>
      <w:r>
        <w:rPr>
          <w:b/>
          <w:bCs/>
        </w:rPr>
        <w:t>Iowa is a Well-Managed State.</w:t>
      </w:r>
      <w:r>
        <w:t xml:space="preserve">  Iowa’s financial standing is excelle</w:t>
      </w:r>
      <w:r>
        <w:t>nt with more than $400.0 million in reserve funds.</w:t>
      </w:r>
    </w:p>
    <w:p w:rsidR="00000000" w:rsidRDefault="00915A50">
      <w:pPr>
        <w:pStyle w:val="Bulletup0"/>
        <w:spacing w:after="120"/>
      </w:pPr>
      <w:r>
        <w:rPr>
          <w:b/>
          <w:bCs/>
        </w:rPr>
        <w:t>Strategic Investment Priorities.</w:t>
      </w:r>
      <w:r>
        <w:t xml:space="preserve">  The Governor plans to support funding for the following:</w:t>
      </w:r>
    </w:p>
    <w:p w:rsidR="00000000" w:rsidRDefault="00915A50">
      <w:pPr>
        <w:pStyle w:val="Bulletup2"/>
        <w:tabs>
          <w:tab w:val="clear" w:pos="720"/>
          <w:tab w:val="num" w:pos="274"/>
        </w:tabs>
        <w:spacing w:after="0"/>
        <w:ind w:left="720"/>
      </w:pPr>
      <w:r>
        <w:t>Teacher compensation</w:t>
      </w:r>
    </w:p>
    <w:p w:rsidR="00000000" w:rsidRDefault="00915A50">
      <w:pPr>
        <w:pStyle w:val="Bulletup2"/>
        <w:tabs>
          <w:tab w:val="clear" w:pos="720"/>
          <w:tab w:val="num" w:pos="274"/>
        </w:tabs>
        <w:spacing w:after="0"/>
        <w:ind w:left="720"/>
      </w:pPr>
      <w:r>
        <w:t>Allowable growth for K-12 schools</w:t>
      </w:r>
    </w:p>
    <w:p w:rsidR="00000000" w:rsidRDefault="00915A50">
      <w:pPr>
        <w:pStyle w:val="Bulletup2"/>
        <w:tabs>
          <w:tab w:val="clear" w:pos="720"/>
          <w:tab w:val="num" w:pos="274"/>
        </w:tabs>
        <w:spacing w:after="0"/>
        <w:ind w:left="720"/>
      </w:pPr>
      <w:r>
        <w:t>Health care for children, families, and seniors</w:t>
      </w:r>
    </w:p>
    <w:p w:rsidR="00000000" w:rsidRDefault="00915A50">
      <w:pPr>
        <w:pStyle w:val="Bulletup2"/>
        <w:tabs>
          <w:tab w:val="clear" w:pos="720"/>
          <w:tab w:val="num" w:pos="274"/>
        </w:tabs>
        <w:spacing w:after="0"/>
        <w:ind w:left="720"/>
      </w:pPr>
      <w:r>
        <w:t>Fighting ab</w:t>
      </w:r>
      <w:r>
        <w:t>use</w:t>
      </w:r>
    </w:p>
    <w:p w:rsidR="00000000" w:rsidRDefault="00915A50">
      <w:pPr>
        <w:pStyle w:val="Bulletup2"/>
        <w:tabs>
          <w:tab w:val="clear" w:pos="720"/>
          <w:tab w:val="num" w:pos="274"/>
        </w:tabs>
        <w:spacing w:after="0"/>
        <w:ind w:left="720"/>
      </w:pPr>
      <w:r>
        <w:lastRenderedPageBreak/>
        <w:t>Venture capital</w:t>
      </w:r>
    </w:p>
    <w:p w:rsidR="00000000" w:rsidRDefault="00915A50">
      <w:pPr>
        <w:pStyle w:val="Bulletup2"/>
        <w:tabs>
          <w:tab w:val="clear" w:pos="720"/>
          <w:tab w:val="num" w:pos="274"/>
        </w:tabs>
        <w:spacing w:after="0"/>
        <w:ind w:left="720"/>
      </w:pPr>
      <w:r>
        <w:t>Staffing for prison expansions</w:t>
      </w:r>
    </w:p>
    <w:p w:rsidR="00000000" w:rsidRDefault="00915A50">
      <w:pPr>
        <w:pStyle w:val="Bulletup2"/>
        <w:tabs>
          <w:tab w:val="clear" w:pos="720"/>
          <w:tab w:val="num" w:pos="274"/>
        </w:tabs>
        <w:ind w:left="720"/>
      </w:pPr>
      <w:r>
        <w:t>Technology</w:t>
      </w:r>
    </w:p>
    <w:p w:rsidR="00000000" w:rsidRDefault="00915A50">
      <w:pPr>
        <w:pStyle w:val="textup"/>
      </w:pPr>
      <w:r>
        <w:rPr>
          <w:b/>
        </w:rPr>
        <w:t>Comments</w:t>
      </w:r>
      <w:r>
        <w:rPr>
          <w:i/>
          <w:iCs/>
        </w:rPr>
        <w:tab/>
        <w:t>Questions and comments from the public.</w:t>
      </w:r>
      <w:r>
        <w:t xml:space="preserve">  Several members of the public made comments and asked questions.  Many of the questions and comments involved concerns about reductions in fundi</w:t>
      </w:r>
      <w:r>
        <w:t>ng for programs for Iowa’s poorest citizens given the revenue decline.</w:t>
      </w:r>
    </w:p>
    <w:p w:rsidR="00000000" w:rsidRDefault="00915A50">
      <w:pPr>
        <w:pStyle w:val="Contactup"/>
      </w:pPr>
      <w:r>
        <w:t>STAFF CONTACT:  Mary Shipman (Ext. 14617)</w:t>
      </w:r>
    </w:p>
    <w:p w:rsidR="00000000" w:rsidRDefault="00915A50">
      <w:pPr>
        <w:pStyle w:val="Blurbtitle"/>
      </w:pPr>
      <w:bookmarkStart w:id="2" w:name="FU12BALB"/>
      <w:r>
        <w:t>Allocation Transfer:  Indigent Defense</w:t>
      </w:r>
      <w:bookmarkEnd w:id="2"/>
    </w:p>
    <w:p w:rsidR="00000000" w:rsidRDefault="00915A50">
      <w:pPr>
        <w:framePr w:w="783" w:h="981" w:hSpace="180" w:wrap="around" w:vAnchor="text" w:hAnchor="page" w:x="1362" w:y="87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915A50">
      <w:pPr>
        <w:pStyle w:val="textup"/>
      </w:pPr>
      <w:r>
        <w:rPr>
          <w:b/>
        </w:rPr>
        <w:t>Allocation Transfer</w:t>
      </w:r>
      <w:r>
        <w:tab/>
        <w:t>The Legislative Fiscal Bureau has received notice of an allocation transfer of $1.</w:t>
      </w:r>
      <w:r>
        <w:t>0 million from the Indigent Defense allocation to the State Public Defender’s Office.  The FY 2002 appropriations for the State Public Defender and the Indigent Defense Fund are $1.9 million less than the actual amount spent during FY 2001.  The Office pro</w:t>
      </w:r>
      <w:r>
        <w:t>jects a $3.9 million shortfall in the Indigent Defense Fund.  The Public Defender plans to use the $1.0 million allocation transfer to fill all vacancies in the Office, as it is more cost effective to have State employees, rather than private attorneys, pr</w:t>
      </w:r>
      <w:r>
        <w:t>ovide counsel to indigent defendants.  The cost for each case handled by a public defender ($210) is substantially less than the cost of each claim submitted by private, court-appointed counsel ($444).  An FY 2002 supplemental appropriation may be required</w:t>
      </w:r>
      <w:r>
        <w:t xml:space="preserve"> for the Indigent Defense Fund.  Alternatively, appropriation transfers from other State agencies to the Indigent Defense Fund may occur.</w:t>
      </w:r>
    </w:p>
    <w:p w:rsidR="00000000" w:rsidRDefault="00915A50">
      <w:pPr>
        <w:pStyle w:val="Contactup"/>
      </w:pPr>
      <w:r>
        <w:t>STAFF CONTACT:  Beth Lenstra (Ext. 16301)</w:t>
      </w:r>
    </w:p>
    <w:p w:rsidR="00000000" w:rsidRDefault="00915A50">
      <w:pPr>
        <w:pStyle w:val="Blurbtitle"/>
      </w:pPr>
      <w:bookmarkStart w:id="3" w:name="FU12SLLA"/>
      <w:bookmarkStart w:id="4" w:name="FU11BALB"/>
      <w:r>
        <w:t>Office of the Consumer Advocate</w:t>
      </w:r>
      <w:bookmarkEnd w:id="4"/>
      <w:r>
        <w:t xml:space="preserve"> – FY 2002 Supplemental Appropriation</w:t>
      </w:r>
    </w:p>
    <w:p w:rsidR="00000000" w:rsidRDefault="00915A50">
      <w:pPr>
        <w:framePr w:w="501" w:h="1159" w:hSpace="180" w:wrap="around" w:vAnchor="text" w:hAnchor="page" w:x="1542" w:y="91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15A50">
      <w:pPr>
        <w:pStyle w:val="textup"/>
      </w:pPr>
      <w:r>
        <w:rPr>
          <w:b/>
        </w:rPr>
        <w:t>Appro</w:t>
      </w:r>
      <w:r>
        <w:rPr>
          <w:b/>
        </w:rPr>
        <w:t>priation</w:t>
      </w:r>
      <w:r>
        <w:tab/>
        <w:t>The Legislative Fiscal Bureau was notified that the Office of the Consumer Advocate has received up to $400,000 from the State General Fund to hire a consultant pursuant to HF 698 (Utility Plant Siting Appropriations Act).  The Act permits the Con</w:t>
      </w:r>
      <w:r>
        <w:t xml:space="preserve">sumer Advocate and the Utility Board to hire temporary staff, or contract for professional services, to review emissions and budget plans for proposed new generating plants.  MidAmerican Energy Company and Alliant Energy Company are proposing new electric </w:t>
      </w:r>
      <w:r>
        <w:t>generating facilities.  The companies will be billed for the review, and the payments will be deposited into the General Fund.  The $400,000 appropriation is a one-time cost and is not considered part of the ongoing operating budget of the Office of the Co</w:t>
      </w:r>
      <w:r>
        <w:t>nsumer Advocate.</w:t>
      </w:r>
    </w:p>
    <w:p w:rsidR="00000000" w:rsidRDefault="00915A50">
      <w:pPr>
        <w:pStyle w:val="Contactup"/>
      </w:pPr>
      <w:r>
        <w:t>STAFF CONTACT:  Beth Lenstra (Ext. 16301)</w:t>
      </w:r>
    </w:p>
    <w:p w:rsidR="00000000" w:rsidRDefault="00915A50">
      <w:pPr>
        <w:pStyle w:val="Blurbtitle"/>
      </w:pPr>
    </w:p>
    <w:p w:rsidR="00000000" w:rsidRDefault="00915A50">
      <w:pPr>
        <w:pStyle w:val="Blurbtitle"/>
      </w:pPr>
      <w:r>
        <w:t>Medicaid Work Group Meeting</w:t>
      </w:r>
      <w:bookmarkEnd w:id="3"/>
    </w:p>
    <w:p w:rsidR="00000000" w:rsidRDefault="00915A50">
      <w:pPr>
        <w:framePr w:w="796" w:h="865" w:hSpace="180" w:wrap="around" w:vAnchor="text" w:hAnchor="page" w:x="1542" w:y="81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915A50">
      <w:pPr>
        <w:pStyle w:val="textup"/>
      </w:pPr>
      <w:r>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12.95pt;margin-top:130.65pt;width:461.3pt;height:487.9pt;z-index:251655680">
            <v:imagedata r:id="rId21" o:title=""/>
            <w10:wrap type="square"/>
          </v:shape>
          <o:OLEObject Type="Embed" ProgID="Excel.Sheet.8" ShapeID="_x0000_s1029" DrawAspect="Content" ObjectID="_1315221402" r:id="rId22"/>
        </w:pict>
      </w:r>
      <w:r>
        <w:rPr>
          <w:b/>
        </w:rPr>
        <w:t>Work Group Meeting</w:t>
      </w:r>
      <w:r>
        <w:tab/>
        <w:t>The Medicaid Work Group met December 3 and submitted a report to the Governor, Lt. Governor, and legislative leadership regarding changes to the F</w:t>
      </w:r>
      <w:r>
        <w:t>Y 2002 Medicaid services and reimbursements.  The Work Group, including Senator Veenstra, Senator Harper, Representative Heaton, and Representative Atteberry, were not in agreement with specific items and use of various funds for additional revenue for Med</w:t>
      </w:r>
      <w:r>
        <w:t>icaid and emphasized that the following is a list of options for the Department of Human Services to consider.</w:t>
      </w:r>
    </w:p>
    <w:p w:rsidR="00000000" w:rsidRDefault="00915A50">
      <w:pPr>
        <w:pStyle w:val="textup"/>
      </w:pPr>
    </w:p>
    <w:p w:rsidR="00000000" w:rsidRDefault="00915A50">
      <w:pPr>
        <w:pStyle w:val="textup"/>
      </w:pPr>
      <w:r>
        <w:rPr>
          <w:b/>
          <w:noProof/>
        </w:rPr>
        <w:pict>
          <v:shape id="_x0000_s1033" type="#_x0000_t202" style="position:absolute;margin-left:-139.95pt;margin-top:40.55pt;width:90pt;height:27pt;z-index:251658752">
            <v:textbox style="mso-next-textbox:#_x0000_s1033">
              <w:txbxContent>
                <w:p w:rsidR="00000000" w:rsidRDefault="00915A50">
                  <w:pPr>
                    <w:pStyle w:val="titlec"/>
                    <w:spacing w:before="0" w:after="0"/>
                    <w:rPr>
                      <w:rFonts w:ascii="Lucida Sans" w:hAnsi="Lucida Sans"/>
                      <w:bCs/>
                      <w:caps w:val="0"/>
                      <w:kern w:val="0"/>
                      <w:sz w:val="18"/>
                    </w:rPr>
                  </w:pPr>
                  <w:r>
                    <w:rPr>
                      <w:rFonts w:ascii="Lucida Sans" w:hAnsi="Lucida Sans"/>
                      <w:bCs/>
                      <w:caps w:val="0"/>
                      <w:kern w:val="0"/>
                      <w:sz w:val="18"/>
                    </w:rPr>
                    <w:t xml:space="preserve"> Administrative</w:t>
                  </w:r>
                </w:p>
                <w:p w:rsidR="00000000" w:rsidRDefault="00915A50">
                  <w:pPr>
                    <w:rPr>
                      <w:rFonts w:ascii="Lucida Sans" w:hAnsi="Lucida Sans"/>
                      <w:b/>
                      <w:bCs/>
                      <w:sz w:val="18"/>
                    </w:rPr>
                  </w:pPr>
                  <w:r>
                    <w:rPr>
                      <w:rFonts w:ascii="Lucida Sans" w:hAnsi="Lucida Sans"/>
                      <w:b/>
                      <w:bCs/>
                      <w:sz w:val="18"/>
                    </w:rPr>
                    <w:t xml:space="preserve">        Rules</w:t>
                  </w:r>
                </w:p>
              </w:txbxContent>
            </v:textbox>
          </v:shape>
        </w:pict>
      </w:r>
      <w:r>
        <w:rPr>
          <w:b/>
        </w:rPr>
        <w:t>Suggestions</w:t>
      </w:r>
      <w:r>
        <w:tab/>
        <w:t>The Medicaid Work Group also included suggestions regarding future forecasting of Medicaid expenditures, future cost containment ef</w:t>
      </w:r>
      <w:r>
        <w:t>forts, and encouraging the federal government to increase reimbursements.  The Work Group requested that the Department of Human Services file emergency administrative rules to begin implementing the changes resulting in expenditure reductions, with the po</w:t>
      </w:r>
      <w:r>
        <w:t>ssibility of $10.0 million in increased revenues with possible action by the General Assembly meeting in 2002.  The request included that the administrative rules be filed at the December 14 Administrative Rules Committee meeting, with an effective date of</w:t>
      </w:r>
      <w:r>
        <w:t xml:space="preserve"> January 1, 2002.  A copy of the report and additional information is available upon request. </w:t>
      </w:r>
    </w:p>
    <w:p w:rsidR="00000000" w:rsidRDefault="00915A50">
      <w:pPr>
        <w:pStyle w:val="Contactup"/>
      </w:pPr>
      <w:r>
        <w:t>STAFF CONTACT:  Sue Lerdal  (Ext. 17794)  Sam Leto (Ext. 16764)</w:t>
      </w:r>
    </w:p>
    <w:p w:rsidR="00000000" w:rsidRDefault="00915A50">
      <w:pPr>
        <w:pStyle w:val="Blurbtitle"/>
      </w:pPr>
      <w:bookmarkStart w:id="5" w:name="FU11BALA"/>
      <w:r>
        <w:t xml:space="preserve">Board of Parole:  Impact of 4.3% Across-the-Board Reduction </w:t>
      </w:r>
      <w:bookmarkEnd w:id="5"/>
    </w:p>
    <w:p w:rsidR="00000000" w:rsidRDefault="00915A50">
      <w:pPr>
        <w:framePr w:w="501" w:h="997" w:hSpace="180" w:wrap="around" w:vAnchor="text" w:hAnchor="page" w:x="1542" w:y="67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15A50">
      <w:pPr>
        <w:pStyle w:val="textup"/>
      </w:pPr>
      <w:r>
        <w:rPr>
          <w:b/>
        </w:rPr>
        <w:t>Impact of Reduction</w:t>
      </w:r>
      <w:r>
        <w:tab/>
        <w:t>The Governor i</w:t>
      </w:r>
      <w:r>
        <w:t>ssued Executive Order Number 24, which reduced all State General Fund appropriations by 4.3%.  The Board of Parole’s budget was reduced by $46,000 and the Board will:</w:t>
      </w:r>
    </w:p>
    <w:p w:rsidR="00000000" w:rsidRDefault="00915A50">
      <w:pPr>
        <w:pStyle w:val="Bulletup0"/>
      </w:pPr>
      <w:r>
        <w:t>Reduce support budget costs (travel and equipment).</w:t>
      </w:r>
    </w:p>
    <w:p w:rsidR="00000000" w:rsidRDefault="00915A50">
      <w:pPr>
        <w:pStyle w:val="Bulletup0"/>
      </w:pPr>
      <w:r>
        <w:t>Explore cost and resource sharing wit</w:t>
      </w:r>
      <w:r>
        <w:t xml:space="preserve">h the Department of Corrections.  </w:t>
      </w:r>
    </w:p>
    <w:p w:rsidR="00000000" w:rsidRDefault="00915A50">
      <w:pPr>
        <w:pStyle w:val="Bulletup0"/>
      </w:pPr>
      <w:r>
        <w:t>Hold vacant a part-time clerk position.</w:t>
      </w:r>
    </w:p>
    <w:p w:rsidR="00000000" w:rsidRDefault="00915A50">
      <w:pPr>
        <w:pStyle w:val="textup"/>
      </w:pPr>
      <w:r>
        <w:tab/>
        <w:t>Victim notification, parole reviews, revocation hearings, and risk assessments may be delayed.</w:t>
      </w:r>
    </w:p>
    <w:p w:rsidR="00000000" w:rsidRDefault="00915A50">
      <w:pPr>
        <w:pStyle w:val="Contactup"/>
      </w:pPr>
      <w:r>
        <w:t>STAFF CONTACT:  Beth Lenstra (Ext. 16301)</w:t>
      </w:r>
    </w:p>
    <w:p w:rsidR="00000000" w:rsidRDefault="00915A50">
      <w:pPr>
        <w:pStyle w:val="Blurbtitle"/>
      </w:pPr>
      <w:bookmarkStart w:id="6" w:name="FU11BALC"/>
      <w:r>
        <w:t>Department of Justice:  Impact of 4.3% Acro</w:t>
      </w:r>
      <w:r>
        <w:t>ss-The-Board Reduction</w:t>
      </w:r>
      <w:bookmarkEnd w:id="6"/>
    </w:p>
    <w:p w:rsidR="00000000" w:rsidRDefault="00915A50">
      <w:pPr>
        <w:framePr w:w="501" w:h="997" w:hSpace="180" w:wrap="around" w:vAnchor="text" w:hAnchor="page" w:x="1722" w:y="104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15A50">
      <w:pPr>
        <w:pStyle w:val="textup"/>
      </w:pPr>
      <w:r>
        <w:rPr>
          <w:b/>
        </w:rPr>
        <w:t>Budget Changes</w:t>
      </w:r>
      <w:r>
        <w:tab/>
        <w:t>The Governor issued Executive Order Number 24, which reduced all State General Fund appropriations by 4.3%.  The Department of Justice’s appropriations were reduced by $604,400 and the Department will implement the f</w:t>
      </w:r>
      <w:r>
        <w:t>ollowing changes to its budget.</w:t>
      </w:r>
    </w:p>
    <w:p w:rsidR="00000000" w:rsidRDefault="00915A50">
      <w:pPr>
        <w:pStyle w:val="Bulletup0"/>
      </w:pPr>
      <w:r>
        <w:t xml:space="preserve">Office of the Attorney General – A reduction of $355,300.  The Office did not implement pay plan changes for non-bargaining personnel.  It will have savings within the support budget, delay filling vacancies, leverage other </w:t>
      </w:r>
      <w:r>
        <w:t>funding sources, seek grants from alternative funding sources, and may furlough staff.</w:t>
      </w:r>
    </w:p>
    <w:p w:rsidR="00000000" w:rsidRDefault="00915A50">
      <w:pPr>
        <w:pStyle w:val="Bulletup0"/>
      </w:pPr>
      <w:r>
        <w:t>Victim Assistance Grants – A reduction of $82,500.  The Department transferred $82,500 from the Victim Compensation Fund to the Victim Assistance Grants account, pursuan</w:t>
      </w:r>
      <w:r>
        <w:t xml:space="preserve">t to Section 915.94, </w:t>
      </w:r>
      <w:r>
        <w:rPr>
          <w:u w:val="single"/>
        </w:rPr>
        <w:t>Code of Iowa</w:t>
      </w:r>
      <w:r>
        <w:t>.</w:t>
      </w:r>
    </w:p>
    <w:p w:rsidR="00000000" w:rsidRDefault="00915A50">
      <w:pPr>
        <w:pStyle w:val="Bulletup0"/>
      </w:pPr>
      <w:r>
        <w:t>Area Office of Drug Control Policy Prosecuting Attorneys – a reduction of $5,800 that will reduce the support budget, such as printing expenses.</w:t>
      </w:r>
    </w:p>
    <w:p w:rsidR="00000000" w:rsidRDefault="00915A50">
      <w:pPr>
        <w:pStyle w:val="Bulletup0"/>
      </w:pPr>
      <w:r>
        <w:lastRenderedPageBreak/>
        <w:t>Prosecuting Attorney Training Council – A reduction of $13,500 that will red</w:t>
      </w:r>
      <w:r>
        <w:t>uce the support budget, such as printing expenses.</w:t>
      </w:r>
    </w:p>
    <w:p w:rsidR="00000000" w:rsidRDefault="00915A50">
      <w:pPr>
        <w:pStyle w:val="Bulletup0"/>
      </w:pPr>
      <w:r>
        <w:t>Legal Services Poverty Grants – A reduction of $28,800 that will reduce the grant awarded to Legal Services Corporation of Iowa.</w:t>
      </w:r>
    </w:p>
    <w:p w:rsidR="00000000" w:rsidRDefault="00915A50">
      <w:pPr>
        <w:pStyle w:val="Bulletup0"/>
      </w:pPr>
      <w:r>
        <w:t>Office of the Consumer Advocate – A reduction of $118,500.  Any reduction in</w:t>
      </w:r>
      <w:r>
        <w:t xml:space="preserve"> General Fund expenditures reduces General Fund receipts from utility companies by the same amount.</w:t>
      </w:r>
    </w:p>
    <w:p w:rsidR="00000000" w:rsidRDefault="00915A50">
      <w:pPr>
        <w:pStyle w:val="Contactup"/>
      </w:pPr>
      <w:r>
        <w:t>STAFF CONTACT:  Beth Lenstra (Ext. 16301)</w:t>
      </w:r>
    </w:p>
    <w:p w:rsidR="00000000" w:rsidRDefault="00915A50">
      <w:pPr>
        <w:pStyle w:val="Blurbtitle"/>
      </w:pPr>
      <w:bookmarkStart w:id="7" w:name="FU11BALG"/>
      <w:bookmarkStart w:id="8" w:name="FU11BALF"/>
      <w:r>
        <w:t>Department of Corrections:  Impact of FY 2002 Budget Reductions</w:t>
      </w:r>
      <w:bookmarkEnd w:id="8"/>
    </w:p>
    <w:p w:rsidR="00000000" w:rsidRDefault="00915A50">
      <w:pPr>
        <w:framePr w:w="501" w:h="1159" w:hSpace="180" w:wrap="around" w:vAnchor="text" w:hAnchor="page" w:x="1542" w:y="91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915A50">
      <w:pPr>
        <w:pStyle w:val="textup"/>
      </w:pPr>
      <w:r>
        <w:rPr>
          <w:b/>
        </w:rPr>
        <w:t>Funds Restored</w:t>
      </w:r>
      <w:r>
        <w:tab/>
        <w:t>House File 759 (FY 2002 Appropria</w:t>
      </w:r>
      <w:r>
        <w:t xml:space="preserve">tions Adjustment Act) restored $3.0 million of the 4.3% across-the-board reduction, so the net reduction is $8.0 million (3.2%).  The $3.0 million was restored for programs and correctional beds for the last six months of FY 2002.  The funds were restored </w:t>
      </w:r>
      <w:r>
        <w:t>as follows:</w:t>
      </w:r>
    </w:p>
    <w:p w:rsidR="00000000" w:rsidRDefault="00915A50">
      <w:pPr>
        <w:pStyle w:val="Bulletup0"/>
      </w:pPr>
      <w:r>
        <w:t>$1.9 million (22.1%) of the 4.3% across-the-board reduction of $8.1 million for the Institutions.  This results in an effective decrease of 3.3%.  The funds are for operating 482 prison beds for six months, and exempts the County Confinement Ac</w:t>
      </w:r>
      <w:r>
        <w:t>count from the across-the-board reduction.</w:t>
      </w:r>
    </w:p>
    <w:p w:rsidR="00000000" w:rsidRDefault="00915A50">
      <w:pPr>
        <w:pStyle w:val="Bulletup0"/>
      </w:pPr>
      <w:r>
        <w:t>$1.1 million (45.9%) of the 4.3% across-the-board reduction to the Community-Based Corrections (CBC) District Departments.  This results in an effective decrease of 2.3%.  The funds are for operating 100 residenti</w:t>
      </w:r>
      <w:r>
        <w:t>al beds for six months, treatment contracts for substance abuse and sex offenders, parole and probation supervision, and residential programs.</w:t>
      </w:r>
    </w:p>
    <w:p w:rsidR="00000000" w:rsidRDefault="00915A50">
      <w:pPr>
        <w:pStyle w:val="textup"/>
      </w:pPr>
      <w:r>
        <w:rPr>
          <w:b/>
        </w:rPr>
        <w:t>Implementation of Reduction</w:t>
      </w:r>
      <w:r>
        <w:tab/>
        <w:t xml:space="preserve">The net reduction of $7.9 million (3.2% across-the-board reduction) is planned to be </w:t>
      </w:r>
      <w:r>
        <w:t>implemented as follows:</w:t>
      </w:r>
    </w:p>
    <w:p w:rsidR="00000000" w:rsidRDefault="00915A50">
      <w:pPr>
        <w:framePr w:w="935" w:h="1089" w:hSpace="180" w:wrap="auto" w:vAnchor="text" w:hAnchor="page" w:x="1542" w:y="429"/>
        <w:pBdr>
          <w:top w:val="single" w:sz="12" w:space="5" w:color="auto" w:shadow="1"/>
          <w:left w:val="single" w:sz="12" w:space="5" w:color="auto" w:shadow="1"/>
          <w:bottom w:val="single" w:sz="12" w:space="5" w:color="auto" w:shadow="1"/>
          <w:right w:val="single" w:sz="12" w:space="5" w:color="auto" w:shadow="1"/>
        </w:pBdr>
      </w:pPr>
    </w:p>
    <w:p w:rsidR="00000000" w:rsidRDefault="00915A50">
      <w:pPr>
        <w:framePr w:w="935" w:h="1089" w:hSpace="180" w:wrap="auto" w:vAnchor="text" w:hAnchor="page" w:x="1542" w:y="4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3683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609600" cy="368300"/>
                    </a:xfrm>
                    <a:prstGeom prst="rect">
                      <a:avLst/>
                    </a:prstGeom>
                    <a:noFill/>
                    <a:ln w="9525">
                      <a:noFill/>
                      <a:miter lim="800000"/>
                      <a:headEnd/>
                      <a:tailEnd/>
                    </a:ln>
                  </pic:spPr>
                </pic:pic>
              </a:graphicData>
            </a:graphic>
          </wp:inline>
        </w:drawing>
      </w:r>
    </w:p>
    <w:p w:rsidR="00000000" w:rsidRDefault="00915A50">
      <w:pPr>
        <w:framePr w:w="935" w:h="1089" w:hSpace="180" w:wrap="auto" w:vAnchor="text" w:hAnchor="page" w:x="1542" w:y="429"/>
        <w:pBdr>
          <w:top w:val="single" w:sz="12" w:space="5" w:color="auto" w:shadow="1"/>
          <w:left w:val="single" w:sz="12" w:space="5" w:color="auto" w:shadow="1"/>
          <w:bottom w:val="single" w:sz="12" w:space="5" w:color="auto" w:shadow="1"/>
          <w:right w:val="single" w:sz="12" w:space="5" w:color="auto" w:shadow="1"/>
        </w:pBdr>
      </w:pPr>
    </w:p>
    <w:p w:rsidR="00000000" w:rsidRDefault="00915A50">
      <w:pPr>
        <w:pStyle w:val="Bulletup0"/>
      </w:pPr>
      <w:r>
        <w:t>$6.3 million from the nine prisons as follows:</w:t>
      </w:r>
    </w:p>
    <w:p w:rsidR="00000000" w:rsidRDefault="00915A50">
      <w:pPr>
        <w:pStyle w:val="Bulletup0"/>
        <w:tabs>
          <w:tab w:val="clear" w:pos="360"/>
          <w:tab w:val="num" w:pos="720"/>
        </w:tabs>
        <w:ind w:left="720"/>
      </w:pPr>
      <w:r>
        <w:t>$4.0 million from salary savings as follows:</w:t>
      </w:r>
    </w:p>
    <w:p w:rsidR="00000000" w:rsidRDefault="00915A50">
      <w:pPr>
        <w:pStyle w:val="Bulletup0"/>
        <w:tabs>
          <w:tab w:val="clear" w:pos="360"/>
          <w:tab w:val="num" w:pos="1080"/>
        </w:tabs>
        <w:ind w:left="1080"/>
      </w:pPr>
      <w:r>
        <w:t>$2.0 million and 75.0 FTE positions from laying off staff.</w:t>
      </w:r>
    </w:p>
    <w:p w:rsidR="00000000" w:rsidRDefault="00915A50">
      <w:pPr>
        <w:pStyle w:val="Bulletup0"/>
        <w:tabs>
          <w:tab w:val="clear" w:pos="360"/>
          <w:tab w:val="num" w:pos="1080"/>
        </w:tabs>
        <w:ind w:left="1080"/>
      </w:pPr>
      <w:r>
        <w:t xml:space="preserve">$1.5 million from not filling 41.0 FTE positions that are currently vacant.  </w:t>
      </w:r>
      <w:r>
        <w:t xml:space="preserve">There are 7.0 FTE positions that the DOC will fill if money becomes available through other budget savings.  </w:t>
      </w:r>
    </w:p>
    <w:p w:rsidR="00000000" w:rsidRDefault="00915A50">
      <w:pPr>
        <w:pStyle w:val="Bulletup0"/>
        <w:tabs>
          <w:tab w:val="clear" w:pos="360"/>
          <w:tab w:val="num" w:pos="1080"/>
        </w:tabs>
        <w:ind w:left="1080"/>
      </w:pPr>
      <w:r>
        <w:t>$21,000 from reclassifying 11.0 FTE positions.</w:t>
      </w:r>
    </w:p>
    <w:p w:rsidR="00000000" w:rsidRDefault="00915A50">
      <w:pPr>
        <w:pStyle w:val="Bulletup0"/>
        <w:tabs>
          <w:tab w:val="clear" w:pos="360"/>
          <w:tab w:val="num" w:pos="1080"/>
        </w:tabs>
        <w:ind w:left="1080"/>
      </w:pPr>
      <w:r>
        <w:t>$134,000 from shifting 7.0 FTE positions to other funds, such as Iowa Prison Industries.</w:t>
      </w:r>
    </w:p>
    <w:p w:rsidR="00000000" w:rsidRDefault="00915A50">
      <w:pPr>
        <w:pStyle w:val="Bulletup0"/>
        <w:tabs>
          <w:tab w:val="clear" w:pos="360"/>
          <w:tab w:val="num" w:pos="1080"/>
        </w:tabs>
        <w:ind w:left="1080"/>
      </w:pPr>
      <w:r>
        <w:t>$336,000 f</w:t>
      </w:r>
      <w:r>
        <w:t>rom the overtime and premium holiday pay budget.</w:t>
      </w:r>
    </w:p>
    <w:p w:rsidR="00000000" w:rsidRDefault="00915A50">
      <w:pPr>
        <w:pStyle w:val="Bulletup0"/>
        <w:tabs>
          <w:tab w:val="clear" w:pos="360"/>
          <w:tab w:val="num" w:pos="720"/>
        </w:tabs>
        <w:ind w:left="720"/>
      </w:pPr>
      <w:r>
        <w:t>$101,000 from medical contracts.</w:t>
      </w:r>
    </w:p>
    <w:p w:rsidR="00000000" w:rsidRDefault="00915A50">
      <w:pPr>
        <w:pStyle w:val="Bulletup0"/>
        <w:tabs>
          <w:tab w:val="clear" w:pos="360"/>
          <w:tab w:val="num" w:pos="720"/>
        </w:tabs>
        <w:ind w:left="720"/>
      </w:pPr>
      <w:r>
        <w:t>$425,000 from ending contracts for such items as substance abuse treatment programs, chaplains, librarian, and the Batterer’s Education Program.</w:t>
      </w:r>
    </w:p>
    <w:p w:rsidR="00000000" w:rsidRDefault="00915A50">
      <w:pPr>
        <w:pStyle w:val="Bulletup0"/>
        <w:tabs>
          <w:tab w:val="clear" w:pos="360"/>
          <w:tab w:val="num" w:pos="720"/>
        </w:tabs>
        <w:ind w:left="720"/>
      </w:pPr>
      <w:r>
        <w:lastRenderedPageBreak/>
        <w:t>$250,000 from utility costs.</w:t>
      </w:r>
    </w:p>
    <w:p w:rsidR="00000000" w:rsidRDefault="00915A50">
      <w:pPr>
        <w:pStyle w:val="Bulletup0"/>
        <w:tabs>
          <w:tab w:val="clear" w:pos="360"/>
          <w:tab w:val="num" w:pos="720"/>
        </w:tabs>
        <w:ind w:left="720"/>
      </w:pPr>
      <w:r>
        <w:t>$312,000 from the food budget.</w:t>
      </w:r>
    </w:p>
    <w:p w:rsidR="00000000" w:rsidRDefault="00915A50">
      <w:pPr>
        <w:pStyle w:val="Bulletup0"/>
        <w:tabs>
          <w:tab w:val="clear" w:pos="360"/>
          <w:tab w:val="num" w:pos="720"/>
        </w:tabs>
        <w:ind w:left="720"/>
      </w:pPr>
      <w:r>
        <w:t>$1.2 million from the support budget.</w:t>
      </w:r>
    </w:p>
    <w:p w:rsidR="00000000" w:rsidRDefault="00915A50">
      <w:pPr>
        <w:pStyle w:val="Bulletup0"/>
      </w:pPr>
      <w:r>
        <w:t>$1.4 million reduction from CBC District Departments as follows:</w:t>
      </w:r>
    </w:p>
    <w:p w:rsidR="00000000" w:rsidRDefault="00915A50">
      <w:pPr>
        <w:framePr w:w="501" w:h="997" w:hSpace="180" w:wrap="around" w:vAnchor="text" w:hAnchor="page" w:x="1902" w:y="37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915A50">
      <w:pPr>
        <w:pStyle w:val="Bulletup0"/>
        <w:tabs>
          <w:tab w:val="clear" w:pos="360"/>
          <w:tab w:val="num" w:pos="720"/>
        </w:tabs>
        <w:ind w:left="720"/>
      </w:pPr>
      <w:r>
        <w:t>$57,000 and 3.0 FTE positions from parole and probation supervision.</w:t>
      </w:r>
    </w:p>
    <w:p w:rsidR="00000000" w:rsidRDefault="00915A50">
      <w:pPr>
        <w:pStyle w:val="Bulletup0"/>
        <w:tabs>
          <w:tab w:val="clear" w:pos="360"/>
          <w:tab w:val="num" w:pos="720"/>
        </w:tabs>
        <w:ind w:left="720"/>
      </w:pPr>
      <w:r>
        <w:t>$688,000 and 22.0 FTE positions from residential fa</w:t>
      </w:r>
      <w:r>
        <w:t>cilities.  This figure includes savings associated with the delayed opening of the new Council Bluffs facility.</w:t>
      </w:r>
    </w:p>
    <w:p w:rsidR="00000000" w:rsidRDefault="00915A50">
      <w:pPr>
        <w:pStyle w:val="Bulletup0"/>
        <w:tabs>
          <w:tab w:val="clear" w:pos="360"/>
          <w:tab w:val="num" w:pos="720"/>
        </w:tabs>
        <w:ind w:left="720"/>
      </w:pPr>
      <w:r>
        <w:t>$47,000 and 8.5 FTE positions from pre-trial services.</w:t>
      </w:r>
    </w:p>
    <w:p w:rsidR="00000000" w:rsidRDefault="00915A50">
      <w:pPr>
        <w:pStyle w:val="Bulletup0"/>
        <w:tabs>
          <w:tab w:val="clear" w:pos="360"/>
          <w:tab w:val="num" w:pos="720"/>
        </w:tabs>
        <w:ind w:left="720"/>
      </w:pPr>
      <w:r>
        <w:t>$249,000 and 5.5 FTE positions from administrative and support functions.</w:t>
      </w:r>
    </w:p>
    <w:p w:rsidR="00000000" w:rsidRDefault="00915A50">
      <w:pPr>
        <w:pStyle w:val="Bulletup0"/>
        <w:tabs>
          <w:tab w:val="clear" w:pos="360"/>
          <w:tab w:val="num" w:pos="720"/>
        </w:tabs>
        <w:ind w:left="720"/>
      </w:pPr>
      <w:r>
        <w:t>$290,000 and 3.</w:t>
      </w:r>
      <w:r>
        <w:t>0 FTE positions from treatment programs.</w:t>
      </w:r>
    </w:p>
    <w:p w:rsidR="00000000" w:rsidRDefault="00915A50">
      <w:pPr>
        <w:pStyle w:val="Bulletup0"/>
        <w:tabs>
          <w:tab w:val="clear" w:pos="360"/>
          <w:tab w:val="num" w:pos="720"/>
        </w:tabs>
        <w:ind w:left="720"/>
      </w:pPr>
      <w:r>
        <w:t>$39,000 from youth intervention and prevention programs.</w:t>
      </w:r>
    </w:p>
    <w:p w:rsidR="00000000" w:rsidRDefault="00915A50">
      <w:pPr>
        <w:pStyle w:val="Bulletup0"/>
      </w:pPr>
      <w:r>
        <w:t>$297,000 reduction from Administration as follows:</w:t>
      </w:r>
    </w:p>
    <w:p w:rsidR="00000000" w:rsidRDefault="00915A50">
      <w:pPr>
        <w:pStyle w:val="Bulletup0"/>
        <w:tabs>
          <w:tab w:val="clear" w:pos="360"/>
          <w:tab w:val="num" w:pos="720"/>
        </w:tabs>
        <w:ind w:left="720"/>
      </w:pPr>
      <w:r>
        <w:t>$54,000 and 1.0 FTE position from administration.</w:t>
      </w:r>
    </w:p>
    <w:p w:rsidR="00000000" w:rsidRDefault="00915A50">
      <w:pPr>
        <w:pStyle w:val="Bulletup0"/>
        <w:tabs>
          <w:tab w:val="clear" w:pos="360"/>
          <w:tab w:val="num" w:pos="720"/>
        </w:tabs>
        <w:ind w:left="720"/>
      </w:pPr>
      <w:r>
        <w:t>$52,000 from support costs.</w:t>
      </w:r>
    </w:p>
    <w:p w:rsidR="00000000" w:rsidRDefault="00915A50">
      <w:pPr>
        <w:pStyle w:val="Bulletup0"/>
        <w:tabs>
          <w:tab w:val="clear" w:pos="360"/>
          <w:tab w:val="num" w:pos="720"/>
        </w:tabs>
        <w:ind w:left="720"/>
      </w:pPr>
      <w:r>
        <w:t>$170,000 from contracts for t</w:t>
      </w:r>
      <w:r>
        <w:t>he Iowa Corrections Offender Network, the Federal Prisoners Account, and the Corrections Education appropriation.</w:t>
      </w:r>
    </w:p>
    <w:p w:rsidR="00000000" w:rsidRDefault="00915A50">
      <w:pPr>
        <w:pStyle w:val="Bulletup0"/>
        <w:tabs>
          <w:tab w:val="clear" w:pos="360"/>
          <w:tab w:val="num" w:pos="720"/>
        </w:tabs>
        <w:ind w:left="720"/>
      </w:pPr>
      <w:r>
        <w:t xml:space="preserve">$21,000 and 1.0 FTE position from the Corrections Training Center. </w:t>
      </w:r>
    </w:p>
    <w:p w:rsidR="00000000" w:rsidRDefault="00915A50">
      <w:pPr>
        <w:pStyle w:val="Contactup"/>
      </w:pPr>
      <w:r>
        <w:t>STAFF CONTACT:  Beth Lenstra (Ext. 16301)</w:t>
      </w:r>
    </w:p>
    <w:p w:rsidR="00000000" w:rsidRDefault="00915A50">
      <w:pPr>
        <w:pStyle w:val="Blurbtitle"/>
      </w:pPr>
      <w:r>
        <w:t>Office of the State Public Defen</w:t>
      </w:r>
      <w:r>
        <w:t>der:  Impact of the 4.3% Across-the-Board Reduction</w:t>
      </w:r>
      <w:bookmarkEnd w:id="7"/>
    </w:p>
    <w:p w:rsidR="00000000" w:rsidRDefault="00915A50">
      <w:pPr>
        <w:framePr w:w="936" w:h="922" w:hSpace="187" w:wrap="around" w:vAnchor="text" w:hAnchor="page" w:x="1535" w:y="102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96900" cy="5715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srcRect/>
                    <a:stretch>
                      <a:fillRect/>
                    </a:stretch>
                  </pic:blipFill>
                  <pic:spPr bwMode="auto">
                    <a:xfrm>
                      <a:off x="0" y="0"/>
                      <a:ext cx="596900" cy="571500"/>
                    </a:xfrm>
                    <a:prstGeom prst="rect">
                      <a:avLst/>
                    </a:prstGeom>
                    <a:noFill/>
                    <a:ln w="9525">
                      <a:noFill/>
                      <a:miter lim="800000"/>
                      <a:headEnd/>
                      <a:tailEnd/>
                    </a:ln>
                  </pic:spPr>
                </pic:pic>
              </a:graphicData>
            </a:graphic>
          </wp:inline>
        </w:drawing>
      </w:r>
    </w:p>
    <w:p w:rsidR="00000000" w:rsidRDefault="00915A50">
      <w:pPr>
        <w:framePr w:w="936" w:h="922" w:hSpace="187" w:wrap="around" w:vAnchor="text" w:hAnchor="page" w:x="1535" w:y="1020"/>
      </w:pPr>
    </w:p>
    <w:p w:rsidR="00000000" w:rsidRDefault="00915A50">
      <w:pPr>
        <w:pStyle w:val="textup"/>
      </w:pPr>
      <w:r>
        <w:rPr>
          <w:b/>
        </w:rPr>
        <w:t>Impact of Reduction</w:t>
      </w:r>
      <w:r>
        <w:tab/>
        <w:t>The General Fund reduction is $1.5 million.  The FY 2002 appropriations for the State Public Defender and the Indigent Defense Fund are $1.9 million less than the actual amount spen</w:t>
      </w:r>
      <w:r>
        <w:t>t during FY 2001.  The Office projects a $3.9 million shortfall in the Indigent Defense Fund.  The Public Defender plans to fill all vacancies in the Office, as it is more cost effective to have State employees, rather than private attorneys, provide couns</w:t>
      </w:r>
      <w:r>
        <w:t>el to indigent defendants.  This may require an allocation transfer from the Indigent Defense Fund to the State Public Defender’s Office.  An FY 2002 supplemental appropriation may be required for the Indigent Defense Fund.  Alternatively, appropriation tr</w:t>
      </w:r>
      <w:r>
        <w:t>ansfers from other State agencies to the Indigent Defense Fund may occur.</w:t>
      </w:r>
    </w:p>
    <w:p w:rsidR="00000000" w:rsidRDefault="00915A50">
      <w:pPr>
        <w:pStyle w:val="Contactup"/>
      </w:pPr>
      <w:r>
        <w:t>STAFF CONTACT:  Beth Lenstra (Ext. 16301)</w:t>
      </w:r>
    </w:p>
    <w:p w:rsidR="00000000" w:rsidRDefault="00915A50">
      <w:pPr>
        <w:pStyle w:val="Blurbtitle"/>
        <w:ind w:right="-360"/>
      </w:pPr>
      <w:bookmarkStart w:id="9" w:name="FU11BALD"/>
      <w:r>
        <w:lastRenderedPageBreak/>
        <w:t>Department of Corrections - Federal Funds Update</w:t>
      </w:r>
      <w:bookmarkEnd w:id="9"/>
    </w:p>
    <w:p w:rsidR="00000000" w:rsidRDefault="00915A50">
      <w:pPr>
        <w:framePr w:hSpace="180" w:wrap="around" w:vAnchor="text" w:hAnchor="page" w:x="1162" w:y="819"/>
      </w:pPr>
      <w:r>
        <w:rPr>
          <w:noProof/>
        </w:rPr>
        <w:drawing>
          <wp:inline distT="0" distB="0" distL="0" distR="0">
            <wp:extent cx="914400" cy="6096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914400" cy="609600"/>
                    </a:xfrm>
                    <a:prstGeom prst="rect">
                      <a:avLst/>
                    </a:prstGeom>
                    <a:noFill/>
                    <a:ln w="9525">
                      <a:noFill/>
                      <a:miter lim="800000"/>
                      <a:headEnd/>
                      <a:tailEnd/>
                    </a:ln>
                  </pic:spPr>
                </pic:pic>
              </a:graphicData>
            </a:graphic>
          </wp:inline>
        </w:drawing>
      </w:r>
    </w:p>
    <w:p w:rsidR="00000000" w:rsidRDefault="00915A50">
      <w:pPr>
        <w:pStyle w:val="textup"/>
      </w:pPr>
      <w:r>
        <w:rPr>
          <w:b/>
        </w:rPr>
        <w:t>Federal Funds</w:t>
      </w:r>
      <w:r>
        <w:tab/>
        <w:t>The Department of Corrections (DOC) has received $19.8 million from the U.S</w:t>
      </w:r>
      <w:r>
        <w:t>. Department of Justice, Violent Offender Incarceration/Truth In Sentencing (VOI/TIS) Program since 1997.  The federal funds, plus State appropriations, were used to construct 616 correctional beds, provide research funds for a regional jail study and a st</w:t>
      </w:r>
      <w:r>
        <w:t xml:space="preserve">udy of mentally ill offenders, plus administration.  The VOI/TIS Program was designed to induce states to incarcerate violent offenders for longer periods of time.  For example, Iowa’s 85.0% rule, where certain offenders must serve 85.0% of their sentence </w:t>
      </w:r>
      <w:r>
        <w:t>in prison, was enacted to comply with the VOI/TIS Program.  The federal funds have been eliminated, as many policy makers believe the Program’s goals have been achieved.  The DOC had planned to use $14.0 million for construction of the 170-bed Special Need</w:t>
      </w:r>
      <w:r>
        <w:t>s Unit at the Iowa Medical Classification Center at Oakdale.  Total construction cost for this project is estimated to be $32.5 million, including the electrical system upgrade.  The DOC is requesting appropriations from the Rebuild Iowa Infrastructure Fun</w:t>
      </w:r>
      <w:r>
        <w:t>d (RIIF) over the next five years to construct the facility.</w:t>
      </w:r>
    </w:p>
    <w:p w:rsidR="00000000" w:rsidRDefault="00915A50">
      <w:pPr>
        <w:pStyle w:val="textup"/>
      </w:pPr>
      <w:r>
        <w:rPr>
          <w:b/>
        </w:rPr>
        <w:t>Federal Detainees</w:t>
      </w:r>
      <w:r>
        <w:tab/>
        <w:t>The State receives approximately $3.6 million annually for housing federal detainees in the Iowa prison system.  The federal funds are deposited in the State General Fund.  No o</w:t>
      </w:r>
      <w:r>
        <w:t>perating costs are reimbursed to the DOC.</w:t>
      </w:r>
    </w:p>
    <w:p w:rsidR="00000000" w:rsidRDefault="00915A50">
      <w:pPr>
        <w:pStyle w:val="textup"/>
      </w:pPr>
      <w:r>
        <w:rPr>
          <w:b/>
        </w:rPr>
        <w:t>Criminal Aliens</w:t>
      </w:r>
      <w:r>
        <w:tab/>
        <w:t>The DOC receives federal funds to house criminal aliens in the prison system.  The DOC received $509,000 from this funding source in FY 2001.  The DOC used the funds for information technology and t</w:t>
      </w:r>
      <w:r>
        <w:t>he prisons’ operating expenses.  The DOC is anticipating this funding source will decrease during FY 2002.</w:t>
      </w:r>
    </w:p>
    <w:p w:rsidR="00000000" w:rsidRDefault="00915A50">
      <w:pPr>
        <w:pStyle w:val="Contactup"/>
      </w:pPr>
      <w:r>
        <w:t>STAFF CONTACT:  Beth Lenstra (Ext. 16301)</w:t>
      </w:r>
    </w:p>
    <w:p w:rsidR="00000000" w:rsidRDefault="00915A50">
      <w:pPr>
        <w:pStyle w:val="Blurbtitle"/>
      </w:pPr>
      <w:bookmarkStart w:id="10" w:name="FU11DFKC"/>
      <w:r>
        <w:rPr>
          <w:i/>
          <w:iCs/>
        </w:rPr>
        <w:t>Issue</w:t>
      </w:r>
      <w:r>
        <w:t xml:space="preserve"> </w:t>
      </w:r>
      <w:r>
        <w:rPr>
          <w:i/>
          <w:iCs/>
        </w:rPr>
        <w:t>Review</w:t>
      </w:r>
      <w:r>
        <w:t xml:space="preserve"> - Cattle Feedlots</w:t>
      </w:r>
      <w:bookmarkEnd w:id="10"/>
    </w:p>
    <w:p w:rsidR="00000000" w:rsidRDefault="00915A50">
      <w:pPr>
        <w:pStyle w:val="textup"/>
      </w:pPr>
      <w:r>
        <w:rPr>
          <w:b/>
          <w:bCs/>
          <w:i/>
          <w:iCs/>
        </w:rPr>
        <w:t>Issue Review</w:t>
      </w:r>
      <w:r>
        <w:rPr>
          <w:b/>
          <w:bCs/>
        </w:rPr>
        <w:t xml:space="preserve"> </w:t>
      </w:r>
      <w:r>
        <w:tab/>
        <w:t xml:space="preserve">The LFB recently released an </w:t>
      </w:r>
      <w:r>
        <w:rPr>
          <w:b/>
          <w:bCs/>
          <w:i/>
          <w:iCs/>
        </w:rPr>
        <w:t>Issue Review</w:t>
      </w:r>
      <w:r>
        <w:t xml:space="preserve"> that provides an ove</w:t>
      </w:r>
      <w:r>
        <w:t xml:space="preserve">rview on open cattle feedlots.  Included in this </w:t>
      </w:r>
      <w:r>
        <w:rPr>
          <w:b/>
          <w:bCs/>
          <w:i/>
          <w:iCs/>
        </w:rPr>
        <w:t>Review</w:t>
      </w:r>
      <w:r>
        <w:t xml:space="preserve"> are the following:</w:t>
      </w:r>
    </w:p>
    <w:p w:rsidR="00000000" w:rsidRDefault="00915A50">
      <w:pPr>
        <w:pStyle w:val="bulletup"/>
        <w:numPr>
          <w:ilvl w:val="0"/>
          <w:numId w:val="18"/>
        </w:numPr>
      </w:pPr>
      <w:r>
        <w:rPr>
          <w:b/>
          <w:bCs/>
          <w:i/>
          <w:iCs/>
          <w:noProof/>
        </w:rPr>
        <w:pict>
          <v:shape id="_x0000_s1035" type="#_x0000_t202" style="position:absolute;left:0;text-align:left;margin-left:-130.95pt;margin-top:4.5pt;width:54pt;height:57pt;z-index:251660800">
            <v:textbox style="layout-flow:vertical;mso-layout-flow-alt:bottom-to-top;mso-next-textbox:#_x0000_s1035">
              <w:txbxContent>
                <w:p w:rsidR="00000000" w:rsidRDefault="00915A50">
                  <w:r>
                    <w:rPr>
                      <w:rFonts w:ascii="Arial" w:hAnsi="Arial" w:cs="Arial"/>
                      <w:b/>
                      <w:bCs/>
                      <w:sz w:val="14"/>
                    </w:rPr>
                    <w:t xml:space="preserve">Issue Review </w:t>
                  </w:r>
                  <w:r>
                    <w:rPr>
                      <w:noProof/>
                    </w:rPr>
                    <w:drawing>
                      <wp:inline distT="0" distB="0" distL="0" distR="0">
                        <wp:extent cx="393700" cy="508000"/>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srcRect/>
                                <a:stretch>
                                  <a:fillRect/>
                                </a:stretch>
                              </pic:blipFill>
                              <pic:spPr bwMode="auto">
                                <a:xfrm>
                                  <a:off x="0" y="0"/>
                                  <a:ext cx="393700" cy="508000"/>
                                </a:xfrm>
                                <a:prstGeom prst="rect">
                                  <a:avLst/>
                                </a:prstGeom>
                                <a:noFill/>
                                <a:ln w="9525">
                                  <a:noFill/>
                                  <a:miter lim="800000"/>
                                  <a:headEnd/>
                                  <a:tailEnd/>
                                </a:ln>
                              </pic:spPr>
                            </pic:pic>
                          </a:graphicData>
                        </a:graphic>
                      </wp:inline>
                    </w:drawing>
                  </w:r>
                </w:p>
                <w:p w:rsidR="00000000" w:rsidRDefault="00915A50"/>
              </w:txbxContent>
            </v:textbox>
          </v:shape>
        </w:pict>
      </w:r>
      <w:r>
        <w:t>The 1972 federal Clean Water Act began regulation of water pollutants.  The federal Environmental Protection Agency (EPA) authorized the Department of Natural Resources to issue Na</w:t>
      </w:r>
      <w:r>
        <w:t>tional Pollutant Discharge Elimination System (NPDES) permits to concentrated animal feeding operations that have more than 1,000 animal units or that have 300 to 1,000 animal units and discharge waste through a drainage ditch, flushing system, or some oth</w:t>
      </w:r>
      <w:r>
        <w:t xml:space="preserve">er type of man-made system that is connected to public waterbodies.   </w:t>
      </w:r>
    </w:p>
    <w:p w:rsidR="00000000" w:rsidRDefault="00915A50">
      <w:pPr>
        <w:pStyle w:val="bulletup"/>
        <w:numPr>
          <w:ilvl w:val="0"/>
          <w:numId w:val="18"/>
        </w:numPr>
      </w:pPr>
      <w:r>
        <w:t>The federal Clean Water Act requires each state to develop water quality standards and to submit a list of waterbodies that do not meet these standards every two years.  Waterbodies not</w:t>
      </w:r>
      <w:r>
        <w:t xml:space="preserve"> meeting standards are considered to be impaired.  In 1998, the National Water Quality Inventory reported that 40.0% of the country’s waterbodies were impaired and that 60.0% of the impaired rivers and streams and 30.0% of the impaired lakes were due to ag</w:t>
      </w:r>
      <w:r>
        <w:t xml:space="preserve">riculture sources such as livestock waste.  To address these issues, the EPA and the United States Department of Agriculture developed </w:t>
      </w:r>
      <w:r>
        <w:lastRenderedPageBreak/>
        <w:t xml:space="preserve">the Unified National Strategy that included changing the requirements for NPDES permits. </w:t>
      </w:r>
    </w:p>
    <w:p w:rsidR="00000000" w:rsidRDefault="00915A50">
      <w:pPr>
        <w:framePr w:w="649" w:h="873" w:hSpace="180" w:wrap="around" w:vAnchor="text" w:hAnchor="page" w:x="1722" w:y="53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06400" cy="2540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srcRect/>
                    <a:stretch>
                      <a:fillRect/>
                    </a:stretch>
                  </pic:blipFill>
                  <pic:spPr bwMode="auto">
                    <a:xfrm>
                      <a:off x="0" y="0"/>
                      <a:ext cx="406400" cy="254000"/>
                    </a:xfrm>
                    <a:prstGeom prst="rect">
                      <a:avLst/>
                    </a:prstGeom>
                    <a:noFill/>
                    <a:ln w="9525">
                      <a:noFill/>
                      <a:miter lim="800000"/>
                      <a:headEnd/>
                      <a:tailEnd/>
                    </a:ln>
                  </pic:spPr>
                </pic:pic>
              </a:graphicData>
            </a:graphic>
          </wp:inline>
        </w:drawing>
      </w:r>
    </w:p>
    <w:p w:rsidR="00000000" w:rsidRDefault="00915A50">
      <w:pPr>
        <w:pStyle w:val="bulletup"/>
        <w:numPr>
          <w:ilvl w:val="0"/>
          <w:numId w:val="18"/>
        </w:numPr>
      </w:pPr>
      <w:r>
        <w:t xml:space="preserve">Currently, the Department of </w:t>
      </w:r>
      <w:r>
        <w:t>Natural Resources has issued 24 NPDES permits to open cattle feedlot operators and have 11 in the review process.  It is estimated there are 300 operators requiring a permit.  To determine the actual number of operations requiring permits, the Department d</w:t>
      </w:r>
      <w:r>
        <w:t>eveloped a registration program that allows open cattle feedlot producers to register with the Department without being penalized for not having a permit.  The Department worked with the EPA and other agribusiness groups to implement this program.  As of O</w:t>
      </w:r>
      <w:r>
        <w:t xml:space="preserve">ctober 2, 2001, 965 producers have registered with the Department.   There are 159 operations that have more than 1,000 animal units and 515 operations that have 300 to 1,000 animal units.   </w:t>
      </w:r>
    </w:p>
    <w:p w:rsidR="00000000" w:rsidRDefault="00915A50">
      <w:pPr>
        <w:pStyle w:val="bulletup"/>
        <w:numPr>
          <w:ilvl w:val="0"/>
          <w:numId w:val="18"/>
        </w:numPr>
      </w:pPr>
      <w:r>
        <w:t xml:space="preserve">The Department is completing an Environment Priority Assessment </w:t>
      </w:r>
      <w:r>
        <w:t>of all registrations and will assign a high, medium, or low priority to each one.  Currently, 202 assessments have been completed and 55 of those have been given a high priority.  The Department intends to complete on-site assessments of high-priority oper</w:t>
      </w:r>
      <w:r>
        <w:t xml:space="preserve">ations to determine if a permit is required.  After the high priority permits are issued, the Department will review the medium and then the low priority operations.  The Department estimates it will take five years to issue all of the required permits.  </w:t>
      </w:r>
    </w:p>
    <w:p w:rsidR="00000000" w:rsidRDefault="00915A50">
      <w:pPr>
        <w:pStyle w:val="bulletup"/>
        <w:numPr>
          <w:ilvl w:val="0"/>
          <w:numId w:val="18"/>
        </w:numPr>
      </w:pPr>
      <w:r>
        <w:t xml:space="preserve">The EPA published proposed changes to the NPDES Permit Program on January 12, 2001.  Public comment was received until July 30, 2001, and final action is scheduled for December 15, 2002.  Depending on the changes adopted, the number of concentrated animal </w:t>
      </w:r>
      <w:r>
        <w:t xml:space="preserve">feeding operations required to have a permit, could increase substantially.  </w:t>
      </w:r>
    </w:p>
    <w:p w:rsidR="00000000" w:rsidRDefault="00915A50">
      <w:pPr>
        <w:pStyle w:val="textup"/>
      </w:pPr>
      <w:r>
        <w:rPr>
          <w:b/>
          <w:bCs/>
        </w:rPr>
        <w:t>Copies Available</w:t>
      </w:r>
      <w:r>
        <w:tab/>
        <w:t xml:space="preserve">Copies of the </w:t>
      </w:r>
      <w:r>
        <w:rPr>
          <w:b/>
          <w:bCs/>
          <w:i/>
          <w:iCs/>
        </w:rPr>
        <w:t>Issue Review</w:t>
      </w:r>
      <w:r>
        <w:t xml:space="preserve"> are available upon request from the LFB. </w:t>
      </w:r>
    </w:p>
    <w:p w:rsidR="00000000" w:rsidRDefault="00915A50">
      <w:pPr>
        <w:pStyle w:val="Contactup"/>
      </w:pPr>
      <w:r>
        <w:t>STAFF CONTACT:  Deb Kozel (Ext. 16767)</w:t>
      </w:r>
    </w:p>
    <w:p w:rsidR="00000000" w:rsidRDefault="00915A50">
      <w:pPr>
        <w:pStyle w:val="Blurbtitle"/>
      </w:pPr>
      <w:bookmarkStart w:id="11" w:name="FU12BALA"/>
      <w:r>
        <w:t>Knoxville Substance Abuse Treatment Facility</w:t>
      </w:r>
      <w:bookmarkEnd w:id="11"/>
    </w:p>
    <w:p w:rsidR="00000000" w:rsidRDefault="00915A50">
      <w:pPr>
        <w:pStyle w:val="textup"/>
      </w:pPr>
      <w:r>
        <w:rPr>
          <w:b/>
          <w:noProof/>
        </w:rPr>
        <w:drawing>
          <wp:anchor distT="0" distB="0" distL="114300" distR="114300" simplePos="0" relativeHeight="251659776" behindDoc="0" locked="0" layoutInCell="1" allowOverlap="1">
            <wp:simplePos x="0" y="0"/>
            <wp:positionH relativeFrom="column">
              <wp:posOffset>-1663065</wp:posOffset>
            </wp:positionH>
            <wp:positionV relativeFrom="paragraph">
              <wp:posOffset>321310</wp:posOffset>
            </wp:positionV>
            <wp:extent cx="584835" cy="551815"/>
            <wp:effectExtent l="19050" t="19050" r="24765" b="19685"/>
            <wp:wrapTight wrapText="bothSides">
              <wp:wrapPolygon edited="0">
                <wp:start x="-704" y="-746"/>
                <wp:lineTo x="-704" y="22371"/>
                <wp:lineTo x="22515" y="22371"/>
                <wp:lineTo x="22515" y="-746"/>
                <wp:lineTo x="-704" y="-746"/>
              </wp:wrapPolygon>
            </wp:wrapTight>
            <wp:docPr id="24" name="Picture 10" descr="C:\Program Files\Microsoft Office\Clipart\smbusbas\bd20079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Microsoft Office\Clipart\smbusbas\bd20079_.wmf"/>
                    <pic:cNvPicPr>
                      <a:picLocks noChangeAspect="1" noChangeArrowheads="1"/>
                    </pic:cNvPicPr>
                  </pic:nvPicPr>
                  <pic:blipFill>
                    <a:blip r:embed="rId30"/>
                    <a:srcRect/>
                    <a:stretch>
                      <a:fillRect/>
                    </a:stretch>
                  </pic:blipFill>
                  <pic:spPr bwMode="auto">
                    <a:xfrm>
                      <a:off x="0" y="0"/>
                      <a:ext cx="584835" cy="551815"/>
                    </a:xfrm>
                    <a:prstGeom prst="rect">
                      <a:avLst/>
                    </a:prstGeom>
                    <a:noFill/>
                    <a:ln w="9525">
                      <a:solidFill>
                        <a:srgbClr val="000000"/>
                      </a:solidFill>
                      <a:miter lim="800000"/>
                      <a:headEnd/>
                      <a:tailEnd/>
                    </a:ln>
                  </pic:spPr>
                </pic:pic>
              </a:graphicData>
            </a:graphic>
          </wp:anchor>
        </w:drawing>
      </w:r>
      <w:r>
        <w:rPr>
          <w:b/>
        </w:rPr>
        <w:t>Knoxvil</w:t>
      </w:r>
      <w:r>
        <w:rPr>
          <w:b/>
        </w:rPr>
        <w:t>le Facility</w:t>
      </w:r>
      <w:r>
        <w:tab/>
        <w:t xml:space="preserve">Senate File 537 created a substance abuse treatment facility for probation clients with a substance abuse problem.  The Act appropriates $2.0 million and 60.0 FTE positions to the Department of Public Health to operate a 100-bed facility for a </w:t>
      </w:r>
      <w:r>
        <w:t>partial year in Knoxville.  The FY 2002 funding was a one-time source of funds from tobacco receipts (FY 2001 ending balance carried forward to FY 2002) received under the Master Settlement Agreement.  The Department of Public Health is requesting $3.8 mil</w:t>
      </w:r>
      <w:r>
        <w:t>lion from the General Fund in FY 2003 for operating costs.</w:t>
      </w:r>
    </w:p>
    <w:p w:rsidR="00000000" w:rsidRDefault="00915A50">
      <w:pPr>
        <w:pStyle w:val="textup"/>
      </w:pPr>
      <w:r>
        <w:rPr>
          <w:b/>
        </w:rPr>
        <w:t>Action by Dept. of Health</w:t>
      </w:r>
      <w:r>
        <w:tab/>
        <w:t>The Department of Public Health has:</w:t>
      </w:r>
    </w:p>
    <w:p w:rsidR="00000000" w:rsidRDefault="00915A50">
      <w:pPr>
        <w:pStyle w:val="Bulletup0"/>
      </w:pPr>
      <w:r>
        <w:t>Established two positions, a Facility Director and a Treatment Supervisor, and is in the process of establishing the remaining positio</w:t>
      </w:r>
      <w:r>
        <w:t>ns.</w:t>
      </w:r>
    </w:p>
    <w:p w:rsidR="00000000" w:rsidRDefault="00915A50">
      <w:pPr>
        <w:pStyle w:val="Bulletup0"/>
      </w:pPr>
      <w:r>
        <w:t>Created a team that includes treatment and corrections professionals, judges, the Sheriff of Marion County, the Mayor of Knoxville, and the President of the County Attorney’s Association, to draft administrative rules.  The rules are planned to be in d</w:t>
      </w:r>
      <w:r>
        <w:t>raft form by the end of December 2001.</w:t>
      </w:r>
    </w:p>
    <w:p w:rsidR="00000000" w:rsidRDefault="00915A50">
      <w:pPr>
        <w:pStyle w:val="Bulletup0"/>
      </w:pPr>
      <w:r>
        <w:lastRenderedPageBreak/>
        <w:t>Reviewed the Knoxville Facility with the Department of General Services to determine proposed building renovations.</w:t>
      </w:r>
    </w:p>
    <w:p w:rsidR="00000000" w:rsidRDefault="00915A50">
      <w:pPr>
        <w:pStyle w:val="Bulletup0"/>
      </w:pPr>
      <w:r>
        <w:t>Has discussed creating a steering committee for community outreach with the local citizens and electe</w:t>
      </w:r>
      <w:r>
        <w:t>d officials within the Knoxville community.</w:t>
      </w:r>
    </w:p>
    <w:p w:rsidR="00000000" w:rsidRDefault="00915A50">
      <w:pPr>
        <w:pStyle w:val="Bulletup0"/>
      </w:pPr>
      <w:r>
        <w:t>Received a proposed building lease agreement from the federal government.  The Department of General Services is finalizing the lease and then legal counsel will review it.</w:t>
      </w:r>
    </w:p>
    <w:p w:rsidR="00000000" w:rsidRDefault="00915A50">
      <w:pPr>
        <w:pStyle w:val="Bulletup0"/>
      </w:pPr>
      <w:r>
        <w:t>The Department is creating an agreement</w:t>
      </w:r>
      <w:r>
        <w:t xml:space="preserve"> with the Department of Corrections (DOC), so that the DOC will assist in training staff for security procedures at the facility.  </w:t>
      </w:r>
    </w:p>
    <w:p w:rsidR="00000000" w:rsidRDefault="00915A50">
      <w:pPr>
        <w:pStyle w:val="textup"/>
      </w:pPr>
      <w:r>
        <w:rPr>
          <w:b/>
        </w:rPr>
        <w:t>Future Action</w:t>
      </w:r>
      <w:r>
        <w:tab/>
        <w:t>The Department of Public Health has not hired any of the 60.0 FTE positions because of the State’s budget prob</w:t>
      </w:r>
      <w:r>
        <w:t>lems.  A commitment is needed to annualize the operating costs in FY 2003 before the Department will fill the positions in FY 2002.</w:t>
      </w:r>
    </w:p>
    <w:p w:rsidR="00000000" w:rsidRDefault="00915A50">
      <w:pPr>
        <w:pStyle w:val="Contactup"/>
      </w:pPr>
      <w:r>
        <w:t>STAFF CONTACT:  Beth Lenstra (Ext. 16301)  Russ Trimble (Ext. 14613)</w:t>
      </w:r>
    </w:p>
    <w:p w:rsidR="00000000" w:rsidRDefault="00915A50">
      <w:pPr>
        <w:pStyle w:val="Blurbtitle"/>
      </w:pPr>
      <w:bookmarkStart w:id="12" w:name="FU12LRBA"/>
      <w:r>
        <w:t>Governor’s Office of Drug Control Policy Relocated</w:t>
      </w:r>
      <w:bookmarkEnd w:id="12"/>
    </w:p>
    <w:p w:rsidR="00000000" w:rsidRDefault="00915A50">
      <w:pPr>
        <w:pStyle w:val="textup"/>
      </w:pPr>
      <w:r>
        <w:rPr>
          <w:b/>
          <w:bCs/>
        </w:rPr>
        <w:t>Relo</w:t>
      </w:r>
      <w:r>
        <w:rPr>
          <w:b/>
          <w:bCs/>
        </w:rPr>
        <w:t>cation</w:t>
      </w:r>
      <w:r>
        <w:tab/>
        <w:t>The Governor’s Office of Drug Control Policy has relocated to the second floor of the Ola Babcock Miller Building at 1112 East Grand Avenue in Des Moines.  The Office had been located at 401 SW 8</w:t>
      </w:r>
      <w:r>
        <w:rPr>
          <w:vertAlign w:val="superscript"/>
        </w:rPr>
        <w:t>th</w:t>
      </w:r>
      <w:r>
        <w:t xml:space="preserve"> in Des Moines.  </w:t>
      </w:r>
    </w:p>
    <w:p w:rsidR="00000000" w:rsidRDefault="00915A50">
      <w:pPr>
        <w:pStyle w:val="Contactup"/>
      </w:pPr>
      <w:r>
        <w:t>STAFF CONTACT:  Lisa Burk (Ext. 16</w:t>
      </w:r>
      <w:r>
        <w:t>765)</w:t>
      </w:r>
    </w:p>
    <w:p w:rsidR="00000000" w:rsidRDefault="00915A50">
      <w:pPr>
        <w:pStyle w:val="Blurbtitle"/>
      </w:pPr>
      <w:bookmarkStart w:id="13" w:name="FU12DPWA"/>
      <w:r>
        <w:t>Iowa Communications Network (ICN) Video Classrooms Update</w:t>
      </w:r>
      <w:bookmarkEnd w:id="13"/>
    </w:p>
    <w:p w:rsidR="00000000" w:rsidRDefault="00915A50">
      <w:pPr>
        <w:framePr w:w="1137" w:h="1117" w:hSpace="180" w:wrap="auto" w:vAnchor="text" w:hAnchor="page" w:x="1417" w:y="68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35000" cy="4826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srcRect/>
                    <a:stretch>
                      <a:fillRect/>
                    </a:stretch>
                  </pic:blipFill>
                  <pic:spPr bwMode="auto">
                    <a:xfrm>
                      <a:off x="0" y="0"/>
                      <a:ext cx="635000" cy="482600"/>
                    </a:xfrm>
                    <a:prstGeom prst="rect">
                      <a:avLst/>
                    </a:prstGeom>
                    <a:noFill/>
                    <a:ln w="9525">
                      <a:noFill/>
                      <a:miter lim="800000"/>
                      <a:headEnd/>
                      <a:tailEnd/>
                    </a:ln>
                  </pic:spPr>
                </pic:pic>
              </a:graphicData>
            </a:graphic>
          </wp:inline>
        </w:drawing>
      </w:r>
    </w:p>
    <w:p w:rsidR="00000000" w:rsidRDefault="00915A50">
      <w:pPr>
        <w:pStyle w:val="textup"/>
        <w:tabs>
          <w:tab w:val="left" w:pos="6660"/>
        </w:tabs>
        <w:ind w:right="450"/>
      </w:pPr>
      <w:r>
        <w:rPr>
          <w:b/>
          <w:bCs/>
        </w:rPr>
        <w:t>ICN Classrooms</w:t>
      </w:r>
      <w:r>
        <w:tab/>
        <w:t>Since the end of October 2001, the Iowa Communications Network (ICN) has added one interactive video classroom at the library in Decorah</w:t>
      </w:r>
      <w:r>
        <w:rPr>
          <w:snapToGrid w:val="0"/>
        </w:rPr>
        <w:t>.</w:t>
      </w:r>
      <w:r>
        <w:t xml:space="preserve">  This brings the total number of class</w:t>
      </w:r>
      <w:r>
        <w:t xml:space="preserve">rooms to 753.  The total number of classrooms that will be included in the Network at sites that are part of the Part III build out is estimated at over 800.  This will include multiple classrooms at several authorized sites.  The table below presents the </w:t>
      </w:r>
      <w:r>
        <w:t>current distribution of sites by type of authorized user.</w:t>
      </w:r>
    </w:p>
    <w:p w:rsidR="00000000" w:rsidRDefault="00915A50">
      <w:pPr>
        <w:pStyle w:val="textup"/>
        <w:tabs>
          <w:tab w:val="left" w:pos="6660"/>
        </w:tabs>
        <w:ind w:right="450"/>
      </w:pPr>
    </w:p>
    <w:p w:rsidR="00000000" w:rsidRDefault="00915A50">
      <w:pPr>
        <w:pStyle w:val="textup"/>
        <w:tabs>
          <w:tab w:val="left" w:pos="6660"/>
        </w:tabs>
        <w:ind w:right="450"/>
      </w:pPr>
    </w:p>
    <w:p w:rsidR="00000000" w:rsidRDefault="00915A50">
      <w:pPr>
        <w:pStyle w:val="textup"/>
        <w:tabs>
          <w:tab w:val="left" w:pos="6660"/>
        </w:tabs>
        <w:ind w:right="450"/>
      </w:pPr>
    </w:p>
    <w:p w:rsidR="00000000" w:rsidRDefault="00915A50">
      <w:pPr>
        <w:pStyle w:val="textup"/>
        <w:tabs>
          <w:tab w:val="left" w:pos="6660"/>
        </w:tabs>
        <w:ind w:right="450"/>
      </w:pPr>
    </w:p>
    <w:p w:rsidR="00000000" w:rsidRDefault="00915A50">
      <w:pPr>
        <w:pStyle w:val="textup"/>
        <w:tabs>
          <w:tab w:val="left" w:pos="6660"/>
        </w:tabs>
        <w:ind w:right="450"/>
      </w:pPr>
    </w:p>
    <w:p w:rsidR="00000000" w:rsidRDefault="00915A50">
      <w:pPr>
        <w:pStyle w:val="textup"/>
        <w:tabs>
          <w:tab w:val="left" w:pos="6660"/>
        </w:tabs>
        <w:ind w:right="450"/>
      </w:pPr>
    </w:p>
    <w:p w:rsidR="00000000" w:rsidRDefault="00915A50">
      <w:pPr>
        <w:pStyle w:val="textup"/>
        <w:tabs>
          <w:tab w:val="left" w:pos="6660"/>
        </w:tabs>
        <w:ind w:right="450"/>
        <w:jc w:val="both"/>
      </w:pPr>
      <w:r>
        <w:lastRenderedPageBreak/>
        <w:t xml:space="preserve">                   </w:t>
      </w:r>
      <w:r>
        <w:tab/>
        <w:t xml:space="preserve">                           IOWA COMMUNICATIONS NETWORK</w:t>
      </w:r>
    </w:p>
    <w:tbl>
      <w:tblPr>
        <w:tblW w:w="0" w:type="auto"/>
        <w:tblLayout w:type="fixed"/>
        <w:tblLook w:val="0000"/>
      </w:tblPr>
      <w:tblGrid>
        <w:gridCol w:w="2561"/>
        <w:gridCol w:w="1260"/>
      </w:tblGrid>
      <w:tr w:rsidR="00000000">
        <w:tblPrEx>
          <w:tblCellMar>
            <w:top w:w="0" w:type="dxa"/>
            <w:bottom w:w="0" w:type="dxa"/>
          </w:tblCellMar>
        </w:tblPrEx>
        <w:trPr>
          <w:trHeight w:val="259"/>
        </w:trPr>
        <w:tc>
          <w:tcPr>
            <w:tcW w:w="2561" w:type="dxa"/>
          </w:tcPr>
          <w:p w:rsidR="00000000" w:rsidRDefault="00915A50">
            <w:pPr>
              <w:framePr w:hSpace="180" w:wrap="notBeside" w:vAnchor="text" w:hAnchor="margin" w:xAlign="center" w:y="86"/>
              <w:tabs>
                <w:tab w:val="left" w:pos="6660"/>
              </w:tabs>
              <w:ind w:right="450"/>
              <w:rPr>
                <w:rFonts w:ascii="Univers" w:hAnsi="Univers"/>
                <w:sz w:val="16"/>
                <w:szCs w:val="16"/>
              </w:rPr>
            </w:pPr>
            <w:r>
              <w:rPr>
                <w:rFonts w:ascii="Univers" w:hAnsi="Univers"/>
                <w:sz w:val="16"/>
                <w:szCs w:val="16"/>
              </w:rPr>
              <w:t>Area Education Agencies</w:t>
            </w:r>
          </w:p>
        </w:tc>
        <w:tc>
          <w:tcPr>
            <w:tcW w:w="1260" w:type="dxa"/>
          </w:tcPr>
          <w:p w:rsidR="00000000" w:rsidRDefault="00915A50">
            <w:pPr>
              <w:framePr w:hSpace="180" w:wrap="notBeside" w:vAnchor="text" w:hAnchor="margin" w:xAlign="center" w:y="86"/>
              <w:tabs>
                <w:tab w:val="left" w:pos="6660"/>
              </w:tabs>
              <w:ind w:right="450"/>
              <w:jc w:val="right"/>
              <w:rPr>
                <w:rFonts w:ascii="Univers" w:hAnsi="Univers"/>
                <w:sz w:val="16"/>
                <w:szCs w:val="16"/>
              </w:rPr>
            </w:pPr>
            <w:r>
              <w:rPr>
                <w:rFonts w:ascii="Univers" w:hAnsi="Univers"/>
                <w:sz w:val="16"/>
                <w:szCs w:val="16"/>
              </w:rPr>
              <w:t>16</w:t>
            </w:r>
          </w:p>
        </w:tc>
      </w:tr>
      <w:tr w:rsidR="00000000">
        <w:tblPrEx>
          <w:tblCellMar>
            <w:top w:w="0" w:type="dxa"/>
            <w:bottom w:w="0" w:type="dxa"/>
          </w:tblCellMar>
        </w:tblPrEx>
        <w:trPr>
          <w:trHeight w:val="259"/>
        </w:trPr>
        <w:tc>
          <w:tcPr>
            <w:tcW w:w="2561" w:type="dxa"/>
          </w:tcPr>
          <w:p w:rsidR="00000000" w:rsidRDefault="00915A50">
            <w:pPr>
              <w:framePr w:hSpace="180" w:wrap="notBeside" w:vAnchor="text" w:hAnchor="margin" w:xAlign="center" w:y="86"/>
              <w:tabs>
                <w:tab w:val="left" w:pos="6660"/>
              </w:tabs>
              <w:ind w:right="450"/>
              <w:rPr>
                <w:rFonts w:ascii="Univers" w:hAnsi="Univers"/>
                <w:sz w:val="16"/>
                <w:szCs w:val="16"/>
              </w:rPr>
            </w:pPr>
            <w:r>
              <w:rPr>
                <w:rFonts w:ascii="Univers" w:hAnsi="Univers"/>
                <w:sz w:val="16"/>
                <w:szCs w:val="16"/>
              </w:rPr>
              <w:t>Community Colleges</w:t>
            </w:r>
          </w:p>
        </w:tc>
        <w:tc>
          <w:tcPr>
            <w:tcW w:w="1260" w:type="dxa"/>
          </w:tcPr>
          <w:p w:rsidR="00000000" w:rsidRDefault="00915A50">
            <w:pPr>
              <w:framePr w:hSpace="180" w:wrap="notBeside" w:vAnchor="text" w:hAnchor="margin" w:xAlign="center" w:y="86"/>
              <w:tabs>
                <w:tab w:val="left" w:pos="6660"/>
              </w:tabs>
              <w:ind w:right="450"/>
              <w:jc w:val="right"/>
              <w:rPr>
                <w:rFonts w:ascii="Univers" w:hAnsi="Univers"/>
                <w:sz w:val="16"/>
                <w:szCs w:val="16"/>
              </w:rPr>
            </w:pPr>
            <w:r>
              <w:rPr>
                <w:rFonts w:ascii="Univers" w:hAnsi="Univers"/>
                <w:sz w:val="16"/>
                <w:szCs w:val="16"/>
              </w:rPr>
              <w:t>101</w:t>
            </w:r>
          </w:p>
        </w:tc>
      </w:tr>
      <w:tr w:rsidR="00000000">
        <w:tblPrEx>
          <w:tblCellMar>
            <w:top w:w="0" w:type="dxa"/>
            <w:bottom w:w="0" w:type="dxa"/>
          </w:tblCellMar>
        </w:tblPrEx>
        <w:trPr>
          <w:trHeight w:val="259"/>
        </w:trPr>
        <w:tc>
          <w:tcPr>
            <w:tcW w:w="2561" w:type="dxa"/>
          </w:tcPr>
          <w:p w:rsidR="00000000" w:rsidRDefault="00915A50">
            <w:pPr>
              <w:framePr w:hSpace="180" w:wrap="notBeside" w:vAnchor="text" w:hAnchor="margin" w:xAlign="center" w:y="86"/>
              <w:tabs>
                <w:tab w:val="left" w:pos="6660"/>
              </w:tabs>
              <w:ind w:right="450"/>
              <w:rPr>
                <w:rFonts w:ascii="Univers" w:hAnsi="Univers"/>
                <w:sz w:val="16"/>
                <w:szCs w:val="16"/>
              </w:rPr>
            </w:pPr>
            <w:r>
              <w:rPr>
                <w:rFonts w:ascii="Univers" w:hAnsi="Univers"/>
                <w:sz w:val="16"/>
                <w:szCs w:val="16"/>
              </w:rPr>
              <w:t>K-12 School Districts</w:t>
            </w:r>
          </w:p>
        </w:tc>
        <w:tc>
          <w:tcPr>
            <w:tcW w:w="1260" w:type="dxa"/>
          </w:tcPr>
          <w:p w:rsidR="00000000" w:rsidRDefault="00915A50">
            <w:pPr>
              <w:framePr w:hSpace="180" w:wrap="notBeside" w:vAnchor="text" w:hAnchor="margin" w:xAlign="center" w:y="86"/>
              <w:tabs>
                <w:tab w:val="left" w:pos="6660"/>
              </w:tabs>
              <w:ind w:right="450"/>
              <w:jc w:val="right"/>
              <w:rPr>
                <w:rFonts w:ascii="Univers" w:hAnsi="Univers"/>
                <w:sz w:val="16"/>
                <w:szCs w:val="16"/>
              </w:rPr>
            </w:pPr>
            <w:r>
              <w:rPr>
                <w:rFonts w:ascii="Univers" w:hAnsi="Univers"/>
                <w:sz w:val="16"/>
                <w:szCs w:val="16"/>
              </w:rPr>
              <w:t>389</w:t>
            </w:r>
          </w:p>
        </w:tc>
      </w:tr>
      <w:tr w:rsidR="00000000">
        <w:tblPrEx>
          <w:tblCellMar>
            <w:top w:w="0" w:type="dxa"/>
            <w:bottom w:w="0" w:type="dxa"/>
          </w:tblCellMar>
        </w:tblPrEx>
        <w:trPr>
          <w:trHeight w:val="259"/>
        </w:trPr>
        <w:tc>
          <w:tcPr>
            <w:tcW w:w="2561" w:type="dxa"/>
          </w:tcPr>
          <w:p w:rsidR="00000000" w:rsidRDefault="00915A50">
            <w:pPr>
              <w:framePr w:hSpace="180" w:wrap="notBeside" w:vAnchor="text" w:hAnchor="margin" w:xAlign="center" w:y="86"/>
              <w:tabs>
                <w:tab w:val="left" w:pos="6660"/>
              </w:tabs>
              <w:ind w:right="450"/>
              <w:rPr>
                <w:rFonts w:ascii="Univers" w:hAnsi="Univers"/>
                <w:sz w:val="16"/>
                <w:szCs w:val="16"/>
              </w:rPr>
            </w:pPr>
            <w:r>
              <w:rPr>
                <w:rFonts w:ascii="Univers" w:hAnsi="Univers"/>
                <w:sz w:val="16"/>
                <w:szCs w:val="16"/>
              </w:rPr>
              <w:t>Other Education</w:t>
            </w:r>
          </w:p>
        </w:tc>
        <w:tc>
          <w:tcPr>
            <w:tcW w:w="1260" w:type="dxa"/>
          </w:tcPr>
          <w:p w:rsidR="00000000" w:rsidRDefault="00915A50">
            <w:pPr>
              <w:framePr w:hSpace="180" w:wrap="notBeside" w:vAnchor="text" w:hAnchor="margin" w:xAlign="center" w:y="86"/>
              <w:tabs>
                <w:tab w:val="left" w:pos="6660"/>
              </w:tabs>
              <w:ind w:right="450"/>
              <w:jc w:val="right"/>
              <w:rPr>
                <w:rFonts w:ascii="Univers" w:hAnsi="Univers"/>
                <w:sz w:val="16"/>
                <w:szCs w:val="16"/>
              </w:rPr>
            </w:pPr>
            <w:r>
              <w:rPr>
                <w:rFonts w:ascii="Univers" w:hAnsi="Univers"/>
                <w:sz w:val="16"/>
                <w:szCs w:val="16"/>
              </w:rPr>
              <w:t>8</w:t>
            </w:r>
          </w:p>
        </w:tc>
      </w:tr>
      <w:tr w:rsidR="00000000">
        <w:tblPrEx>
          <w:tblCellMar>
            <w:top w:w="0" w:type="dxa"/>
            <w:bottom w:w="0" w:type="dxa"/>
          </w:tblCellMar>
        </w:tblPrEx>
        <w:trPr>
          <w:trHeight w:val="259"/>
        </w:trPr>
        <w:tc>
          <w:tcPr>
            <w:tcW w:w="2561" w:type="dxa"/>
          </w:tcPr>
          <w:p w:rsidR="00000000" w:rsidRDefault="00915A50">
            <w:pPr>
              <w:framePr w:hSpace="180" w:wrap="notBeside" w:vAnchor="text" w:hAnchor="margin" w:xAlign="center" w:y="86"/>
              <w:tabs>
                <w:tab w:val="left" w:pos="6660"/>
              </w:tabs>
              <w:ind w:right="450"/>
              <w:rPr>
                <w:rFonts w:ascii="Univers" w:hAnsi="Univers"/>
                <w:sz w:val="16"/>
                <w:szCs w:val="16"/>
              </w:rPr>
            </w:pPr>
            <w:r>
              <w:rPr>
                <w:rFonts w:ascii="Univers" w:hAnsi="Univers"/>
                <w:sz w:val="16"/>
                <w:szCs w:val="16"/>
              </w:rPr>
              <w:t>Libraries</w:t>
            </w:r>
          </w:p>
        </w:tc>
        <w:tc>
          <w:tcPr>
            <w:tcW w:w="1260" w:type="dxa"/>
          </w:tcPr>
          <w:p w:rsidR="00000000" w:rsidRDefault="00915A50">
            <w:pPr>
              <w:framePr w:hSpace="180" w:wrap="notBeside" w:vAnchor="text" w:hAnchor="margin" w:xAlign="center" w:y="86"/>
              <w:tabs>
                <w:tab w:val="left" w:pos="6660"/>
              </w:tabs>
              <w:ind w:right="450"/>
              <w:jc w:val="right"/>
              <w:rPr>
                <w:rFonts w:ascii="Univers" w:hAnsi="Univers"/>
                <w:sz w:val="16"/>
                <w:szCs w:val="16"/>
              </w:rPr>
            </w:pPr>
            <w:r>
              <w:rPr>
                <w:rFonts w:ascii="Univers" w:hAnsi="Univers"/>
                <w:sz w:val="16"/>
                <w:szCs w:val="16"/>
              </w:rPr>
              <w:t>50</w:t>
            </w:r>
          </w:p>
        </w:tc>
      </w:tr>
      <w:tr w:rsidR="00000000">
        <w:tblPrEx>
          <w:tblCellMar>
            <w:top w:w="0" w:type="dxa"/>
            <w:bottom w:w="0" w:type="dxa"/>
          </w:tblCellMar>
        </w:tblPrEx>
        <w:trPr>
          <w:trHeight w:val="259"/>
        </w:trPr>
        <w:tc>
          <w:tcPr>
            <w:tcW w:w="2561" w:type="dxa"/>
          </w:tcPr>
          <w:p w:rsidR="00000000" w:rsidRDefault="00915A50">
            <w:pPr>
              <w:framePr w:hSpace="180" w:wrap="notBeside" w:vAnchor="text" w:hAnchor="margin" w:xAlign="center" w:y="86"/>
              <w:tabs>
                <w:tab w:val="left" w:pos="6660"/>
              </w:tabs>
              <w:ind w:right="450"/>
              <w:rPr>
                <w:rFonts w:ascii="Univers" w:hAnsi="Univers"/>
                <w:sz w:val="16"/>
                <w:szCs w:val="16"/>
              </w:rPr>
            </w:pPr>
            <w:r>
              <w:rPr>
                <w:rFonts w:ascii="Univers" w:hAnsi="Univers"/>
                <w:sz w:val="16"/>
                <w:szCs w:val="16"/>
              </w:rPr>
              <w:t>Medic</w:t>
            </w:r>
            <w:r>
              <w:rPr>
                <w:rFonts w:ascii="Univers" w:hAnsi="Univers"/>
                <w:sz w:val="16"/>
                <w:szCs w:val="16"/>
              </w:rPr>
              <w:t>al Facilities</w:t>
            </w:r>
          </w:p>
        </w:tc>
        <w:tc>
          <w:tcPr>
            <w:tcW w:w="1260" w:type="dxa"/>
          </w:tcPr>
          <w:p w:rsidR="00000000" w:rsidRDefault="00915A50">
            <w:pPr>
              <w:framePr w:hSpace="180" w:wrap="notBeside" w:vAnchor="text" w:hAnchor="margin" w:xAlign="center" w:y="86"/>
              <w:tabs>
                <w:tab w:val="left" w:pos="6660"/>
              </w:tabs>
              <w:ind w:right="450"/>
              <w:jc w:val="right"/>
              <w:rPr>
                <w:rFonts w:ascii="Univers" w:hAnsi="Univers"/>
                <w:sz w:val="16"/>
                <w:szCs w:val="16"/>
              </w:rPr>
            </w:pPr>
            <w:r>
              <w:rPr>
                <w:rFonts w:ascii="Univers" w:hAnsi="Univers"/>
                <w:sz w:val="16"/>
                <w:szCs w:val="16"/>
              </w:rPr>
              <w:t>11</w:t>
            </w:r>
          </w:p>
        </w:tc>
      </w:tr>
      <w:tr w:rsidR="00000000">
        <w:tblPrEx>
          <w:tblCellMar>
            <w:top w:w="0" w:type="dxa"/>
            <w:bottom w:w="0" w:type="dxa"/>
          </w:tblCellMar>
        </w:tblPrEx>
        <w:trPr>
          <w:trHeight w:val="259"/>
        </w:trPr>
        <w:tc>
          <w:tcPr>
            <w:tcW w:w="2561" w:type="dxa"/>
          </w:tcPr>
          <w:p w:rsidR="00000000" w:rsidRDefault="00915A50">
            <w:pPr>
              <w:framePr w:hSpace="180" w:wrap="notBeside" w:vAnchor="text" w:hAnchor="margin" w:xAlign="center" w:y="86"/>
              <w:tabs>
                <w:tab w:val="left" w:pos="6660"/>
              </w:tabs>
              <w:ind w:right="450"/>
              <w:rPr>
                <w:rFonts w:ascii="Univers" w:hAnsi="Univers"/>
                <w:sz w:val="16"/>
                <w:szCs w:val="16"/>
              </w:rPr>
            </w:pPr>
            <w:r>
              <w:rPr>
                <w:rFonts w:ascii="Univers" w:hAnsi="Univers"/>
                <w:sz w:val="16"/>
                <w:szCs w:val="16"/>
              </w:rPr>
              <w:t>Private Colleges</w:t>
            </w:r>
          </w:p>
        </w:tc>
        <w:tc>
          <w:tcPr>
            <w:tcW w:w="1260" w:type="dxa"/>
          </w:tcPr>
          <w:p w:rsidR="00000000" w:rsidRDefault="00915A50">
            <w:pPr>
              <w:framePr w:hSpace="180" w:wrap="notBeside" w:vAnchor="text" w:hAnchor="margin" w:xAlign="center" w:y="86"/>
              <w:tabs>
                <w:tab w:val="left" w:pos="6660"/>
              </w:tabs>
              <w:ind w:right="450"/>
              <w:jc w:val="right"/>
              <w:rPr>
                <w:rFonts w:ascii="Univers" w:hAnsi="Univers"/>
                <w:sz w:val="16"/>
                <w:szCs w:val="16"/>
              </w:rPr>
            </w:pPr>
            <w:r>
              <w:rPr>
                <w:rFonts w:ascii="Univers" w:hAnsi="Univers"/>
                <w:sz w:val="16"/>
                <w:szCs w:val="16"/>
              </w:rPr>
              <w:t>18</w:t>
            </w:r>
          </w:p>
        </w:tc>
      </w:tr>
      <w:tr w:rsidR="00000000">
        <w:tblPrEx>
          <w:tblCellMar>
            <w:top w:w="0" w:type="dxa"/>
            <w:bottom w:w="0" w:type="dxa"/>
          </w:tblCellMar>
        </w:tblPrEx>
        <w:trPr>
          <w:trHeight w:val="259"/>
        </w:trPr>
        <w:tc>
          <w:tcPr>
            <w:tcW w:w="2561" w:type="dxa"/>
          </w:tcPr>
          <w:p w:rsidR="00000000" w:rsidRDefault="00915A50">
            <w:pPr>
              <w:framePr w:hSpace="180" w:wrap="notBeside" w:vAnchor="text" w:hAnchor="margin" w:xAlign="center" w:y="86"/>
              <w:tabs>
                <w:tab w:val="left" w:pos="6660"/>
              </w:tabs>
              <w:ind w:right="450"/>
              <w:rPr>
                <w:rFonts w:ascii="Univers" w:hAnsi="Univers"/>
                <w:sz w:val="16"/>
                <w:szCs w:val="16"/>
              </w:rPr>
            </w:pPr>
            <w:r>
              <w:rPr>
                <w:rFonts w:ascii="Univers" w:hAnsi="Univers"/>
                <w:sz w:val="16"/>
                <w:szCs w:val="16"/>
              </w:rPr>
              <w:t>Regents Institutions</w:t>
            </w:r>
          </w:p>
        </w:tc>
        <w:tc>
          <w:tcPr>
            <w:tcW w:w="1260" w:type="dxa"/>
          </w:tcPr>
          <w:p w:rsidR="00000000" w:rsidRDefault="00915A50">
            <w:pPr>
              <w:framePr w:hSpace="180" w:wrap="notBeside" w:vAnchor="text" w:hAnchor="margin" w:xAlign="center" w:y="86"/>
              <w:tabs>
                <w:tab w:val="left" w:pos="6660"/>
              </w:tabs>
              <w:ind w:right="450"/>
              <w:jc w:val="right"/>
              <w:rPr>
                <w:rFonts w:ascii="Univers" w:hAnsi="Univers"/>
                <w:sz w:val="16"/>
                <w:szCs w:val="16"/>
              </w:rPr>
            </w:pPr>
            <w:r>
              <w:rPr>
                <w:rFonts w:ascii="Univers" w:hAnsi="Univers"/>
                <w:sz w:val="16"/>
                <w:szCs w:val="16"/>
              </w:rPr>
              <w:t>32</w:t>
            </w:r>
          </w:p>
        </w:tc>
      </w:tr>
      <w:tr w:rsidR="00000000">
        <w:tblPrEx>
          <w:tblCellMar>
            <w:top w:w="0" w:type="dxa"/>
            <w:bottom w:w="0" w:type="dxa"/>
          </w:tblCellMar>
        </w:tblPrEx>
        <w:trPr>
          <w:trHeight w:val="259"/>
        </w:trPr>
        <w:tc>
          <w:tcPr>
            <w:tcW w:w="2561" w:type="dxa"/>
          </w:tcPr>
          <w:p w:rsidR="00000000" w:rsidRDefault="00915A50">
            <w:pPr>
              <w:framePr w:hSpace="180" w:wrap="notBeside" w:vAnchor="text" w:hAnchor="margin" w:xAlign="center" w:y="86"/>
              <w:tabs>
                <w:tab w:val="left" w:pos="6660"/>
              </w:tabs>
              <w:ind w:right="450"/>
              <w:rPr>
                <w:rFonts w:ascii="Univers" w:hAnsi="Univers"/>
                <w:sz w:val="16"/>
                <w:szCs w:val="16"/>
              </w:rPr>
            </w:pPr>
            <w:r>
              <w:rPr>
                <w:rFonts w:ascii="Univers" w:hAnsi="Univers"/>
                <w:sz w:val="16"/>
                <w:szCs w:val="16"/>
              </w:rPr>
              <w:t>National Guard</w:t>
            </w:r>
          </w:p>
        </w:tc>
        <w:tc>
          <w:tcPr>
            <w:tcW w:w="1260" w:type="dxa"/>
          </w:tcPr>
          <w:p w:rsidR="00000000" w:rsidRDefault="00915A50">
            <w:pPr>
              <w:framePr w:hSpace="180" w:wrap="notBeside" w:vAnchor="text" w:hAnchor="margin" w:xAlign="center" w:y="86"/>
              <w:tabs>
                <w:tab w:val="left" w:pos="6660"/>
              </w:tabs>
              <w:ind w:right="450"/>
              <w:jc w:val="right"/>
              <w:rPr>
                <w:rFonts w:ascii="Univers" w:hAnsi="Univers"/>
                <w:sz w:val="16"/>
                <w:szCs w:val="16"/>
              </w:rPr>
            </w:pPr>
            <w:r>
              <w:rPr>
                <w:rFonts w:ascii="Univers" w:hAnsi="Univers"/>
                <w:sz w:val="16"/>
                <w:szCs w:val="16"/>
              </w:rPr>
              <w:t>57</w:t>
            </w:r>
          </w:p>
        </w:tc>
      </w:tr>
      <w:tr w:rsidR="00000000">
        <w:tblPrEx>
          <w:tblCellMar>
            <w:top w:w="0" w:type="dxa"/>
            <w:bottom w:w="0" w:type="dxa"/>
          </w:tblCellMar>
        </w:tblPrEx>
        <w:trPr>
          <w:trHeight w:val="259"/>
        </w:trPr>
        <w:tc>
          <w:tcPr>
            <w:tcW w:w="2561" w:type="dxa"/>
          </w:tcPr>
          <w:p w:rsidR="00000000" w:rsidRDefault="00915A50">
            <w:pPr>
              <w:framePr w:hSpace="180" w:wrap="notBeside" w:vAnchor="text" w:hAnchor="margin" w:xAlign="center" w:y="86"/>
              <w:tabs>
                <w:tab w:val="left" w:pos="6660"/>
              </w:tabs>
              <w:ind w:right="450"/>
              <w:rPr>
                <w:rFonts w:ascii="Univers" w:hAnsi="Univers"/>
                <w:sz w:val="16"/>
                <w:szCs w:val="16"/>
              </w:rPr>
            </w:pPr>
            <w:r>
              <w:rPr>
                <w:rFonts w:ascii="Univers" w:hAnsi="Univers"/>
                <w:sz w:val="16"/>
                <w:szCs w:val="16"/>
              </w:rPr>
              <w:t>State Agencies</w:t>
            </w:r>
          </w:p>
        </w:tc>
        <w:tc>
          <w:tcPr>
            <w:tcW w:w="1260" w:type="dxa"/>
          </w:tcPr>
          <w:p w:rsidR="00000000" w:rsidRDefault="00915A50">
            <w:pPr>
              <w:framePr w:hSpace="180" w:wrap="notBeside" w:vAnchor="text" w:hAnchor="margin" w:xAlign="center" w:y="86"/>
              <w:tabs>
                <w:tab w:val="left" w:pos="6660"/>
              </w:tabs>
              <w:ind w:right="450"/>
              <w:jc w:val="right"/>
              <w:rPr>
                <w:rFonts w:ascii="Univers" w:hAnsi="Univers"/>
                <w:sz w:val="16"/>
                <w:szCs w:val="16"/>
              </w:rPr>
            </w:pPr>
            <w:r>
              <w:rPr>
                <w:rFonts w:ascii="Univers" w:hAnsi="Univers"/>
                <w:sz w:val="16"/>
                <w:szCs w:val="16"/>
              </w:rPr>
              <w:t>49</w:t>
            </w:r>
          </w:p>
        </w:tc>
      </w:tr>
      <w:tr w:rsidR="00000000">
        <w:tblPrEx>
          <w:tblCellMar>
            <w:top w:w="0" w:type="dxa"/>
            <w:bottom w:w="0" w:type="dxa"/>
          </w:tblCellMar>
        </w:tblPrEx>
        <w:trPr>
          <w:trHeight w:val="259"/>
        </w:trPr>
        <w:tc>
          <w:tcPr>
            <w:tcW w:w="2561" w:type="dxa"/>
          </w:tcPr>
          <w:p w:rsidR="00000000" w:rsidRDefault="00915A50">
            <w:pPr>
              <w:framePr w:hSpace="180" w:wrap="notBeside" w:vAnchor="text" w:hAnchor="margin" w:xAlign="center" w:y="86"/>
              <w:tabs>
                <w:tab w:val="left" w:pos="6660"/>
              </w:tabs>
              <w:ind w:right="450"/>
              <w:rPr>
                <w:rFonts w:ascii="Univers" w:hAnsi="Univers"/>
                <w:sz w:val="16"/>
                <w:szCs w:val="16"/>
              </w:rPr>
            </w:pPr>
            <w:r>
              <w:rPr>
                <w:rFonts w:ascii="Univers" w:hAnsi="Univers"/>
                <w:sz w:val="16"/>
                <w:szCs w:val="16"/>
              </w:rPr>
              <w:t>Federal</w:t>
            </w:r>
          </w:p>
        </w:tc>
        <w:tc>
          <w:tcPr>
            <w:tcW w:w="1260" w:type="dxa"/>
          </w:tcPr>
          <w:p w:rsidR="00000000" w:rsidRDefault="00915A50">
            <w:pPr>
              <w:framePr w:hSpace="180" w:wrap="notBeside" w:vAnchor="text" w:hAnchor="margin" w:xAlign="center" w:y="86"/>
              <w:tabs>
                <w:tab w:val="left" w:pos="6660"/>
              </w:tabs>
              <w:ind w:right="450"/>
              <w:jc w:val="right"/>
              <w:rPr>
                <w:rFonts w:ascii="Univers" w:hAnsi="Univers"/>
                <w:sz w:val="16"/>
                <w:szCs w:val="16"/>
              </w:rPr>
            </w:pPr>
            <w:r>
              <w:rPr>
                <w:rFonts w:ascii="Univers" w:hAnsi="Univers"/>
                <w:sz w:val="16"/>
                <w:szCs w:val="16"/>
              </w:rPr>
              <w:t>17</w:t>
            </w:r>
          </w:p>
        </w:tc>
      </w:tr>
      <w:tr w:rsidR="00000000">
        <w:tblPrEx>
          <w:tblCellMar>
            <w:top w:w="0" w:type="dxa"/>
            <w:bottom w:w="0" w:type="dxa"/>
          </w:tblCellMar>
        </w:tblPrEx>
        <w:trPr>
          <w:trHeight w:val="259"/>
        </w:trPr>
        <w:tc>
          <w:tcPr>
            <w:tcW w:w="2561" w:type="dxa"/>
          </w:tcPr>
          <w:p w:rsidR="00000000" w:rsidRDefault="00915A50">
            <w:pPr>
              <w:framePr w:hSpace="180" w:wrap="notBeside" w:vAnchor="text" w:hAnchor="margin" w:xAlign="center" w:y="86"/>
              <w:tabs>
                <w:tab w:val="left" w:pos="6660"/>
              </w:tabs>
              <w:ind w:right="450"/>
              <w:rPr>
                <w:rFonts w:ascii="Univers" w:hAnsi="Univers"/>
                <w:sz w:val="16"/>
                <w:szCs w:val="16"/>
              </w:rPr>
            </w:pPr>
            <w:r>
              <w:rPr>
                <w:rFonts w:ascii="Univers" w:hAnsi="Univers"/>
                <w:sz w:val="16"/>
                <w:szCs w:val="16"/>
              </w:rPr>
              <w:t>Miscellaneous</w:t>
            </w:r>
          </w:p>
        </w:tc>
        <w:tc>
          <w:tcPr>
            <w:tcW w:w="1260" w:type="dxa"/>
            <w:tcBorders>
              <w:bottom w:val="single" w:sz="6" w:space="0" w:color="auto"/>
            </w:tcBorders>
          </w:tcPr>
          <w:p w:rsidR="00000000" w:rsidRDefault="00915A50">
            <w:pPr>
              <w:framePr w:hSpace="180" w:wrap="notBeside" w:vAnchor="text" w:hAnchor="margin" w:xAlign="center" w:y="86"/>
              <w:tabs>
                <w:tab w:val="left" w:pos="6660"/>
              </w:tabs>
              <w:ind w:right="450"/>
              <w:jc w:val="right"/>
              <w:rPr>
                <w:rFonts w:ascii="Univers" w:hAnsi="Univers"/>
                <w:sz w:val="16"/>
                <w:szCs w:val="16"/>
              </w:rPr>
            </w:pPr>
            <w:r>
              <w:rPr>
                <w:rFonts w:ascii="Univers" w:hAnsi="Univers"/>
                <w:sz w:val="16"/>
                <w:szCs w:val="16"/>
              </w:rPr>
              <w:t>4</w:t>
            </w:r>
          </w:p>
        </w:tc>
      </w:tr>
      <w:tr w:rsidR="00000000">
        <w:tblPrEx>
          <w:tblCellMar>
            <w:top w:w="0" w:type="dxa"/>
            <w:bottom w:w="0" w:type="dxa"/>
          </w:tblCellMar>
        </w:tblPrEx>
        <w:trPr>
          <w:trHeight w:val="259"/>
        </w:trPr>
        <w:tc>
          <w:tcPr>
            <w:tcW w:w="2561" w:type="dxa"/>
          </w:tcPr>
          <w:p w:rsidR="00000000" w:rsidRDefault="00915A50">
            <w:pPr>
              <w:framePr w:hSpace="180" w:wrap="notBeside" w:vAnchor="text" w:hAnchor="margin" w:xAlign="center" w:y="86"/>
              <w:tabs>
                <w:tab w:val="left" w:pos="6660"/>
              </w:tabs>
              <w:ind w:right="450"/>
              <w:rPr>
                <w:rFonts w:ascii="Univers" w:hAnsi="Univers"/>
                <w:sz w:val="16"/>
                <w:szCs w:val="16"/>
              </w:rPr>
            </w:pPr>
            <w:r>
              <w:rPr>
                <w:rFonts w:ascii="Univers" w:hAnsi="Univers"/>
                <w:sz w:val="16"/>
                <w:szCs w:val="16"/>
              </w:rPr>
              <w:t>Classrooms Total</w:t>
            </w:r>
          </w:p>
        </w:tc>
        <w:tc>
          <w:tcPr>
            <w:tcW w:w="1260" w:type="dxa"/>
            <w:tcBorders>
              <w:bottom w:val="double" w:sz="6" w:space="0" w:color="auto"/>
            </w:tcBorders>
          </w:tcPr>
          <w:p w:rsidR="00000000" w:rsidRDefault="00915A50">
            <w:pPr>
              <w:framePr w:hSpace="180" w:wrap="notBeside" w:vAnchor="text" w:hAnchor="margin" w:xAlign="center" w:y="86"/>
              <w:tabs>
                <w:tab w:val="left" w:pos="6660"/>
              </w:tabs>
              <w:ind w:right="450"/>
              <w:jc w:val="right"/>
              <w:rPr>
                <w:rFonts w:ascii="Univers" w:hAnsi="Univers"/>
                <w:sz w:val="16"/>
                <w:szCs w:val="16"/>
              </w:rPr>
            </w:pPr>
            <w:r>
              <w:rPr>
                <w:rFonts w:ascii="Univers" w:hAnsi="Univers"/>
                <w:sz w:val="16"/>
                <w:szCs w:val="16"/>
              </w:rPr>
              <w:t>753</w:t>
            </w:r>
          </w:p>
        </w:tc>
      </w:tr>
    </w:tbl>
    <w:p w:rsidR="00000000" w:rsidRDefault="00915A50">
      <w:pPr>
        <w:framePr w:w="653" w:h="737" w:hSpace="180" w:wrap="auto" w:vAnchor="text" w:hAnchor="page" w:x="1539" w:y="461"/>
        <w:pBdr>
          <w:top w:val="single" w:sz="12" w:space="5" w:color="auto" w:shadow="1"/>
          <w:left w:val="single" w:sz="12" w:space="5" w:color="auto" w:shadow="1"/>
          <w:bottom w:val="single" w:sz="12" w:space="5" w:color="auto" w:shadow="1"/>
          <w:right w:val="single" w:sz="12" w:space="5" w:color="auto" w:shadow="1"/>
        </w:pBdr>
        <w:rPr>
          <w:rFonts w:ascii="Univers" w:hAnsi="Univers"/>
          <w:b/>
          <w:bCs/>
        </w:rPr>
      </w:pPr>
      <w:r>
        <w:rPr>
          <w:rFonts w:ascii="Univers" w:hAnsi="Univers"/>
          <w:b/>
          <w:bCs/>
          <w:noProof/>
        </w:rPr>
        <w:drawing>
          <wp:inline distT="0" distB="0" distL="0" distR="0">
            <wp:extent cx="368300" cy="317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srcRect/>
                    <a:stretch>
                      <a:fillRect/>
                    </a:stretch>
                  </pic:blipFill>
                  <pic:spPr bwMode="auto">
                    <a:xfrm>
                      <a:off x="0" y="0"/>
                      <a:ext cx="368300" cy="317500"/>
                    </a:xfrm>
                    <a:prstGeom prst="rect">
                      <a:avLst/>
                    </a:prstGeom>
                    <a:noFill/>
                    <a:ln w="9525">
                      <a:noFill/>
                      <a:miter lim="800000"/>
                      <a:headEnd/>
                      <a:tailEnd/>
                    </a:ln>
                  </pic:spPr>
                </pic:pic>
              </a:graphicData>
            </a:graphic>
          </wp:inline>
        </w:drawing>
      </w:r>
    </w:p>
    <w:p w:rsidR="00000000" w:rsidRDefault="00915A50">
      <w:pPr>
        <w:framePr w:w="653" w:h="737" w:hSpace="180" w:wrap="auto" w:vAnchor="text" w:hAnchor="page" w:x="1539" w:y="461"/>
        <w:pBdr>
          <w:top w:val="single" w:sz="12" w:space="5" w:color="auto" w:shadow="1"/>
          <w:left w:val="single" w:sz="12" w:space="5" w:color="auto" w:shadow="1"/>
          <w:bottom w:val="single" w:sz="12" w:space="5" w:color="auto" w:shadow="1"/>
          <w:right w:val="single" w:sz="12" w:space="5" w:color="auto" w:shadow="1"/>
        </w:pBdr>
        <w:rPr>
          <w:rFonts w:ascii="Univers" w:hAnsi="Univers"/>
          <w:b/>
          <w:bCs/>
          <w:sz w:val="16"/>
          <w:szCs w:val="16"/>
        </w:rPr>
      </w:pPr>
      <w:r>
        <w:rPr>
          <w:rFonts w:ascii="Univers" w:hAnsi="Univers"/>
          <w:b/>
          <w:bCs/>
          <w:sz w:val="16"/>
          <w:szCs w:val="16"/>
        </w:rPr>
        <w:t xml:space="preserve"> Website</w:t>
      </w:r>
    </w:p>
    <w:p w:rsidR="00000000" w:rsidRDefault="00915A50">
      <w:pPr>
        <w:pStyle w:val="textup"/>
      </w:pPr>
      <w:r>
        <w:rPr>
          <w:b/>
          <w:bCs/>
        </w:rPr>
        <w:t>Web Site</w:t>
      </w:r>
      <w:r>
        <w:tab/>
        <w:t xml:space="preserve">This information is updated weekly and is available on the Internet at </w:t>
      </w:r>
      <w:hyperlink r:id="rId33" w:history="1">
        <w:r>
          <w:rPr>
            <w:rStyle w:val="Hyperlink"/>
          </w:rPr>
          <w:t>http://www.icn.state.ia.us/about/clickmap/clickmap.htm</w:t>
        </w:r>
      </w:hyperlink>
      <w:r>
        <w:rPr>
          <w:b/>
          <w:bCs/>
        </w:rPr>
        <w:t xml:space="preserve">.  </w:t>
      </w:r>
      <w:r>
        <w:t>If you would like a copy of the complete list of sites and their locations and do not have access to the Internet, you may contact the LFB an</w:t>
      </w:r>
      <w:r>
        <w:t>d request a copy.</w:t>
      </w:r>
    </w:p>
    <w:p w:rsidR="00000000" w:rsidRDefault="00915A50">
      <w:pPr>
        <w:pStyle w:val="Contactup"/>
      </w:pPr>
      <w:r>
        <w:t>STAFF CONTACT:  Douglas Wulf (Ext. 13250)</w:t>
      </w:r>
    </w:p>
    <w:p w:rsidR="00000000" w:rsidRDefault="00915A50">
      <w:pPr>
        <w:pStyle w:val="Blurbtitle"/>
      </w:pPr>
      <w:bookmarkStart w:id="14" w:name="FU11GPDA"/>
      <w:r>
        <w:t>What’s New on the LFB Website?</w:t>
      </w:r>
      <w:bookmarkEnd w:id="14"/>
    </w:p>
    <w:p w:rsidR="00000000" w:rsidRDefault="00915A50">
      <w:pPr>
        <w:pStyle w:val="textup"/>
        <w:rPr>
          <w:i/>
          <w:iCs/>
        </w:rPr>
      </w:pPr>
      <w:r>
        <w:rPr>
          <w:i/>
          <w:iCs/>
        </w:rPr>
        <w:tab/>
        <w:t>Most LFB files are in pdf format and require (</w:t>
      </w:r>
      <w:hyperlink r:id="rId34" w:history="1">
        <w:r>
          <w:rPr>
            <w:rStyle w:val="Hyperlink"/>
            <w:rFonts w:ascii="Arial" w:hAnsi="Arial" w:cs="Arial"/>
            <w:i/>
            <w:iCs/>
          </w:rPr>
          <w:t>Adobe Acrobat Reader</w:t>
        </w:r>
      </w:hyperlink>
      <w:r>
        <w:rPr>
          <w:rFonts w:ascii="Arial" w:hAnsi="Arial" w:cs="Arial"/>
          <w:i/>
          <w:iCs/>
        </w:rPr>
        <w:t>).</w:t>
      </w:r>
    </w:p>
    <w:p w:rsidR="00000000" w:rsidRDefault="00915A50">
      <w:pPr>
        <w:pStyle w:val="textup"/>
      </w:pPr>
      <w:r>
        <w:rPr>
          <w:b/>
          <w:bCs/>
        </w:rPr>
        <w:t>REC Information</w:t>
      </w:r>
      <w:r>
        <w:rPr>
          <w:b/>
          <w:bCs/>
        </w:rPr>
        <w:tab/>
      </w:r>
      <w:r>
        <w:t>A Spreadshe</w:t>
      </w:r>
      <w:r>
        <w:t xml:space="preserve">et reflecting December 7 Revenue Estimating Conference decisions.  This information can be accessed at:  </w:t>
      </w:r>
      <w:hyperlink r:id="rId35" w:history="1">
        <w:r>
          <w:rPr>
            <w:rStyle w:val="Hyperlink"/>
          </w:rPr>
          <w:t>www.staffweb.legis.state.ia.us/lfb</w:t>
        </w:r>
      </w:hyperlink>
      <w:r>
        <w:t>.</w:t>
      </w:r>
    </w:p>
    <w:p w:rsidR="00000000" w:rsidRDefault="00915A50">
      <w:pPr>
        <w:pStyle w:val="textup"/>
        <w:rPr>
          <w:rFonts w:ascii="Arial Unicode MS" w:eastAsia="Arial Unicode MS" w:hAnsi="Arial Unicode MS" w:cs="Arial Unicode MS"/>
          <w:i/>
          <w:iCs/>
          <w:color w:val="000000"/>
          <w:sz w:val="24"/>
          <w:szCs w:val="24"/>
        </w:rPr>
      </w:pPr>
      <w:r>
        <w:rPr>
          <w:b/>
          <w:bCs/>
        </w:rPr>
        <w:t>Per Pupil Spending</w:t>
      </w:r>
      <w:r>
        <w:rPr>
          <w:b/>
          <w:bCs/>
        </w:rPr>
        <w:tab/>
      </w:r>
      <w:r>
        <w:rPr>
          <w:rStyle w:val="Emphasis"/>
          <w:rFonts w:ascii="Arial" w:hAnsi="Arial" w:cs="Arial"/>
          <w:i w:val="0"/>
          <w:iCs w:val="0"/>
          <w:color w:val="000000"/>
        </w:rPr>
        <w:t>Estimates of per-pupil education fund</w:t>
      </w:r>
      <w:r>
        <w:rPr>
          <w:rStyle w:val="Emphasis"/>
          <w:rFonts w:ascii="Arial" w:hAnsi="Arial" w:cs="Arial"/>
          <w:i w:val="0"/>
          <w:iCs w:val="0"/>
          <w:color w:val="000000"/>
        </w:rPr>
        <w:t xml:space="preserve">ing for K-12 and higher education entities for FY 2001 and FY 2002 can be accessed from the LFB home page at </w:t>
      </w:r>
      <w:hyperlink r:id="rId36" w:history="1">
        <w:r>
          <w:rPr>
            <w:rStyle w:val="Emphasis"/>
            <w:rFonts w:ascii="Arial" w:hAnsi="Arial" w:cs="Arial"/>
            <w:i w:val="0"/>
            <w:iCs w:val="0"/>
            <w:color w:val="000000"/>
            <w:u w:val="single"/>
          </w:rPr>
          <w:t>www.staffweb.legis.state.ia.us/lfb/</w:t>
        </w:r>
      </w:hyperlink>
      <w:r>
        <w:rPr>
          <w:rStyle w:val="Emphasis"/>
          <w:rFonts w:ascii="Arial" w:hAnsi="Arial" w:cs="Arial"/>
          <w:i w:val="0"/>
          <w:iCs w:val="0"/>
          <w:color w:val="000000"/>
        </w:rPr>
        <w:t>.</w:t>
      </w:r>
    </w:p>
    <w:p w:rsidR="00000000" w:rsidRDefault="00915A50">
      <w:pPr>
        <w:pStyle w:val="textup"/>
      </w:pPr>
      <w:r>
        <w:rPr>
          <w:b/>
          <w:bCs/>
          <w:i/>
          <w:iCs/>
        </w:rPr>
        <w:t>Issue Reviews</w:t>
      </w:r>
      <w:r>
        <w:rPr>
          <w:b/>
          <w:bCs/>
          <w:i/>
          <w:iCs/>
        </w:rPr>
        <w:tab/>
      </w:r>
      <w:r>
        <w:t xml:space="preserve">The following </w:t>
      </w:r>
      <w:r>
        <w:rPr>
          <w:b/>
          <w:bCs/>
          <w:i/>
          <w:iCs/>
        </w:rPr>
        <w:t>Issue Reviews</w:t>
      </w:r>
      <w:r>
        <w:t xml:space="preserve"> were rece</w:t>
      </w:r>
      <w:r>
        <w:t>ntly published on the web site:</w:t>
      </w:r>
    </w:p>
    <w:p w:rsidR="00000000" w:rsidRDefault="00915A50">
      <w:pPr>
        <w:pStyle w:val="Bulletup0"/>
      </w:pPr>
      <w:r>
        <w:t>Community Economic Betterment Account (CEBA) Update</w:t>
      </w:r>
    </w:p>
    <w:p w:rsidR="00000000" w:rsidRDefault="00915A50">
      <w:pPr>
        <w:pStyle w:val="Bulletup0"/>
      </w:pPr>
      <w:r>
        <w:t>Road Use Tax Fund Overview</w:t>
      </w:r>
    </w:p>
    <w:p w:rsidR="00000000" w:rsidRDefault="00915A50">
      <w:pPr>
        <w:pStyle w:val="Bulletup0"/>
      </w:pPr>
      <w:r>
        <w:t>Section 8.39 Appropriation Transfers (Updated November 2001)</w:t>
      </w:r>
    </w:p>
    <w:p w:rsidR="00000000" w:rsidRDefault="00915A50">
      <w:pPr>
        <w:pStyle w:val="Bulletup0"/>
      </w:pPr>
      <w:r>
        <w:t>Senior Living Trust Fund</w:t>
      </w:r>
    </w:p>
    <w:p w:rsidR="00000000" w:rsidRDefault="00915A50">
      <w:pPr>
        <w:pStyle w:val="textup"/>
      </w:pPr>
      <w:r>
        <w:rPr>
          <w:b/>
          <w:bCs/>
        </w:rPr>
        <w:t>Oversight Committee</w:t>
      </w:r>
      <w:r>
        <w:rPr>
          <w:b/>
          <w:bCs/>
        </w:rPr>
        <w:tab/>
      </w:r>
      <w:r>
        <w:t>The agenda and attachments for the Dece</w:t>
      </w:r>
      <w:r>
        <w:t xml:space="preserve">mber 12 Oversight Committee Meeting can be accessed at: </w:t>
      </w:r>
      <w:hyperlink r:id="rId37" w:history="1">
        <w:r>
          <w:rPr>
            <w:rStyle w:val="Hyperlink"/>
          </w:rPr>
          <w:t>http://staffweb.legis.state.ia.us/lfbsubcom/oversight/oversight.htm</w:t>
        </w:r>
      </w:hyperlink>
    </w:p>
    <w:p w:rsidR="00000000" w:rsidRDefault="00915A50">
      <w:pPr>
        <w:pStyle w:val="textup"/>
      </w:pPr>
      <w:r>
        <w:rPr>
          <w:b/>
          <w:bCs/>
        </w:rPr>
        <w:t xml:space="preserve">Fiscal Committee </w:t>
      </w:r>
      <w:r>
        <w:rPr>
          <w:b/>
          <w:bCs/>
        </w:rPr>
        <w:tab/>
      </w:r>
      <w:r>
        <w:t>The tentative agenda can be a</w:t>
      </w:r>
      <w:r>
        <w:t xml:space="preserve">ccessed at: </w:t>
      </w:r>
      <w:hyperlink r:id="rId38" w:history="1">
        <w:r>
          <w:rPr>
            <w:rStyle w:val="Hyperlink"/>
          </w:rPr>
          <w:t>http://staffweb.legis.state.ia.us/lfb/subcom/fiscalcomm/fiscalco.htm</w:t>
        </w:r>
      </w:hyperlink>
    </w:p>
    <w:p w:rsidR="00000000" w:rsidRDefault="00915A50">
      <w:pPr>
        <w:pStyle w:val="textup"/>
      </w:pPr>
      <w:r>
        <w:rPr>
          <w:b/>
          <w:bCs/>
        </w:rPr>
        <w:lastRenderedPageBreak/>
        <w:t>Fiscal Update</w:t>
      </w:r>
      <w:r>
        <w:t xml:space="preserve"> </w:t>
      </w:r>
      <w:r>
        <w:tab/>
        <w:t xml:space="preserve">The latest issue was published December 4: </w:t>
      </w:r>
      <w:hyperlink r:id="rId39" w:history="1">
        <w:r>
          <w:rPr>
            <w:rStyle w:val="Hyperlink"/>
          </w:rPr>
          <w:t>http://staffweb.legis.state.ia.us/lfb/fupdate/fupdate.htm</w:t>
        </w:r>
      </w:hyperlink>
    </w:p>
    <w:p w:rsidR="00000000" w:rsidRDefault="00915A50">
      <w:pPr>
        <w:pStyle w:val="textup"/>
      </w:pPr>
      <w:r>
        <w:rPr>
          <w:b/>
          <w:bCs/>
        </w:rPr>
        <w:t>Daily Receipts</w:t>
      </w:r>
      <w:r>
        <w:tab/>
        <w:t>The Daily Receipts program is updated daily with the daily</w:t>
      </w:r>
      <w:r>
        <w:rPr>
          <w:rFonts w:ascii="Verdana" w:hAnsi="Verdana"/>
          <w:b/>
          <w:bCs/>
        </w:rPr>
        <w:t xml:space="preserve"> </w:t>
      </w:r>
      <w:r>
        <w:t>deposit and withdrawal activity for all Iowa General Fund accounts is reflected i</w:t>
      </w:r>
      <w:r>
        <w:t>n the charts and data.</w:t>
      </w:r>
      <w:r>
        <w:rPr>
          <w:b/>
          <w:bCs/>
        </w:rPr>
        <w:t xml:space="preserve">  </w:t>
      </w:r>
      <w:r>
        <w:t xml:space="preserve"> </w:t>
      </w:r>
      <w:hyperlink r:id="rId40" w:history="1">
        <w:r>
          <w:rPr>
            <w:rStyle w:val="Hyperlink"/>
          </w:rPr>
          <w:t>http://staffweb.legis.state.ia.us/lfb/receipts/daily.html</w:t>
        </w:r>
      </w:hyperlink>
    </w:p>
    <w:p w:rsidR="00000000" w:rsidRDefault="00915A50">
      <w:pPr>
        <w:pStyle w:val="Contactup"/>
      </w:pPr>
      <w:r>
        <w:t>STAFF CONTACT:  Glen Dickinson (Ext. 14616)</w:t>
      </w:r>
    </w:p>
    <w:p w:rsidR="00000000" w:rsidRDefault="00915A50">
      <w:pPr>
        <w:pStyle w:val="Bulletup2"/>
        <w:numPr>
          <w:ilvl w:val="0"/>
          <w:numId w:val="0"/>
        </w:numPr>
        <w:ind w:left="648" w:hanging="288"/>
        <w:sectPr w:rsidR="00000000">
          <w:headerReference w:type="even" r:id="rId41"/>
          <w:headerReference w:type="default" r:id="rId42"/>
          <w:type w:val="continuous"/>
          <w:pgSz w:w="12240" w:h="15840" w:code="1"/>
          <w:pgMar w:top="1710" w:right="1440" w:bottom="1440" w:left="3960" w:header="720" w:footer="720" w:gutter="0"/>
          <w:cols w:space="720"/>
          <w:titlePg/>
        </w:sectPr>
      </w:pPr>
    </w:p>
    <w:p w:rsidR="00000000" w:rsidRDefault="00915A50">
      <w:pPr>
        <w:pStyle w:val="Header"/>
        <w:tabs>
          <w:tab w:val="clear" w:pos="4320"/>
          <w:tab w:val="clear" w:pos="8640"/>
        </w:tabs>
      </w:pPr>
    </w:p>
    <w:p w:rsidR="00000000" w:rsidRDefault="00915A50">
      <w:pPr>
        <w:pStyle w:val="Header"/>
        <w:tabs>
          <w:tab w:val="clear" w:pos="4320"/>
          <w:tab w:val="clear" w:pos="8640"/>
        </w:tabs>
      </w:pPr>
    </w:p>
    <w:p w:rsidR="00000000" w:rsidRDefault="00915A50">
      <w:pPr>
        <w:pStyle w:val="Header"/>
        <w:tabs>
          <w:tab w:val="clear" w:pos="4320"/>
          <w:tab w:val="clear" w:pos="8640"/>
        </w:tabs>
      </w:pPr>
    </w:p>
    <w:p w:rsidR="00000000" w:rsidRDefault="00915A50">
      <w:pPr>
        <w:pStyle w:val="Header"/>
        <w:tabs>
          <w:tab w:val="clear" w:pos="4320"/>
          <w:tab w:val="clear" w:pos="8640"/>
        </w:tabs>
      </w:pPr>
      <w:r>
        <w:t>This document can be found on the LFB web site:</w:t>
      </w:r>
    </w:p>
    <w:p w:rsidR="00000000" w:rsidRDefault="00915A50">
      <w:pPr>
        <w:pStyle w:val="Header"/>
        <w:tabs>
          <w:tab w:val="clear" w:pos="4320"/>
          <w:tab w:val="clear" w:pos="8640"/>
        </w:tabs>
      </w:pPr>
      <w:hyperlink r:id="rId43" w:history="1">
        <w:r>
          <w:rPr>
            <w:rStyle w:val="Hyperlink"/>
          </w:rPr>
          <w:t>http://staffweb.legis.state.ia.us/lfb/fupdate/fupdate.htm</w:t>
        </w:r>
      </w:hyperlink>
    </w:p>
    <w:p w:rsidR="00000000" w:rsidRDefault="00915A50">
      <w:pPr>
        <w:pStyle w:val="Header"/>
        <w:tabs>
          <w:tab w:val="clear" w:pos="4320"/>
          <w:tab w:val="clear" w:pos="8640"/>
        </w:tabs>
      </w:pPr>
    </w:p>
    <w:p w:rsidR="00000000" w:rsidRDefault="00915A50">
      <w:pPr>
        <w:pStyle w:val="Header"/>
        <w:tabs>
          <w:tab w:val="clear" w:pos="4320"/>
          <w:tab w:val="clear" w:pos="8640"/>
        </w:tabs>
      </w:pPr>
    </w:p>
    <w:p w:rsidR="00000000" w:rsidRDefault="00915A50">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915A50">
      <w:r>
        <w:separator/>
      </w:r>
    </w:p>
  </w:endnote>
  <w:endnote w:type="continuationSeparator" w:id="1">
    <w:p w:rsidR="00000000" w:rsidRDefault="00915A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915A50">
      <w:r>
        <w:separator/>
      </w:r>
    </w:p>
  </w:footnote>
  <w:footnote w:type="continuationSeparator" w:id="1">
    <w:p w:rsidR="00000000" w:rsidRDefault="00915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5A50">
    <w:pPr>
      <w:pStyle w:val="PageE"/>
    </w:pPr>
    <w:r>
      <w:t>FISCAL UPDATE</w:t>
    </w:r>
  </w:p>
  <w:p w:rsidR="00000000" w:rsidRDefault="00915A50">
    <w:pPr>
      <w:pStyle w:val="PageE"/>
    </w:pPr>
    <w:bookmarkStart w:id="15" w:name="HeaderEvenLockDate"/>
    <w:r>
      <w:rPr>
        <w:noProof/>
      </w:rPr>
      <w:pict>
        <v:line id="_x0000_s2049" style="position:absolute;left:0;text-align:left;z-index:251657216" from="-2in,21.4pt" to="345.6pt,21.4pt" o:allowincell="f" strokeweight="2pt"/>
      </w:pict>
    </w:r>
    <w:r>
      <w:rPr>
        <w:noProof/>
      </w:rPr>
      <w:t>December 10, 2001</w:t>
    </w:r>
    <w:bookmarkEnd w:id="15"/>
    <w:r>
      <w:tab/>
    </w:r>
    <w:r>
      <w:rPr>
        <w:b w:val="0"/>
      </w:rPr>
      <w:fldChar w:fldCharType="begin"/>
    </w:r>
    <w:r>
      <w:rPr>
        <w:b w:val="0"/>
      </w:rPr>
      <w:instrText xml:space="preserve"> PAGE </w:instrText>
    </w:r>
    <w:r>
      <w:rPr>
        <w:b w:val="0"/>
      </w:rPr>
      <w:fldChar w:fldCharType="separate"/>
    </w:r>
    <w:r>
      <w:rPr>
        <w:b w:val="0"/>
        <w:noProof/>
      </w:rPr>
      <w:t>14</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5A50">
    <w:pPr>
      <w:pStyle w:val="PageO"/>
      <w:rPr>
        <w:b/>
      </w:rPr>
    </w:pPr>
    <w:r>
      <w:rPr>
        <w:b/>
      </w:rPr>
      <w:t>FISCAL UPDATE</w:t>
    </w:r>
  </w:p>
  <w:p w:rsidR="00000000" w:rsidRDefault="00915A50">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
      </w:rPr>
      <w:fldChar w:fldCharType="begin"/>
    </w:r>
    <w:r>
      <w:rPr>
        <w:b/>
      </w:rPr>
      <w:instrText xml:space="preserve"> PAGE </w:instrText>
    </w:r>
    <w:r>
      <w:rPr>
        <w:b/>
      </w:rPr>
      <w:fldChar w:fldCharType="separate"/>
    </w:r>
    <w:r>
      <w:rPr>
        <w:b/>
        <w:noProof/>
      </w:rPr>
      <w:t>15</w:t>
    </w:r>
    <w:r>
      <w:rPr>
        <w:b/>
      </w:rPr>
      <w:fldChar w:fldCharType="end"/>
    </w:r>
    <w:r>
      <w:rPr>
        <w:b/>
      </w:rPr>
      <w:t xml:space="preserve">  </w:t>
    </w:r>
    <w:r>
      <w:rPr>
        <w:b/>
      </w:rPr>
      <w:tab/>
      <w:t xml:space="preserve">                              </w:t>
    </w:r>
    <w:r>
      <w:rPr>
        <w:b/>
        <w:noProof/>
      </w:rPr>
      <w:t>December 10, 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DD7440"/>
    <w:multiLevelType w:val="singleLevel"/>
    <w:tmpl w:val="AC48B9B8"/>
    <w:lvl w:ilvl="0">
      <w:start w:val="1"/>
      <w:numFmt w:val="bullet"/>
      <w:pStyle w:val="Bulletup1"/>
      <w:lvlText w:val=""/>
      <w:lvlJc w:val="left"/>
      <w:pPr>
        <w:tabs>
          <w:tab w:val="num" w:pos="792"/>
        </w:tabs>
        <w:ind w:left="792" w:hanging="432"/>
      </w:pPr>
      <w:rPr>
        <w:rFonts w:ascii="Symbol" w:hAnsi="Symbol" w:hint="default"/>
        <w:sz w:val="14"/>
      </w:rPr>
    </w:lvl>
  </w:abstractNum>
  <w:abstractNum w:abstractNumId="2">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3">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4">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5">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6">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7">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8">
    <w:nsid w:val="31E73A31"/>
    <w:multiLevelType w:val="singleLevel"/>
    <w:tmpl w:val="CBC28EB6"/>
    <w:lvl w:ilvl="0">
      <w:start w:val="1"/>
      <w:numFmt w:val="bullet"/>
      <w:pStyle w:val="bulletup"/>
      <w:lvlText w:val=""/>
      <w:lvlJc w:val="left"/>
      <w:pPr>
        <w:tabs>
          <w:tab w:val="num" w:pos="360"/>
        </w:tabs>
        <w:ind w:left="360" w:hanging="360"/>
      </w:pPr>
      <w:rPr>
        <w:rFonts w:ascii="Wingdings" w:hAnsi="Wingdings" w:cs="Times New Roman" w:hint="default"/>
        <w:sz w:val="16"/>
        <w:szCs w:val="16"/>
      </w:rPr>
    </w:lvl>
  </w:abstractNum>
  <w:abstractNum w:abstractNumId="9">
    <w:nsid w:val="37B60705"/>
    <w:multiLevelType w:val="singleLevel"/>
    <w:tmpl w:val="1D524174"/>
    <w:lvl w:ilvl="0">
      <w:start w:val="1"/>
      <w:numFmt w:val="bullet"/>
      <w:lvlText w:val=""/>
      <w:lvlJc w:val="left"/>
      <w:pPr>
        <w:tabs>
          <w:tab w:val="num" w:pos="360"/>
        </w:tabs>
        <w:ind w:left="360" w:hanging="360"/>
      </w:pPr>
      <w:rPr>
        <w:rFonts w:ascii="Symbol" w:hAnsi="Symbol" w:hint="default"/>
        <w:sz w:val="18"/>
      </w:rPr>
    </w:lvl>
  </w:abstractNum>
  <w:abstractNum w:abstractNumId="10">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1">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2">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3">
    <w:nsid w:val="536C2EEE"/>
    <w:multiLevelType w:val="singleLevel"/>
    <w:tmpl w:val="B6882B76"/>
    <w:lvl w:ilvl="0">
      <w:start w:val="1"/>
      <w:numFmt w:val="bullet"/>
      <w:pStyle w:val="Bulletup0"/>
      <w:lvlText w:val=""/>
      <w:lvlJc w:val="left"/>
      <w:pPr>
        <w:tabs>
          <w:tab w:val="num" w:pos="360"/>
        </w:tabs>
        <w:ind w:left="360" w:hanging="360"/>
      </w:pPr>
      <w:rPr>
        <w:rFonts w:ascii="Symbol" w:hAnsi="Symbol" w:hint="default"/>
        <w:sz w:val="18"/>
      </w:rPr>
    </w:lvl>
  </w:abstractNum>
  <w:num w:numId="1">
    <w:abstractNumId w:val="4"/>
  </w:num>
  <w:num w:numId="2">
    <w:abstractNumId w:val="5"/>
  </w:num>
  <w:num w:numId="3">
    <w:abstractNumId w:val="5"/>
  </w:num>
  <w:num w:numId="4">
    <w:abstractNumId w:val="5"/>
  </w:num>
  <w:num w:numId="5">
    <w:abstractNumId w:val="5"/>
  </w:num>
  <w:num w:numId="6">
    <w:abstractNumId w:val="3"/>
  </w:num>
  <w:num w:numId="7">
    <w:abstractNumId w:val="5"/>
  </w:num>
  <w:num w:numId="8">
    <w:abstractNumId w:val="5"/>
  </w:num>
  <w:num w:numId="9">
    <w:abstractNumId w:val="10"/>
  </w:num>
  <w:num w:numId="10">
    <w:abstractNumId w:val="6"/>
  </w:num>
  <w:num w:numId="11">
    <w:abstractNumId w:val="2"/>
  </w:num>
  <w:num w:numId="12">
    <w:abstractNumId w:val="12"/>
  </w:num>
  <w:num w:numId="13">
    <w:abstractNumId w:val="13"/>
  </w:num>
  <w:num w:numId="14">
    <w:abstractNumId w:val="11"/>
  </w:num>
  <w:num w:numId="15">
    <w:abstractNumId w:val="9"/>
  </w:num>
  <w:num w:numId="16">
    <w:abstractNumId w:val="7"/>
  </w:num>
  <w:num w:numId="17">
    <w:abstractNumId w:val="1"/>
  </w:num>
  <w:num w:numId="18">
    <w:abstractNumId w:val="0"/>
    <w:lvlOverride w:ilvl="0">
      <w:lvl w:ilvl="0">
        <w:start w:val="1"/>
        <w:numFmt w:val="bullet"/>
        <w:lvlText w:val=""/>
        <w:legacy w:legacy="1" w:legacySpace="0" w:legacyIndent="360"/>
        <w:lvlJc w:val="left"/>
        <w:pPr>
          <w:ind w:left="360" w:hanging="360"/>
        </w:pPr>
        <w:rPr>
          <w:rFonts w:ascii="Symbol" w:hAnsi="Symbol" w:cs="Times New Roman" w:hint="default"/>
          <w:sz w:val="18"/>
          <w:szCs w:val="18"/>
        </w:rPr>
      </w:lvl>
    </w:lvlOverride>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7" w:nlCheck="1" w:checkStyle="1"/>
  <w:activeWritingStyle w:appName="MSWord" w:lang="en-US" w:vendorID="64" w:dllVersion="131078" w:nlCheck="1" w:checkStyle="1"/>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15A50"/>
    <w:rsid w:val="00915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0"/>
    <w:autoRedefine/>
    <w:pPr>
      <w:numPr>
        <w:numId w:val="17"/>
      </w:numPr>
      <w:tabs>
        <w:tab w:val="clear" w:pos="792"/>
        <w:tab w:val="num" w:pos="720"/>
      </w:tabs>
      <w:ind w:left="720" w:hanging="36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0">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0"/>
    <w:pPr>
      <w:numPr>
        <w:numId w:val="8"/>
      </w:numPr>
      <w:tabs>
        <w:tab w:val="clear" w:pos="720"/>
        <w:tab w:val="num" w:pos="792"/>
      </w:tabs>
      <w:ind w:left="792" w:hanging="432"/>
    </w:pPr>
  </w:style>
  <w:style w:type="paragraph" w:customStyle="1" w:styleId="Style1">
    <w:name w:val="Style1"/>
    <w:basedOn w:val="Bulletup0"/>
  </w:style>
  <w:style w:type="paragraph" w:customStyle="1" w:styleId="Style2">
    <w:name w:val="Style2"/>
    <w:basedOn w:val="Bulletup0"/>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
    <w:name w:val="bulletup"/>
    <w:pPr>
      <w:numPr>
        <w:numId w:val="19"/>
      </w:numPr>
      <w:autoSpaceDE w:val="0"/>
      <w:autoSpaceDN w:val="0"/>
      <w:spacing w:after="200"/>
    </w:pPr>
    <w:rPr>
      <w:rFonts w:ascii="Univers" w:hAnsi="Univers"/>
      <w:sz w:val="18"/>
      <w:szCs w:val="18"/>
    </w:rPr>
  </w:style>
  <w:style w:type="character" w:styleId="Hyperlink">
    <w:name w:val="Hyperlink"/>
    <w:basedOn w:val="DefaultParagraphFont"/>
    <w:semiHidden/>
    <w:rPr>
      <w:color w:val="0000FF"/>
      <w:u w:val="single"/>
    </w:rPr>
  </w:style>
  <w:style w:type="character" w:styleId="Emphasis">
    <w:name w:val="Emphasis"/>
    <w:basedOn w:val="DefaultParagraphFont"/>
    <w:qFormat/>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8.png"/><Relationship Id="rId39" Type="http://schemas.openxmlformats.org/officeDocument/2006/relationships/hyperlink" Target="http://staffweb.legis.state.ia.us/lfb/fupdate/fupdate.htm" TargetMode="External"/><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hyperlink" Target="http://www.adobe.com/products/acrobat/readstep.html" TargetMode="External"/><Relationship Id="rId42" Type="http://schemas.openxmlformats.org/officeDocument/2006/relationships/header" Target="header2.xml"/><Relationship Id="rId7" Type="http://schemas.openxmlformats.org/officeDocument/2006/relationships/hyperlink" Target="http://staffweb.legis.state.ia.us/lfb/"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7.png"/><Relationship Id="rId33" Type="http://schemas.openxmlformats.org/officeDocument/2006/relationships/hyperlink" Target="http://www.icn.state.ia.us/about/clickmap/clickmap.htm" TargetMode="External"/><Relationship Id="rId38" Type="http://schemas.openxmlformats.org/officeDocument/2006/relationships/hyperlink" Target="http://staffweb.legis.state.ia.us/lfb/subcom/fiscalcomm/fiscalco.htm"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21.wmf"/><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hyperlink" Target="http://staffweb.legis.state.ia.us/lfbsubcom/oversight/oversight.htm" TargetMode="External"/><Relationship Id="rId40" Type="http://schemas.openxmlformats.org/officeDocument/2006/relationships/hyperlink" Target="http://staffweb.legis.state.ia.us/lfb/receipts/daily.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wmf"/><Relationship Id="rId28" Type="http://schemas.openxmlformats.org/officeDocument/2006/relationships/image" Target="media/image20.png"/><Relationship Id="rId36" Type="http://schemas.openxmlformats.org/officeDocument/2006/relationships/hyperlink" Target="http://www.staffweb.legis.state.ia.us/lfb/" TargetMode="Externa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3.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oleObject" Target="embeddings/Microsoft_Office_Excel_97-2003_Worksheet1.xls"/><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hyperlink" Target="http://www.staffweb.legis.state.ia.us/lfb" TargetMode="External"/><Relationship Id="rId43" Type="http://schemas.openxmlformats.org/officeDocument/2006/relationships/hyperlink" Target="http://staffweb.legis.state.ia.us/lfb/fupdate/fupdat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15</Pages>
  <Words>4834</Words>
  <Characters>27555</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32325</CharactersWithSpaces>
  <SharedDoc>false</SharedDoc>
  <HLinks>
    <vt:vector size="66" baseType="variant">
      <vt:variant>
        <vt:i4>2031699</vt:i4>
      </vt:variant>
      <vt:variant>
        <vt:i4>27</vt:i4>
      </vt:variant>
      <vt:variant>
        <vt:i4>0</vt:i4>
      </vt:variant>
      <vt:variant>
        <vt:i4>5</vt:i4>
      </vt:variant>
      <vt:variant>
        <vt:lpwstr>http://staffweb.legis.state.ia.us/lfb/fupdate/fupdate.htm</vt:lpwstr>
      </vt:variant>
      <vt:variant>
        <vt:lpwstr/>
      </vt:variant>
      <vt:variant>
        <vt:i4>1572943</vt:i4>
      </vt:variant>
      <vt:variant>
        <vt:i4>24</vt:i4>
      </vt:variant>
      <vt:variant>
        <vt:i4>0</vt:i4>
      </vt:variant>
      <vt:variant>
        <vt:i4>5</vt:i4>
      </vt:variant>
      <vt:variant>
        <vt:lpwstr>http://staffweb.legis.state.ia.us/lfb/receipts/daily.html</vt:lpwstr>
      </vt:variant>
      <vt:variant>
        <vt:lpwstr/>
      </vt:variant>
      <vt:variant>
        <vt:i4>2031699</vt:i4>
      </vt:variant>
      <vt:variant>
        <vt:i4>21</vt:i4>
      </vt:variant>
      <vt:variant>
        <vt:i4>0</vt:i4>
      </vt:variant>
      <vt:variant>
        <vt:i4>5</vt:i4>
      </vt:variant>
      <vt:variant>
        <vt:lpwstr>http://staffweb.legis.state.ia.us/lfb/fupdate/fupdate.htm</vt:lpwstr>
      </vt:variant>
      <vt:variant>
        <vt:lpwstr/>
      </vt:variant>
      <vt:variant>
        <vt:i4>4718659</vt:i4>
      </vt:variant>
      <vt:variant>
        <vt:i4>18</vt:i4>
      </vt:variant>
      <vt:variant>
        <vt:i4>0</vt:i4>
      </vt:variant>
      <vt:variant>
        <vt:i4>5</vt:i4>
      </vt:variant>
      <vt:variant>
        <vt:lpwstr>http://staffweb.legis.state.ia.us/lfb/subcom/fiscalcomm/fiscalco.htm</vt:lpwstr>
      </vt:variant>
      <vt:variant>
        <vt:lpwstr/>
      </vt:variant>
      <vt:variant>
        <vt:i4>6357032</vt:i4>
      </vt:variant>
      <vt:variant>
        <vt:i4>15</vt:i4>
      </vt:variant>
      <vt:variant>
        <vt:i4>0</vt:i4>
      </vt:variant>
      <vt:variant>
        <vt:i4>5</vt:i4>
      </vt:variant>
      <vt:variant>
        <vt:lpwstr>http://staffweb.legis.state.ia.us/lfbsubcom/oversight/oversight.htm</vt:lpwstr>
      </vt:variant>
      <vt:variant>
        <vt:lpwstr/>
      </vt:variant>
      <vt:variant>
        <vt:i4>6946914</vt:i4>
      </vt:variant>
      <vt:variant>
        <vt:i4>12</vt:i4>
      </vt:variant>
      <vt:variant>
        <vt:i4>0</vt:i4>
      </vt:variant>
      <vt:variant>
        <vt:i4>5</vt:i4>
      </vt:variant>
      <vt:variant>
        <vt:lpwstr>http://www.staffweb.legis.state.ia.us/lfb/</vt:lpwstr>
      </vt:variant>
      <vt:variant>
        <vt:lpwstr/>
      </vt:variant>
      <vt:variant>
        <vt:i4>4521984</vt:i4>
      </vt:variant>
      <vt:variant>
        <vt:i4>9</vt:i4>
      </vt:variant>
      <vt:variant>
        <vt:i4>0</vt:i4>
      </vt:variant>
      <vt:variant>
        <vt:i4>5</vt:i4>
      </vt:variant>
      <vt:variant>
        <vt:lpwstr>http://www.staffweb.legis.state.ia.us/lfb</vt:lpwstr>
      </vt:variant>
      <vt:variant>
        <vt:lpwstr/>
      </vt:variant>
      <vt:variant>
        <vt:i4>3997796</vt:i4>
      </vt:variant>
      <vt:variant>
        <vt:i4>6</vt:i4>
      </vt:variant>
      <vt:variant>
        <vt:i4>0</vt:i4>
      </vt:variant>
      <vt:variant>
        <vt:i4>5</vt:i4>
      </vt:variant>
      <vt:variant>
        <vt:lpwstr>http://www.adobe.com/products/acrobat/readstep.html</vt:lpwstr>
      </vt:variant>
      <vt:variant>
        <vt:lpwstr/>
      </vt:variant>
      <vt:variant>
        <vt:i4>2949240</vt:i4>
      </vt:variant>
      <vt:variant>
        <vt:i4>3</vt:i4>
      </vt:variant>
      <vt:variant>
        <vt:i4>0</vt:i4>
      </vt:variant>
      <vt:variant>
        <vt:i4>5</vt:i4>
      </vt:variant>
      <vt:variant>
        <vt:lpwstr>http://www.icn.state.ia.us/about/clickmap/clickmap.htm</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3014772</vt:i4>
      </vt:variant>
      <vt:variant>
        <vt:i4>-1</vt:i4>
      </vt:variant>
      <vt:variant>
        <vt:i4>1034</vt:i4>
      </vt:variant>
      <vt:variant>
        <vt:i4>1</vt:i4>
      </vt:variant>
      <vt:variant>
        <vt:lpwstr>C:\Program Files\Microsoft Office\Clipart\smbusbas\bd20079_.wmf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Support Bureau</dc:creator>
  <cp:keywords/>
  <dc:description/>
  <cp:lastModifiedBy>Margaret Noon</cp:lastModifiedBy>
  <cp:revision>2</cp:revision>
  <cp:lastPrinted>2001-12-10T20:25:00Z</cp:lastPrinted>
  <dcterms:created xsi:type="dcterms:W3CDTF">2009-09-23T19:30:00Z</dcterms:created>
  <dcterms:modified xsi:type="dcterms:W3CDTF">2009-09-23T19:30:00Z</dcterms:modified>
</cp:coreProperties>
</file>