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87559">
      <w:pPr>
        <w:pStyle w:val="Titleup"/>
        <w:framePr w:wrap="around" w:y="-989" w:anchorLock="1"/>
        <w:shd w:val="pct20" w:color="auto" w:fill="FFFFFF"/>
        <w:tabs>
          <w:tab w:val="left" w:pos="900"/>
          <w:tab w:val="right" w:pos="11347"/>
        </w:tabs>
        <w:rPr>
          <w:sz w:val="36"/>
        </w:rPr>
      </w:pPr>
      <w:r>
        <w:tab/>
        <w:t>FISCAL UPDATE</w:t>
      </w:r>
      <w:r>
        <w:tab/>
      </w:r>
      <w:r>
        <w:rPr>
          <w:sz w:val="36"/>
        </w:rPr>
        <w:t>March 22, 2001</w:t>
      </w:r>
    </w:p>
    <w:p w:rsidR="00000000" w:rsidRDefault="00D87559">
      <w:pPr>
        <w:pStyle w:val="Title3up"/>
        <w:framePr w:wrap="around" w:y="-989" w:anchorLock="1"/>
        <w:shd w:val="pct20" w:color="auto" w:fill="FFFFFF"/>
        <w:spacing w:after="0"/>
        <w:ind w:left="720"/>
        <w:rPr>
          <w:sz w:val="24"/>
        </w:rPr>
      </w:pPr>
      <w:r>
        <w:rPr>
          <w:noProof/>
        </w:rPr>
        <w:pict>
          <v:line id="_x0000_s1026" style="position:absolute;left:0;text-align:left;z-index:251641856" from="40.05pt,1.35pt" to="572.85pt,1.35pt" o:allowincell="f" strokeweight="2pt"/>
        </w:pict>
      </w:r>
      <w:r>
        <w:tab/>
        <w:t>Legislative Fiscal Bureau</w:t>
      </w:r>
      <w:r>
        <w:tab/>
      </w:r>
      <w:r>
        <w:rPr>
          <w:sz w:val="24"/>
        </w:rPr>
        <w:t xml:space="preserve">(515)-281-5279 FAX 281-8451 </w:t>
      </w:r>
    </w:p>
    <w:p w:rsidR="00000000" w:rsidRDefault="00D87559">
      <w:pPr>
        <w:pStyle w:val="Title3up"/>
        <w:framePr w:wrap="around" w:y="-989" w:anchorLock="1"/>
        <w:shd w:val="pct20" w:color="auto" w:fill="FFFFFF"/>
        <w:spacing w:after="100"/>
        <w:ind w:left="720"/>
        <w:rPr>
          <w:sz w:val="24"/>
        </w:rPr>
      </w:pPr>
      <w:r>
        <w:tab/>
      </w:r>
      <w:r>
        <w:tab/>
      </w:r>
      <w:hyperlink r:id="rId7" w:history="1">
        <w:r>
          <w:rPr>
            <w:rStyle w:val="Hyperlink"/>
            <w:sz w:val="20"/>
          </w:rPr>
          <w:t>http://staffweb.legis.state.ia.us/lfb/</w:t>
        </w:r>
      </w:hyperlink>
    </w:p>
    <w:p w:rsidR="00000000" w:rsidRDefault="00D87559">
      <w:pPr>
        <w:pStyle w:val="textup"/>
        <w:spacing w:after="0"/>
        <w:jc w:val="center"/>
        <w:rPr>
          <w:b/>
          <w:i/>
          <w:sz w:val="52"/>
        </w:rPr>
      </w:pPr>
      <w:r>
        <w:rPr>
          <w:b/>
          <w:i/>
          <w:sz w:val="52"/>
        </w:rPr>
        <w:t>****Special Edition****</w:t>
      </w:r>
    </w:p>
    <w:p w:rsidR="00000000" w:rsidRDefault="00D87559">
      <w:pPr>
        <w:pStyle w:val="textup"/>
        <w:spacing w:before="0"/>
        <w:jc w:val="center"/>
        <w:rPr>
          <w:b/>
          <w:i/>
          <w:sz w:val="44"/>
        </w:rPr>
      </w:pPr>
      <w:r>
        <w:rPr>
          <w:b/>
          <w:i/>
          <w:sz w:val="44"/>
        </w:rPr>
        <w:t>The State’s FY 2001 &amp; FY 2002 Budget</w:t>
      </w:r>
    </w:p>
    <w:p w:rsidR="00000000" w:rsidRDefault="00D87559">
      <w:pPr>
        <w:framePr w:hSpace="180" w:wrap="around" w:vAnchor="text" w:hAnchor="page" w:x="1297" w:y="1245"/>
      </w:pPr>
      <w:r>
        <w:rPr>
          <w:noProof/>
        </w:rPr>
        <w:drawing>
          <wp:inline distT="0" distB="0" distL="0" distR="0">
            <wp:extent cx="685800" cy="590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000000" w:rsidRDefault="00D87559">
      <w:pPr>
        <w:pStyle w:val="textup"/>
      </w:pPr>
      <w:r>
        <w:rPr>
          <w:b/>
        </w:rPr>
        <w:t>Revenue E</w:t>
      </w:r>
      <w:r>
        <w:rPr>
          <w:b/>
        </w:rPr>
        <w:t>stimates Lowered</w:t>
      </w:r>
      <w:r>
        <w:tab/>
        <w:t>The recent downturn in State revenues and weakening economy has resulted in the Revenue Estimating Conference (REC) revising and lowering FY 2001 and FY 2002 net General Fund receipts by $165.0 million and $163.2 million, respectively.  Th</w:t>
      </w:r>
      <w:r>
        <w:t>ese estimates are used by the Governor and the Legislature in preparing and enacting the State budget.  For the first time since the Expenditure Limitation Act was enacted in 1991, the Governor will be required to resubmit a budget using the lower REC esti</w:t>
      </w:r>
      <w:r>
        <w:t xml:space="preserve">mate for FY 2002.   This </w:t>
      </w:r>
      <w:r>
        <w:rPr>
          <w:b/>
          <w:i/>
        </w:rPr>
        <w:t>Special Edition</w:t>
      </w:r>
      <w:r>
        <w:t xml:space="preserve"> of the </w:t>
      </w:r>
      <w:r>
        <w:rPr>
          <w:b/>
        </w:rPr>
        <w:t>Fiscal Update</w:t>
      </w:r>
      <w:r>
        <w:t xml:space="preserve"> is a collection of articles related to the current year’s State budget (FY 2001), as well as articles discussing the FY 2002 budget.  The information is designed to provide answers to a variety </w:t>
      </w:r>
      <w:r>
        <w:t>of questions, such as:</w:t>
      </w:r>
    </w:p>
    <w:p w:rsidR="00000000" w:rsidRDefault="00D87559">
      <w:pPr>
        <w:pStyle w:val="Bulletup"/>
        <w:spacing w:after="120"/>
      </w:pPr>
      <w:r>
        <w:t>What are the new REC estimates? (pg. 1)</w:t>
      </w:r>
    </w:p>
    <w:p w:rsidR="00000000" w:rsidRDefault="00D87559">
      <w:pPr>
        <w:pStyle w:val="Bulletup"/>
        <w:spacing w:after="120"/>
      </w:pPr>
      <w:r>
        <w:t>How much were they revised?  Why? Where are the shortages? (pg. 2)</w:t>
      </w:r>
    </w:p>
    <w:p w:rsidR="00000000" w:rsidRDefault="00D87559">
      <w:pPr>
        <w:pStyle w:val="Bulletup"/>
        <w:spacing w:after="120"/>
      </w:pPr>
      <w:r>
        <w:t>What is the current projected condition of the General Fund for FY 2001 (balance sheet)? (pg. 6)</w:t>
      </w:r>
    </w:p>
    <w:p w:rsidR="00000000" w:rsidRDefault="00D87559">
      <w:pPr>
        <w:pStyle w:val="Bulletup"/>
        <w:spacing w:after="120"/>
      </w:pPr>
      <w:r>
        <w:t>What about the “Reserve Funds</w:t>
      </w:r>
      <w:r>
        <w:t>”, the Cash Reserve Fund and the Economic Emergency Fund? (pg. 8)</w:t>
      </w:r>
    </w:p>
    <w:p w:rsidR="00000000" w:rsidRDefault="00D87559">
      <w:pPr>
        <w:pStyle w:val="Bulletup"/>
        <w:spacing w:after="120"/>
        <w:ind w:right="-90"/>
      </w:pPr>
      <w:r>
        <w:t>What is the national fiscal outlook?  What’s happening in other states? (pg. 9)</w:t>
      </w:r>
    </w:p>
    <w:p w:rsidR="00000000" w:rsidRDefault="00D87559">
      <w:pPr>
        <w:pStyle w:val="Bulletup"/>
        <w:spacing w:after="120"/>
      </w:pPr>
      <w:r>
        <w:t>How have the “built-in expenditures” for FY 2002 been revised? (pg. 13)</w:t>
      </w:r>
    </w:p>
    <w:p w:rsidR="00000000" w:rsidRDefault="00D87559">
      <w:pPr>
        <w:pStyle w:val="Bulletup"/>
        <w:spacing w:after="120"/>
        <w:ind w:right="-180"/>
      </w:pPr>
      <w:r>
        <w:t>When will the Governor submit a revise</w:t>
      </w:r>
      <w:r>
        <w:t>d budget?  What are his plans? (pg. 14)</w:t>
      </w:r>
    </w:p>
    <w:p w:rsidR="00000000" w:rsidRDefault="00D87559">
      <w:pPr>
        <w:pStyle w:val="Bulletup"/>
        <w:spacing w:after="120"/>
      </w:pPr>
      <w:r>
        <w:t>What is the impact of a 6.0% budget reduction for FY 2002, as identified recently by the Governor? (pg. 16)</w:t>
      </w:r>
    </w:p>
    <w:tbl>
      <w:tblP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D87559">
            <w:pPr>
              <w:pStyle w:val="ISSUE"/>
              <w:framePr w:w="0" w:hRule="auto" w:hSpace="187" w:wrap="around" w:x="1275" w:y="2748" w:anchorLock="1"/>
              <w:ind w:left="346" w:hanging="346"/>
              <w:rPr>
                <w:b/>
              </w:rPr>
            </w:pPr>
          </w:p>
        </w:tc>
        <w:tc>
          <w:tcPr>
            <w:tcW w:w="4230" w:type="dxa"/>
          </w:tcPr>
          <w:p w:rsidR="00000000" w:rsidRDefault="00D87559">
            <w:pPr>
              <w:pStyle w:val="ISSUE"/>
              <w:framePr w:w="0" w:hRule="auto" w:hSpace="187" w:wrap="around" w:x="1275" w:y="2748" w:anchorLock="1"/>
              <w:ind w:left="346" w:hanging="346"/>
            </w:pPr>
          </w:p>
        </w:tc>
        <w:tc>
          <w:tcPr>
            <w:tcW w:w="4680" w:type="dxa"/>
            <w:tcBorders>
              <w:top w:val="single" w:sz="6" w:space="0" w:color="auto"/>
              <w:bottom w:val="nil"/>
              <w:right w:val="single" w:sz="6" w:space="0" w:color="auto"/>
            </w:tcBorders>
          </w:tcPr>
          <w:p w:rsidR="00000000" w:rsidRDefault="00D87559">
            <w:pPr>
              <w:pStyle w:val="ISSUE"/>
              <w:framePr w:w="0" w:hRule="auto" w:hSpace="187" w:wrap="around" w:x="1275" w:y="2748" w:anchorLock="1"/>
              <w:ind w:left="346" w:hanging="346"/>
            </w:pPr>
          </w:p>
        </w:tc>
      </w:tr>
      <w:tr w:rsidR="00000000">
        <w:tblPrEx>
          <w:tblCellMar>
            <w:top w:w="0" w:type="dxa"/>
            <w:bottom w:w="0" w:type="dxa"/>
          </w:tblCellMar>
        </w:tblPrEx>
        <w:tc>
          <w:tcPr>
            <w:tcW w:w="1548" w:type="dxa"/>
          </w:tcPr>
          <w:p w:rsidR="00000000" w:rsidRDefault="00D87559">
            <w:pPr>
              <w:pStyle w:val="ISSUE"/>
              <w:framePr w:w="0" w:hRule="auto" w:hSpace="187" w:wrap="around" w:x="1275" w:y="2748" w:anchorLock="1"/>
              <w:ind w:left="346" w:hanging="346"/>
              <w:rPr>
                <w:b/>
                <w:u w:val="single"/>
              </w:rPr>
            </w:pPr>
            <w:r>
              <w:rPr>
                <w:b/>
                <w:u w:val="single"/>
              </w:rPr>
              <w:t>IN THIS ISSUE:</w:t>
            </w:r>
          </w:p>
        </w:tc>
        <w:tc>
          <w:tcPr>
            <w:tcW w:w="4230" w:type="dxa"/>
          </w:tcPr>
          <w:p w:rsidR="00000000" w:rsidRDefault="00D87559">
            <w:pPr>
              <w:pStyle w:val="ISSUE"/>
              <w:framePr w:w="0" w:hRule="auto" w:hSpace="187" w:wrap="around" w:x="1275" w:y="2748" w:anchorLock="1"/>
              <w:ind w:left="346" w:hanging="346"/>
            </w:pPr>
            <w:r>
              <w:t>Revenue Estimates Lowered, pg. 1</w:t>
            </w:r>
          </w:p>
        </w:tc>
        <w:tc>
          <w:tcPr>
            <w:tcW w:w="4680" w:type="dxa"/>
            <w:tcBorders>
              <w:top w:val="nil"/>
              <w:bottom w:val="nil"/>
              <w:right w:val="single" w:sz="6" w:space="0" w:color="auto"/>
            </w:tcBorders>
          </w:tcPr>
          <w:p w:rsidR="00000000" w:rsidRDefault="00D87559">
            <w:pPr>
              <w:pStyle w:val="ISSUE"/>
              <w:framePr w:w="0" w:hRule="auto" w:hSpace="187" w:wrap="around" w:x="1275" w:y="2748" w:anchorLock="1"/>
              <w:ind w:left="346" w:hanging="346"/>
            </w:pPr>
            <w:r>
              <w:t>Built-in and Anticipated Expenditures, pg. 13</w:t>
            </w:r>
          </w:p>
        </w:tc>
      </w:tr>
      <w:tr w:rsidR="00000000">
        <w:tblPrEx>
          <w:tblCellMar>
            <w:top w:w="0" w:type="dxa"/>
            <w:bottom w:w="0" w:type="dxa"/>
          </w:tblCellMar>
        </w:tblPrEx>
        <w:tc>
          <w:tcPr>
            <w:tcW w:w="1548" w:type="dxa"/>
          </w:tcPr>
          <w:p w:rsidR="00000000" w:rsidRDefault="00D87559">
            <w:pPr>
              <w:pStyle w:val="ISSUE"/>
              <w:framePr w:w="0" w:hRule="auto" w:hSpace="187" w:wrap="around" w:x="1275" w:y="2748" w:anchorLock="1"/>
              <w:ind w:left="346" w:hanging="346"/>
              <w:rPr>
                <w:u w:val="single"/>
              </w:rPr>
            </w:pPr>
          </w:p>
        </w:tc>
        <w:tc>
          <w:tcPr>
            <w:tcW w:w="4230" w:type="dxa"/>
          </w:tcPr>
          <w:p w:rsidR="00000000" w:rsidRDefault="00D87559">
            <w:pPr>
              <w:pStyle w:val="ISSUE"/>
              <w:framePr w:w="0" w:hRule="auto" w:hSpace="187" w:wrap="around" w:x="1275" w:y="2748" w:anchorLock="1"/>
              <w:ind w:left="346" w:hanging="346"/>
            </w:pPr>
            <w:r>
              <w:t>REC Marc</w:t>
            </w:r>
            <w:r>
              <w:t>h 2001 Adjustments, pg. 2</w:t>
            </w:r>
          </w:p>
        </w:tc>
        <w:tc>
          <w:tcPr>
            <w:tcW w:w="4680" w:type="dxa"/>
            <w:tcBorders>
              <w:top w:val="nil"/>
            </w:tcBorders>
          </w:tcPr>
          <w:p w:rsidR="00000000" w:rsidRDefault="00D87559">
            <w:pPr>
              <w:pStyle w:val="ISSUE"/>
              <w:framePr w:w="0" w:hRule="auto" w:hSpace="187" w:wrap="around" w:x="1275" w:y="2748" w:anchorLock="1"/>
              <w:ind w:left="346" w:hanging="346"/>
            </w:pPr>
            <w:r>
              <w:t>Governor’s Revised FY 2002 Budget, pg. 14</w:t>
            </w:r>
          </w:p>
        </w:tc>
      </w:tr>
      <w:tr w:rsidR="00000000">
        <w:tblPrEx>
          <w:tblCellMar>
            <w:top w:w="0" w:type="dxa"/>
            <w:bottom w:w="0" w:type="dxa"/>
          </w:tblCellMar>
        </w:tblPrEx>
        <w:tc>
          <w:tcPr>
            <w:tcW w:w="1548" w:type="dxa"/>
          </w:tcPr>
          <w:p w:rsidR="00000000" w:rsidRDefault="00D87559">
            <w:pPr>
              <w:pStyle w:val="ISSUE"/>
              <w:framePr w:w="0" w:hRule="auto" w:hSpace="187" w:wrap="around" w:x="1275" w:y="2748" w:anchorLock="1"/>
              <w:ind w:left="346" w:hanging="346"/>
            </w:pPr>
          </w:p>
        </w:tc>
        <w:tc>
          <w:tcPr>
            <w:tcW w:w="4230" w:type="dxa"/>
          </w:tcPr>
          <w:p w:rsidR="00000000" w:rsidRDefault="00D87559">
            <w:pPr>
              <w:pStyle w:val="ISSUE"/>
              <w:framePr w:w="0" w:hRule="auto" w:hSpace="187" w:wrap="around" w:x="1275" w:y="2748" w:anchorLock="1"/>
              <w:ind w:left="346" w:hanging="346"/>
            </w:pPr>
            <w:r>
              <w:t>REC Estimate For Gambling Revenues, pg. 5</w:t>
            </w:r>
          </w:p>
        </w:tc>
        <w:tc>
          <w:tcPr>
            <w:tcW w:w="4680" w:type="dxa"/>
          </w:tcPr>
          <w:p w:rsidR="00000000" w:rsidRDefault="00D87559">
            <w:pPr>
              <w:pStyle w:val="ISSUE"/>
              <w:framePr w:w="0" w:hRule="auto" w:hSpace="187" w:wrap="around" w:x="1275" w:y="2748" w:anchorLock="1"/>
              <w:ind w:left="346" w:hanging="346"/>
            </w:pPr>
            <w:r>
              <w:t>Distribution of a 6.0% Reduction, pg. 16</w:t>
            </w:r>
          </w:p>
        </w:tc>
      </w:tr>
      <w:tr w:rsidR="00000000">
        <w:tblPrEx>
          <w:tblCellMar>
            <w:top w:w="0" w:type="dxa"/>
            <w:bottom w:w="0" w:type="dxa"/>
          </w:tblCellMar>
        </w:tblPrEx>
        <w:tc>
          <w:tcPr>
            <w:tcW w:w="1548" w:type="dxa"/>
          </w:tcPr>
          <w:p w:rsidR="00000000" w:rsidRDefault="00D87559">
            <w:pPr>
              <w:pStyle w:val="ISSUE"/>
              <w:framePr w:w="0" w:hRule="auto" w:hSpace="187" w:wrap="around" w:x="1275" w:y="2748" w:anchorLock="1"/>
              <w:ind w:left="346" w:hanging="346"/>
            </w:pPr>
          </w:p>
        </w:tc>
        <w:tc>
          <w:tcPr>
            <w:tcW w:w="4230" w:type="dxa"/>
          </w:tcPr>
          <w:p w:rsidR="00000000" w:rsidRDefault="00D87559">
            <w:pPr>
              <w:pStyle w:val="ISSUE"/>
              <w:framePr w:w="0" w:hRule="auto" w:hSpace="187" w:wrap="around" w:x="1275" w:y="2748" w:anchorLock="1"/>
              <w:ind w:left="346" w:hanging="346"/>
            </w:pPr>
            <w:r>
              <w:t>Projected Condition of the General Fund, pg. 6</w:t>
            </w:r>
          </w:p>
        </w:tc>
        <w:tc>
          <w:tcPr>
            <w:tcW w:w="4680" w:type="dxa"/>
          </w:tcPr>
          <w:p w:rsidR="00000000" w:rsidRDefault="00D87559">
            <w:pPr>
              <w:pStyle w:val="ISSUE"/>
              <w:framePr w:w="0" w:hRule="auto" w:hSpace="187" w:wrap="around" w:x="1275" w:y="2748" w:anchorLock="1"/>
              <w:ind w:left="346" w:hanging="346"/>
            </w:pPr>
            <w:r>
              <w:t>Historical Growth Rates, pg. 19</w:t>
            </w:r>
          </w:p>
        </w:tc>
      </w:tr>
      <w:tr w:rsidR="00000000">
        <w:tblPrEx>
          <w:tblCellMar>
            <w:top w:w="0" w:type="dxa"/>
            <w:bottom w:w="0" w:type="dxa"/>
          </w:tblCellMar>
        </w:tblPrEx>
        <w:tc>
          <w:tcPr>
            <w:tcW w:w="1548" w:type="dxa"/>
          </w:tcPr>
          <w:p w:rsidR="00000000" w:rsidRDefault="00D87559">
            <w:pPr>
              <w:pStyle w:val="ISSUE"/>
              <w:framePr w:w="0" w:hRule="auto" w:hSpace="187" w:wrap="around" w:x="1275" w:y="2748" w:anchorLock="1"/>
              <w:ind w:left="346" w:hanging="346"/>
            </w:pPr>
          </w:p>
        </w:tc>
        <w:tc>
          <w:tcPr>
            <w:tcW w:w="4230" w:type="dxa"/>
          </w:tcPr>
          <w:p w:rsidR="00000000" w:rsidRDefault="00D87559">
            <w:pPr>
              <w:pStyle w:val="ISSUE"/>
              <w:framePr w:w="0" w:hRule="auto" w:hSpace="187" w:wrap="around" w:x="1275" w:y="2748" w:anchorLock="1"/>
              <w:ind w:left="346" w:hanging="346"/>
            </w:pPr>
            <w:r>
              <w:t>Reserve Funds, pg. 8</w:t>
            </w:r>
          </w:p>
        </w:tc>
        <w:tc>
          <w:tcPr>
            <w:tcW w:w="4680" w:type="dxa"/>
          </w:tcPr>
          <w:p w:rsidR="00000000" w:rsidRDefault="00D87559">
            <w:pPr>
              <w:pStyle w:val="ISSUE"/>
              <w:framePr w:w="0" w:hRule="auto" w:hSpace="187" w:wrap="around" w:x="1275" w:y="2748" w:anchorLock="1"/>
              <w:ind w:left="346" w:hanging="346"/>
            </w:pPr>
            <w:r>
              <w:t>Technology Funding, pg. 20</w:t>
            </w:r>
          </w:p>
        </w:tc>
      </w:tr>
      <w:tr w:rsidR="00000000">
        <w:tblPrEx>
          <w:tblCellMar>
            <w:top w:w="0" w:type="dxa"/>
            <w:bottom w:w="0" w:type="dxa"/>
          </w:tblCellMar>
        </w:tblPrEx>
        <w:tc>
          <w:tcPr>
            <w:tcW w:w="1548" w:type="dxa"/>
          </w:tcPr>
          <w:p w:rsidR="00000000" w:rsidRDefault="00D87559">
            <w:pPr>
              <w:pStyle w:val="ISSUE"/>
              <w:framePr w:w="0" w:hRule="auto" w:hSpace="187" w:wrap="around" w:x="1275" w:y="2748" w:anchorLock="1"/>
              <w:ind w:left="346" w:hanging="346"/>
            </w:pPr>
          </w:p>
        </w:tc>
        <w:tc>
          <w:tcPr>
            <w:tcW w:w="4230" w:type="dxa"/>
          </w:tcPr>
          <w:p w:rsidR="00000000" w:rsidRDefault="00D87559">
            <w:pPr>
              <w:pStyle w:val="ISSUE"/>
              <w:framePr w:w="0" w:hRule="auto" w:hSpace="187" w:wrap="around" w:x="1275" w:y="2748" w:anchorLock="1"/>
              <w:ind w:left="346" w:hanging="346"/>
            </w:pPr>
            <w:r>
              <w:t>National Fiscal Outlook, pg. 9</w:t>
            </w:r>
          </w:p>
        </w:tc>
        <w:tc>
          <w:tcPr>
            <w:tcW w:w="4680" w:type="dxa"/>
          </w:tcPr>
          <w:p w:rsidR="00000000" w:rsidRDefault="00D87559">
            <w:pPr>
              <w:pStyle w:val="ISSUE"/>
              <w:framePr w:w="0" w:hRule="auto" w:hSpace="187" w:wrap="around" w:x="1275" w:y="2748" w:anchorLock="1"/>
              <w:ind w:left="346" w:hanging="346"/>
            </w:pPr>
            <w:r>
              <w:t>Across-the-Board Reductions 1980-2001, pg. 21</w:t>
            </w:r>
          </w:p>
        </w:tc>
      </w:tr>
      <w:tr w:rsidR="00000000">
        <w:tblPrEx>
          <w:tblCellMar>
            <w:top w:w="0" w:type="dxa"/>
            <w:bottom w:w="0" w:type="dxa"/>
          </w:tblCellMar>
        </w:tblPrEx>
        <w:tc>
          <w:tcPr>
            <w:tcW w:w="1548" w:type="dxa"/>
          </w:tcPr>
          <w:p w:rsidR="00000000" w:rsidRDefault="00D87559">
            <w:pPr>
              <w:pStyle w:val="ISSUE"/>
              <w:framePr w:w="0" w:hRule="auto" w:hSpace="187" w:wrap="around" w:x="1275" w:y="2748" w:anchorLock="1"/>
              <w:ind w:left="346" w:hanging="346"/>
            </w:pPr>
          </w:p>
        </w:tc>
        <w:tc>
          <w:tcPr>
            <w:tcW w:w="4230" w:type="dxa"/>
          </w:tcPr>
          <w:p w:rsidR="00000000" w:rsidRDefault="00D87559">
            <w:pPr>
              <w:pStyle w:val="ISSUE"/>
              <w:framePr w:w="0" w:hRule="auto" w:hSpace="187" w:wrap="around" w:x="1275" w:y="2748" w:anchorLock="1"/>
              <w:ind w:left="346" w:hanging="346"/>
            </w:pPr>
            <w:r>
              <w:t>Nationwide Tax Revenue Slowdown, pg. 12</w:t>
            </w:r>
          </w:p>
        </w:tc>
        <w:tc>
          <w:tcPr>
            <w:tcW w:w="4680" w:type="dxa"/>
          </w:tcPr>
          <w:p w:rsidR="00000000" w:rsidRDefault="00D87559">
            <w:pPr>
              <w:pStyle w:val="ISSUE"/>
              <w:framePr w:w="0" w:hRule="auto" w:hSpace="187" w:wrap="around" w:x="1275" w:y="2748" w:anchorLock="1"/>
              <w:ind w:left="346" w:hanging="346"/>
            </w:pPr>
          </w:p>
        </w:tc>
      </w:tr>
    </w:tbl>
    <w:p w:rsidR="00000000" w:rsidRDefault="00D87559">
      <w:pPr>
        <w:pStyle w:val="Bulletup"/>
        <w:spacing w:after="120"/>
      </w:pPr>
      <w:r>
        <w:t>Some other frequently asked questions:</w:t>
      </w:r>
    </w:p>
    <w:p w:rsidR="00000000" w:rsidRDefault="00D87559">
      <w:pPr>
        <w:pStyle w:val="Bulletup10"/>
        <w:spacing w:after="120"/>
      </w:pPr>
      <w:r>
        <w:t>What are the historical growth rates in revenues and appropriation</w:t>
      </w:r>
      <w:r>
        <w:t xml:space="preserve">s? (pg. 19) </w:t>
      </w:r>
    </w:p>
    <w:p w:rsidR="00000000" w:rsidRDefault="00D87559">
      <w:pPr>
        <w:pStyle w:val="Bulletup10"/>
        <w:spacing w:after="120"/>
      </w:pPr>
      <w:r>
        <w:t>What are the Reversion Technology Initiatives Account and the Pooled Technology Account and how are they funded? (pg. 20)</w:t>
      </w:r>
    </w:p>
    <w:p w:rsidR="00000000" w:rsidRDefault="00D87559">
      <w:pPr>
        <w:pStyle w:val="Bulletup10"/>
        <w:spacing w:after="120"/>
      </w:pPr>
      <w:r>
        <w:t>What are across-the-board reductions?  How many have been implemented since 1980? (pg. 21)</w:t>
      </w:r>
    </w:p>
    <w:p w:rsidR="00000000" w:rsidRDefault="00D87559">
      <w:pPr>
        <w:pStyle w:val="textup"/>
      </w:pPr>
      <w:r>
        <w:rPr>
          <w:b/>
        </w:rPr>
        <w:t>More Information</w:t>
      </w:r>
      <w:r>
        <w:tab/>
        <w:t>For more info</w:t>
      </w:r>
      <w:r>
        <w:t>rmation on any of topics or other budget issues, please contact the Fiscal Bureau (281-5279).</w:t>
      </w:r>
    </w:p>
    <w:p w:rsidR="00000000" w:rsidRDefault="00D87559">
      <w:pPr>
        <w:pStyle w:val="Header"/>
        <w:tabs>
          <w:tab w:val="clear" w:pos="4320"/>
          <w:tab w:val="clear" w:pos="8640"/>
        </w:tabs>
      </w:pPr>
    </w:p>
    <w:p w:rsidR="00000000" w:rsidRDefault="00D87559">
      <w:pPr>
        <w:pStyle w:val="Blurbtitle"/>
      </w:pPr>
      <w:bookmarkStart w:id="0" w:name="FU3JWRA"/>
      <w:r>
        <w:t>Revenue Estimating Conference March 2001 Adjustments</w:t>
      </w:r>
      <w:bookmarkEnd w:id="0"/>
    </w:p>
    <w:p w:rsidR="00000000" w:rsidRDefault="00D87559">
      <w:pPr>
        <w:framePr w:w="534" w:h="1384" w:hRule="exact" w:hSpace="187" w:wrap="around" w:vAnchor="text" w:hAnchor="page" w:x="1326" w:y="1145"/>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6pt;height:51pt" o:ole="">
            <v:imagedata r:id="rId9" o:title=""/>
          </v:shape>
          <o:OLEObject Type="Embed" ProgID="Word.Document.8" ShapeID="_x0000_i1055" DrawAspect="Content" ObjectID="_1315218460" r:id="rId10"/>
        </w:object>
      </w:r>
    </w:p>
    <w:p w:rsidR="00000000" w:rsidRDefault="00D87559">
      <w:pPr>
        <w:pStyle w:val="textup"/>
        <w:rPr>
          <w:sz w:val="24"/>
        </w:rPr>
      </w:pPr>
      <w:r>
        <w:rPr>
          <w:noProof/>
        </w:rPr>
        <w:pict>
          <v:shape id="_x0000_s1027" type="#_x0000_t75" style="position:absolute;margin-left:40.05pt;margin-top:87pt;width:276.95pt;height:306.95pt;z-index:251642880" o:allowincell="f">
            <v:imagedata r:id="rId11" o:title=""/>
            <w10:wrap type="topAndBottom"/>
          </v:shape>
          <o:OLEObject Type="Embed" ProgID="Excel.Sheet.8" ShapeID="_x0000_s1027" DrawAspect="Content" ObjectID="_1315218464" r:id="rId12"/>
        </w:pict>
      </w:r>
      <w:r>
        <w:rPr>
          <w:b/>
        </w:rPr>
        <w:t>REC Meeting</w:t>
      </w:r>
      <w:r>
        <w:tab/>
        <w:t xml:space="preserve">The March 14 Revenue Estimating Conference (REC) reduced estimated </w:t>
      </w:r>
      <w:r>
        <w:t>net General Fund receipts by $165.0 million for FY 2001 and $163.2 million for FY 2002.  The majority of the receipt reduction for both fiscal years was due to decreased estimates for tax receipts and increased estimates for tax refunds.  The following tab</w:t>
      </w:r>
      <w:r>
        <w:t>les show the general areas of revision (dollars in millions).</w:t>
      </w:r>
    </w:p>
    <w:p w:rsidR="00000000" w:rsidRDefault="00D87559"/>
    <w:p w:rsidR="00000000" w:rsidRDefault="00D87559">
      <w:r>
        <w:t xml:space="preserve"> </w:t>
      </w:r>
    </w:p>
    <w:p w:rsidR="00000000" w:rsidRDefault="00D87559">
      <w:pPr>
        <w:pStyle w:val="textup"/>
      </w:pPr>
      <w:r>
        <w:rPr>
          <w:b/>
          <w:noProof/>
        </w:rPr>
        <w:pict>
          <v:shapetype id="_x0000_t202" coordsize="21600,21600" o:spt="202" path="m,l,21600r21600,l21600,xe">
            <v:stroke joinstyle="miter"/>
            <v:path gradientshapeok="t" o:connecttype="rect"/>
          </v:shapetype>
          <v:shape id="_x0000_s1049" type="#_x0000_t202" style="position:absolute;margin-left:-133.2pt;margin-top:38.85pt;width:67.9pt;height:59.6pt;z-index:251652096" o:allowincell="f">
            <v:textbox>
              <w:txbxContent>
                <w:p w:rsidR="00000000" w:rsidRDefault="00D87559">
                  <w:r>
                    <w:rPr>
                      <w:noProof/>
                    </w:rPr>
                    <w:drawing>
                      <wp:inline distT="0" distB="0" distL="0" distR="0">
                        <wp:extent cx="609600" cy="600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w10:wrap type="square"/>
          </v:shape>
        </w:pict>
      </w:r>
      <w:r>
        <w:rPr>
          <w:b/>
        </w:rPr>
        <w:t>Four Major Taxes</w:t>
      </w:r>
      <w:r>
        <w:tab/>
        <w:t>Fiscal year 2001 tax receipt estimates for four of Iowa’s top six tax receipt categories were decreased by the REC, including personal income tax, sales tax, use tax, and co</w:t>
      </w:r>
      <w:r>
        <w:t>rporate income tax.  The inheritance tax estimate remained the same and the insurance tax estimate was increased slightly.  For the first three months of FY 2001, General Fund receipts growth reached a 10-day average of 8.7% at the end of September.  Howev</w:t>
      </w:r>
      <w:r>
        <w:t xml:space="preserve">er, for the next three months, receipts were below FY 2000 levels.  January and February receipts showed slight positive growth.  </w:t>
      </w:r>
    </w:p>
    <w:p w:rsidR="00000000" w:rsidRDefault="00D87559">
      <w:pPr>
        <w:pStyle w:val="textup"/>
      </w:pPr>
      <w:r>
        <w:rPr>
          <w:b/>
        </w:rPr>
        <w:t>Income Tax</w:t>
      </w:r>
      <w:r>
        <w:tab/>
        <w:t>Income tax receipts represent approximately 46.5% of all General Fund receipts (prior to tax refunds).  Therefore,</w:t>
      </w:r>
      <w:r>
        <w:t xml:space="preserve"> minor changes in the percentage increase from the previous year result in large dollar changes </w:t>
      </w:r>
      <w:r>
        <w:rPr>
          <w:b/>
          <w:noProof/>
        </w:rPr>
        <w:lastRenderedPageBreak/>
        <w:drawing>
          <wp:anchor distT="0" distB="0" distL="114300" distR="114300" simplePos="0" relativeHeight="251660288" behindDoc="0" locked="0" layoutInCell="1" allowOverlap="1">
            <wp:simplePos x="0" y="0"/>
            <wp:positionH relativeFrom="column">
              <wp:posOffset>-1777365</wp:posOffset>
            </wp:positionH>
            <wp:positionV relativeFrom="paragraph">
              <wp:posOffset>59690</wp:posOffset>
            </wp:positionV>
            <wp:extent cx="800100" cy="300990"/>
            <wp:effectExtent l="19050" t="0" r="0" b="0"/>
            <wp:wrapNone/>
            <wp:docPr id="87" name="Picture 87" descr="E:\Clipart\MISC\Finance\FINAN0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Clipart\MISC\Finance\FINAN057.WMF"/>
                    <pic:cNvPicPr>
                      <a:picLocks noChangeAspect="1" noChangeArrowheads="1"/>
                    </pic:cNvPicPr>
                  </pic:nvPicPr>
                  <pic:blipFill>
                    <a:blip r:embed="rId14"/>
                    <a:srcRect/>
                    <a:stretch>
                      <a:fillRect/>
                    </a:stretch>
                  </pic:blipFill>
                  <pic:spPr bwMode="auto">
                    <a:xfrm>
                      <a:off x="0" y="0"/>
                      <a:ext cx="800100" cy="300990"/>
                    </a:xfrm>
                    <a:prstGeom prst="rect">
                      <a:avLst/>
                    </a:prstGeom>
                    <a:noFill/>
                  </pic:spPr>
                </pic:pic>
              </a:graphicData>
            </a:graphic>
          </wp:anchor>
        </w:drawing>
      </w:r>
      <w:r>
        <w:t>in annual receipts.  At the December REC, personal income tax was estimated to increase 6.2% in FY 2001.  The March REC lowered the estimate to 1.9%, a decreas</w:t>
      </w:r>
      <w:r>
        <w:t xml:space="preserve">e of $102.4 million for the year.  Through March 14, the 10-day average increase for personal income tax receipts was 2.4% above FY 2000.  The 10-day average increase has been decreasing steadily since peaking at 12.2% in October.  </w:t>
      </w:r>
    </w:p>
    <w:p w:rsidR="00000000" w:rsidRDefault="00D87559">
      <w:pPr>
        <w:framePr w:hSpace="180" w:wrap="around" w:vAnchor="text" w:hAnchor="page" w:x="1153" w:y="1051"/>
      </w:pPr>
      <w:r>
        <w:rPr>
          <w:noProof/>
        </w:rPr>
        <w:drawing>
          <wp:inline distT="0" distB="0" distL="0" distR="0">
            <wp:extent cx="685800" cy="590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000000" w:rsidRDefault="00D87559">
      <w:pPr>
        <w:pStyle w:val="textup"/>
      </w:pPr>
      <w:r>
        <w:rPr>
          <w:b/>
        </w:rPr>
        <w:t>Sales Tax</w:t>
      </w:r>
      <w:r>
        <w:tab/>
        <w:t>Sales tax r</w:t>
      </w:r>
      <w:r>
        <w:t>eceipts represent approximately 27.3% of all General Fund receipts (prior to tax refunds).  At the December REC, sales tax was estimated to increase 3.7% in FY 2001.  The March REC lowered the estimate to 2.2%, a decrease of $20.6 million for the year.  Th</w:t>
      </w:r>
      <w:r>
        <w:t>rough March 14, the 10-day average increase for sales tax receipts was 1.3% above FY 2000.  The 10-day average increase has been decreasing steadily since peaking at 6.2% at the end of September.  Before the end of FY 2001, sales tax receipts will be impac</w:t>
      </w:r>
      <w:r>
        <w:t>ted by two additional factors.  First, the suspension of residential heating sales tax for two months will decrease receipts by an estimated $10.0 million.  Second, an adjustment to the amount of money paid to local governments for local option sales tax w</w:t>
      </w:r>
      <w:r>
        <w:t xml:space="preserve">ill be made.  The adjustment should increase FY 2001 sales tax receipts by $10.0 million.  </w:t>
      </w:r>
    </w:p>
    <w:p w:rsidR="00000000" w:rsidRDefault="00D87559">
      <w:pPr>
        <w:pStyle w:val="textup"/>
      </w:pPr>
      <w:r>
        <w:rPr>
          <w:b/>
        </w:rPr>
        <w:t>Use Tax</w:t>
      </w:r>
      <w:r>
        <w:tab/>
        <w:t>Use tax receipts represent approximately 4.7% of all General Fund receipts (prior to tax refunds).  At the December REC, use tax was estimated to increase 2</w:t>
      </w:r>
      <w:r>
        <w:t>.5% in FY 2001.  The March REC lowered the estimate to 0.9%, a decrease of $4.0 million for the year.  Through March 14, the 10-day average increase for use tax receipts was 0.7% above FY 2000.  Due to processing day issues, the 10-day average increase has</w:t>
      </w:r>
      <w:r>
        <w:t xml:space="preserve"> been fluctuating in the past several months.   </w:t>
      </w:r>
    </w:p>
    <w:p w:rsidR="00000000" w:rsidRDefault="00D87559">
      <w:pPr>
        <w:pStyle w:val="textup"/>
      </w:pPr>
      <w:r>
        <w:rPr>
          <w:b/>
        </w:rPr>
        <w:t xml:space="preserve"> Corporate Income Tax</w:t>
      </w:r>
      <w:r>
        <w:rPr>
          <w:b/>
        </w:rPr>
        <w:tab/>
      </w:r>
      <w:r>
        <w:t>Corporate income tax receipts represent approximately 6.2% of all General Fund receipts (prior to tax refunds).  At the December REC, corporate income tax was estimated to decrease 2.0%</w:t>
      </w:r>
      <w:r>
        <w:t xml:space="preserve"> in FY 2001.  The March REC lowered the estimate to a decrease of 5.3%, which lowered projected revenues by $10.7 million for the year.  Through March 14, the 10-day average decrease for corporate income tax was 6.3% compared to FY 2000.  The majority of c</w:t>
      </w:r>
      <w:r>
        <w:t xml:space="preserve">orporate tax comes from quarterly estimate payments.  The third quarterly payment received in January was significantly below FY 2000.  The final payment of the fiscal year will be received around April 28. </w:t>
      </w:r>
    </w:p>
    <w:p w:rsidR="00000000" w:rsidRDefault="00D87559">
      <w:pPr>
        <w:pStyle w:val="textup"/>
      </w:pPr>
      <w:r>
        <w:t xml:space="preserve"> </w:t>
      </w:r>
      <w:r>
        <w:rPr>
          <w:b/>
        </w:rPr>
        <w:t>Base Year Reduction</w:t>
      </w:r>
      <w:r>
        <w:tab/>
        <w:t>The March REC revision of t</w:t>
      </w:r>
      <w:r>
        <w:t xml:space="preserve">he FY 2002 estimate of General Fund receipts reflects a reduction in the base year (FY 2001) estimate.  The assumptions involving underlying economic growth remained relatively unchanged.  Therefore, the dollar amount reduction for FY 2002 is very similar </w:t>
      </w:r>
      <w:r>
        <w:t>to the FY 2001 reduction ($163.2 million versus $165.0 million) and the estimated percentage change is now 3.1%, versus 3.0% at the December REC.</w:t>
      </w:r>
    </w:p>
    <w:p w:rsidR="00000000" w:rsidRDefault="00D87559">
      <w:pPr>
        <w:pStyle w:val="textup"/>
      </w:pPr>
    </w:p>
    <w:p w:rsidR="00000000" w:rsidRDefault="00D87559">
      <w:pPr>
        <w:pStyle w:val="textup"/>
      </w:pPr>
    </w:p>
    <w:p w:rsidR="00000000" w:rsidRDefault="00D87559">
      <w:pPr>
        <w:framePr w:w="501" w:h="997" w:hSpace="180" w:wrap="around" w:vAnchor="text" w:hAnchor="page" w:x="1641" w:y="73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953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D87559">
      <w:pPr>
        <w:pStyle w:val="textup"/>
      </w:pPr>
      <w:r>
        <w:rPr>
          <w:b/>
        </w:rPr>
        <w:t>Estimates by Source</w:t>
      </w:r>
      <w:r>
        <w:tab/>
        <w:t xml:space="preserve">The spreadsheet below details the latest REC estimates by source of revenue.  </w:t>
      </w:r>
    </w:p>
    <w:p w:rsidR="00000000" w:rsidRDefault="00D87559">
      <w:pPr>
        <w:pStyle w:val="textup"/>
      </w:pPr>
      <w:r>
        <w:rPr>
          <w:noProof/>
        </w:rPr>
        <w:pict>
          <v:shape id="_x0000_s1045" type="#_x0000_t75" style="position:absolute;margin-left:-67.95pt;margin-top:28.35pt;width:399.35pt;height:540.05pt;z-index:251648000">
            <v:imagedata r:id="rId16" o:title=""/>
            <w10:wrap type="topAndBottom"/>
          </v:shape>
          <o:OLEObject Type="Embed" ProgID="Excel.Sheet.8" ShapeID="_x0000_s1045" DrawAspect="Content" ObjectID="_1315218465" r:id="rId17"/>
        </w:pict>
      </w:r>
    </w:p>
    <w:p w:rsidR="00000000" w:rsidRDefault="00D87559">
      <w:pPr>
        <w:pStyle w:val="Contactup"/>
      </w:pPr>
      <w:r>
        <w:t>STAFF</w:t>
      </w:r>
      <w:r>
        <w:t xml:space="preserve"> CONTACT:  Jeff Robinson (Ext. 14614)</w:t>
      </w:r>
    </w:p>
    <w:p w:rsidR="00000000" w:rsidRDefault="00D87559">
      <w:pPr>
        <w:pStyle w:val="Blurbtitle"/>
      </w:pPr>
      <w:bookmarkStart w:id="1" w:name="FU3DLRB"/>
      <w:r>
        <w:lastRenderedPageBreak/>
        <w:t>Revenue Estimating Conference Revises the Estimate for Gambling Revenues</w:t>
      </w:r>
      <w:bookmarkEnd w:id="1"/>
    </w:p>
    <w:p w:rsidR="00000000" w:rsidRDefault="00D87559">
      <w:pPr>
        <w:pStyle w:val="textup"/>
      </w:pPr>
      <w:r>
        <w:rPr>
          <w:b/>
        </w:rPr>
        <w:t>Gambling Estimate Revised</w:t>
      </w:r>
      <w:r>
        <w:tab/>
        <w:t xml:space="preserve">The Revenue Estimating Conference (REC) reduced the estimate for gambling revenues by $3.8 million in FY 2001 and $2.8 </w:t>
      </w:r>
      <w:r>
        <w:t xml:space="preserve">million in FY 2002.  The FY 2001 estimate was decreased from $194.3 million to $190.5 million.  The FY 2002 estimate was decreased from $202.8 million to $200.0 million.  </w:t>
      </w:r>
    </w:p>
    <w:p w:rsidR="00000000" w:rsidRDefault="00D87559">
      <w:pPr>
        <w:framePr w:w="655" w:h="865" w:hSpace="180" w:wrap="around" w:vAnchor="text" w:hAnchor="page" w:x="1641" w:y="8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238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19100" cy="323850"/>
                    </a:xfrm>
                    <a:prstGeom prst="rect">
                      <a:avLst/>
                    </a:prstGeom>
                    <a:noFill/>
                    <a:ln w="9525">
                      <a:noFill/>
                      <a:miter lim="800000"/>
                      <a:headEnd/>
                      <a:tailEnd/>
                    </a:ln>
                  </pic:spPr>
                </pic:pic>
              </a:graphicData>
            </a:graphic>
          </wp:inline>
        </w:drawing>
      </w:r>
    </w:p>
    <w:p w:rsidR="00000000" w:rsidRDefault="00D87559">
      <w:pPr>
        <w:pStyle w:val="textup"/>
      </w:pPr>
      <w:r>
        <w:rPr>
          <w:b/>
        </w:rPr>
        <w:t>Reason For Lower Estimate</w:t>
      </w:r>
      <w:r>
        <w:tab/>
        <w:t>The gambling revenue estimate was reduced due to receipt</w:t>
      </w:r>
      <w:r>
        <w:t>s not keeping pace with projections.  Gambling revenues through the end of February 2001 had increased 3.5% compared to the same period of FY 2000.  In December, revenues were projected to increase by 5.7% for the fiscal year.  In order for revenues to rea</w:t>
      </w:r>
      <w:r>
        <w:t>ch the 5.7% projection, gambling receipts for the remainder of the fiscal year would need to be 9.0% higher than the same period of FY 2000.  Due to decreased attendance at the tracks in FY 2001, and attendance at the riverboats leveling off, it appeared u</w:t>
      </w:r>
      <w:r>
        <w:t>nlikely that gambling receipts would reach the levels projected in December.</w:t>
      </w:r>
    </w:p>
    <w:p w:rsidR="00000000" w:rsidRDefault="00D87559">
      <w:pPr>
        <w:pStyle w:val="textup"/>
      </w:pPr>
      <w:r>
        <w:rPr>
          <w:b/>
        </w:rPr>
        <w:t>Allocation of Receipts</w:t>
      </w:r>
      <w:r>
        <w:tab/>
        <w:t xml:space="preserve">The following table shows the State allocation of the gambling receipts.  The </w:t>
      </w:r>
      <w:r>
        <w:rPr>
          <w:u w:val="single"/>
        </w:rPr>
        <w:t>Code of Iowa</w:t>
      </w:r>
      <w:r>
        <w:t xml:space="preserve"> requires the first $60.0 million be deposited into the General Fu</w:t>
      </w:r>
      <w:r>
        <w:t xml:space="preserve">nd, the next $15.0 million to the Vision Iowa Fund, the next $5.0 million to the School Infrastructure Fund, and all remaining revenues to the Rebuild Iowa Infrastructure Fund (RIIF).  </w:t>
      </w:r>
    </w:p>
    <w:p w:rsidR="00000000" w:rsidRDefault="00D87559">
      <w:pPr>
        <w:framePr w:w="783" w:h="981" w:hSpace="180" w:wrap="around" w:vAnchor="text" w:hAnchor="page" w:x="1641" w:y="5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66725"/>
            <wp:effectExtent l="19050" t="0" r="0" b="0"/>
            <wp:docPr id="6" name="Picture 6" descr="C:\lotter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tterylogo.bmp"/>
                    <pic:cNvPicPr>
                      <a:picLocks noChangeAspect="1" noChangeArrowheads="1"/>
                    </pic:cNvPicPr>
                  </pic:nvPicPr>
                  <pic:blipFill>
                    <a:blip r:embed="rId19"/>
                    <a:srcRect/>
                    <a:stretch>
                      <a:fillRect/>
                    </a:stretch>
                  </pic:blipFill>
                  <pic:spPr bwMode="auto">
                    <a:xfrm>
                      <a:off x="0" y="0"/>
                      <a:ext cx="495300" cy="466725"/>
                    </a:xfrm>
                    <a:prstGeom prst="rect">
                      <a:avLst/>
                    </a:prstGeom>
                    <a:noFill/>
                    <a:ln w="9525">
                      <a:noFill/>
                      <a:miter lim="800000"/>
                      <a:headEnd/>
                      <a:tailEnd/>
                    </a:ln>
                  </pic:spPr>
                </pic:pic>
              </a:graphicData>
            </a:graphic>
          </wp:inline>
        </w:drawing>
      </w:r>
    </w:p>
    <w:p w:rsidR="00000000" w:rsidRDefault="00D87559">
      <w:pPr>
        <w:pStyle w:val="textup"/>
        <w:rPr>
          <w:u w:val="single"/>
        </w:rPr>
      </w:pPr>
    </w:p>
    <w:p w:rsidR="00000000" w:rsidRDefault="00D87559">
      <w:pPr>
        <w:pStyle w:val="textup"/>
        <w:rPr>
          <w:u w:val="single"/>
        </w:rPr>
      </w:pPr>
      <w:r>
        <w:rPr>
          <w:noProof/>
          <w:u w:val="single"/>
        </w:rPr>
        <w:pict>
          <v:shape id="_x0000_s1046" type="#_x0000_t75" style="position:absolute;margin-left:58.05pt;margin-top:17.25pt;width:240.85pt;height:111.6pt;z-index:251649024" o:allowincell="f">
            <v:imagedata r:id="rId20" o:title=""/>
            <w10:wrap type="topAndBottom"/>
          </v:shape>
          <o:OLEObject Type="Embed" ProgID="Excel.Sheet.8" ShapeID="_x0000_s1046" DrawAspect="Content" ObjectID="_1315218466" r:id="rId21"/>
        </w:pict>
      </w:r>
    </w:p>
    <w:p w:rsidR="00000000" w:rsidRDefault="00D87559">
      <w:pPr>
        <w:pStyle w:val="textup"/>
        <w:rPr>
          <w:b/>
          <w:u w:val="single"/>
        </w:rPr>
      </w:pPr>
      <w:r>
        <w:tab/>
      </w:r>
      <w:r>
        <w:rPr>
          <w:b/>
          <w:u w:val="single"/>
        </w:rPr>
        <w:t>Rebuild Iowa Infrastructure Fund</w:t>
      </w:r>
    </w:p>
    <w:p w:rsidR="00000000" w:rsidRDefault="00D87559">
      <w:pPr>
        <w:pStyle w:val="textup"/>
      </w:pPr>
      <w:r>
        <w:rPr>
          <w:noProof/>
        </w:rPr>
        <w:pict>
          <v:shape id="_x0000_s1100" type="#_x0000_t202" style="position:absolute;margin-left:-139.95pt;margin-top:49.9pt;width:57.6pt;height:28.8pt;z-index:251654144" stroked="f">
            <v:textbox style="mso-next-textbox:#_x0000_s1100">
              <w:txbxContent>
                <w:p w:rsidR="00000000" w:rsidRDefault="00D87559">
                  <w:pPr>
                    <w:rPr>
                      <w:sz w:val="12"/>
                    </w:rPr>
                  </w:pPr>
                  <w:r>
                    <w:rPr>
                      <w:sz w:val="12"/>
                    </w:rPr>
                    <w:t>Rebuild Iowa</w:t>
                  </w:r>
                </w:p>
                <w:p w:rsidR="00000000" w:rsidRDefault="00D87559">
                  <w:pPr>
                    <w:rPr>
                      <w:sz w:val="12"/>
                    </w:rPr>
                  </w:pPr>
                  <w:r>
                    <w:rPr>
                      <w:sz w:val="12"/>
                    </w:rPr>
                    <w:t>Infras</w:t>
                  </w:r>
                  <w:r>
                    <w:rPr>
                      <w:sz w:val="12"/>
                    </w:rPr>
                    <w:t>tructure</w:t>
                  </w:r>
                  <w:r>
                    <w:rPr>
                      <w:sz w:val="16"/>
                    </w:rPr>
                    <w:t xml:space="preserve"> </w:t>
                  </w:r>
                  <w:r>
                    <w:rPr>
                      <w:sz w:val="12"/>
                    </w:rPr>
                    <w:t>Fund</w:t>
                  </w:r>
                </w:p>
              </w:txbxContent>
            </v:textbox>
          </v:shape>
        </w:pict>
      </w:r>
      <w:r>
        <w:rPr>
          <w:noProof/>
        </w:rPr>
        <w:pict>
          <v:shape id="_x0000_s1106" type="#_x0000_t202" style="position:absolute;margin-left:-112.95pt;margin-top:67.9pt;width:45pt;height:27pt;z-index:251658240" stroked="f">
            <v:textbox style="mso-next-textbox:#_x0000_s1106">
              <w:txbxContent>
                <w:p w:rsidR="00000000" w:rsidRDefault="00D87559">
                  <w:r>
                    <w:rPr>
                      <w:b/>
                      <w:noProof/>
                    </w:rPr>
                    <w:drawing>
                      <wp:inline distT="0" distB="0" distL="0" distR="0">
                        <wp:extent cx="390525" cy="285750"/>
                        <wp:effectExtent l="19050" t="0" r="9525" b="0"/>
                        <wp:docPr id="7" name="Picture 7" descr="I:\CLIPART\CGM\B&amp;W\INDUSTRY\BUILD.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LIPART\CGM\B&amp;W\INDUSTRY\BUILD.CGM"/>
                                <pic:cNvPicPr>
                                  <a:picLocks noChangeAspect="1" noChangeArrowheads="1"/>
                                </pic:cNvPicPr>
                              </pic:nvPicPr>
                              <pic:blipFill>
                                <a:blip r:embed="rId22"/>
                                <a:srcRect/>
                                <a:stretch>
                                  <a:fillRect/>
                                </a:stretch>
                              </pic:blipFill>
                              <pic:spPr bwMode="auto">
                                <a:xfrm>
                                  <a:off x="0" y="0"/>
                                  <a:ext cx="390525" cy="285750"/>
                                </a:xfrm>
                                <a:prstGeom prst="rect">
                                  <a:avLst/>
                                </a:prstGeom>
                                <a:noFill/>
                                <a:ln w="9525">
                                  <a:noFill/>
                                  <a:miter lim="800000"/>
                                  <a:headEnd/>
                                  <a:tailEnd/>
                                </a:ln>
                              </pic:spPr>
                            </pic:pic>
                          </a:graphicData>
                        </a:graphic>
                      </wp:inline>
                    </w:drawing>
                  </w:r>
                </w:p>
              </w:txbxContent>
            </v:textbox>
            <w10:wrap type="square"/>
          </v:shape>
        </w:pict>
      </w:r>
      <w:r>
        <w:rPr>
          <w:noProof/>
        </w:rPr>
        <w:pict>
          <v:shape id="_x0000_s1050" style="position:absolute;margin-left:-148.95pt;margin-top:40.9pt;width:95.4pt;height:66.6pt;z-index:251653120;mso-position-horizontal:absolute;mso-position-horizontal-relative:text;mso-position-vertical:absolute;mso-position-vertical-relative:text" coordsize="13249,8411" path="m561,l341,214,84,438r45,210l341,812,,1790r165,535l512,2487r,444l860,3202r,593l1159,4062r-40,652l1383,5259r215,111l1771,5744r-220,274l1907,6830r-187,544l2076,7812r8234,l10524,8037r351,47l10956,8411r222,l11350,8244r-218,-273l11217,7812r305,l11610,7374r-88,-267l11690,6885r,-756l11522,5862r,-663l12344,5199r645,-273l12989,4443r260,-47l13249,3628r-351,-263l12898,3042r-554,-284l12214,2325r-902,-372l10736,1134r181,-371l10567,,561,xe" strokeweight="0">
            <v:path arrowok="t"/>
          </v:shape>
        </w:pict>
      </w:r>
      <w:r>
        <w:rPr>
          <w:b/>
        </w:rPr>
        <w:t>Funds Available to RIIF</w:t>
      </w:r>
      <w:r>
        <w:tab/>
        <w:t xml:space="preserve">The </w:t>
      </w:r>
      <w:r>
        <w:t>lower gambling estimates reduce the funds available for expenditure through the RIIF in FY 2002 by $6.6 million.  Before the revenue adjustment, the General Assembly had $94.6 million available for appropriation in FY 2002 for infrastructure-related projec</w:t>
      </w:r>
      <w:r>
        <w:t xml:space="preserve">ts.  The revised estimate reduces this amount to $88.0 million.  The following table shows the revised RIIF balance sheet for FY 2001 and FY 2002.  </w:t>
      </w:r>
    </w:p>
    <w:p w:rsidR="00000000" w:rsidRDefault="00D87559">
      <w:pPr>
        <w:pStyle w:val="Contactup"/>
      </w:pPr>
      <w:r>
        <w:lastRenderedPageBreak/>
        <w:drawing>
          <wp:anchor distT="0" distB="0" distL="114300" distR="114300" simplePos="0" relativeHeight="251643904" behindDoc="0" locked="0" layoutInCell="0" allowOverlap="1">
            <wp:simplePos x="0" y="0"/>
            <wp:positionH relativeFrom="column">
              <wp:posOffset>51435</wp:posOffset>
            </wp:positionH>
            <wp:positionV relativeFrom="paragraph">
              <wp:posOffset>59690</wp:posOffset>
            </wp:positionV>
            <wp:extent cx="3307080" cy="2834640"/>
            <wp:effectExtent l="0" t="0" r="7620" b="0"/>
            <wp:wrapTopAndBottom/>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3307080" cy="2834640"/>
                    </a:xfrm>
                    <a:prstGeom prst="rect">
                      <a:avLst/>
                    </a:prstGeom>
                    <a:noFill/>
                    <a:ln w="9525">
                      <a:noFill/>
                      <a:miter lim="800000"/>
                      <a:headEnd/>
                      <a:tailEnd/>
                    </a:ln>
                  </pic:spPr>
                </pic:pic>
              </a:graphicData>
            </a:graphic>
          </wp:anchor>
        </w:drawing>
      </w:r>
      <w:r>
        <w:t>STAFF CONTACT:  David Reynolds (Ext. 16934)</w:t>
      </w:r>
    </w:p>
    <w:p w:rsidR="00000000" w:rsidRDefault="00D87559">
      <w:pPr>
        <w:pStyle w:val="Blurbtitle"/>
      </w:pPr>
      <w:bookmarkStart w:id="2" w:name="FU3DLRA"/>
      <w:bookmarkStart w:id="3" w:name="FU3DCPA"/>
      <w:r>
        <w:t>Projected Condition of the General Fund            FY 2001 And</w:t>
      </w:r>
      <w:r>
        <w:t xml:space="preserve"> FY 2002</w:t>
      </w:r>
    </w:p>
    <w:p w:rsidR="00000000" w:rsidRDefault="00D87559">
      <w:pPr>
        <w:pStyle w:val="textup"/>
        <w:ind w:right="-810"/>
      </w:pPr>
      <w:r>
        <w:rPr>
          <w:b/>
        </w:rPr>
        <w:t>FY 2001 Ending Balance</w:t>
      </w:r>
      <w:r>
        <w:tab/>
        <w:t xml:space="preserve">Based on the March 14 revenue estimate, the projected General Fund ending balance prior to the transfer to the Cash Reserve Fund is $7.3 million, down from the December estimate of $134.5 million.  </w:t>
      </w:r>
    </w:p>
    <w:p w:rsidR="00000000" w:rsidRDefault="00D87559">
      <w:pPr>
        <w:pStyle w:val="textup"/>
        <w:ind w:right="-810"/>
      </w:pPr>
      <w:r>
        <w:rPr>
          <w:b/>
        </w:rPr>
        <w:t>FY 2002 Ending Balance</w:t>
      </w:r>
      <w:r>
        <w:tab/>
        <w:t>Th</w:t>
      </w:r>
      <w:r>
        <w:t>e projected ending balance for FY 2002, using FY 2001 as a base and adding the built-ins for appropriations and the revised REC estimate is $-258.8 million.  This balance is $324.6 million over the Expenditure Limitation.  The Governor will be submitting a</w:t>
      </w:r>
      <w:r>
        <w:t xml:space="preserve"> revised budget for FY 2002 on March 28.  </w:t>
      </w:r>
    </w:p>
    <w:p w:rsidR="00000000" w:rsidRDefault="00D87559">
      <w:pPr>
        <w:pStyle w:val="textup"/>
        <w:ind w:right="-810"/>
      </w:pPr>
      <w:r>
        <w:rPr>
          <w:b/>
          <w:noProof/>
        </w:rPr>
        <w:pict>
          <v:shape id="_x0000_s1127" type="#_x0000_t202" style="position:absolute;margin-left:-130.95pt;margin-top:34.85pt;width:64.4pt;height:30.1pt;z-index:251667456">
            <v:textbox style="mso-next-textbox:#_x0000_s1127">
              <w:txbxContent>
                <w:p w:rsidR="00000000" w:rsidRDefault="00D87559">
                  <w:r>
                    <w:rPr>
                      <w:noProof/>
                    </w:rPr>
                    <w:drawing>
                      <wp:inline distT="0" distB="0" distL="0" distR="0">
                        <wp:extent cx="628650" cy="285750"/>
                        <wp:effectExtent l="19050" t="0" r="0" b="0"/>
                        <wp:docPr id="8" name="Picture 8" descr="E:\Clipart\MISC\Finance\_DOLL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lipart\MISC\Finance\_DOLLS.WMF"/>
                                <pic:cNvPicPr>
                                  <a:picLocks noChangeAspect="1" noChangeArrowheads="1"/>
                                </pic:cNvPicPr>
                              </pic:nvPicPr>
                              <pic:blipFill>
                                <a:blip r:embed="rId24"/>
                                <a:srcRect/>
                                <a:stretch>
                                  <a:fillRect/>
                                </a:stretch>
                              </pic:blipFill>
                              <pic:spPr bwMode="auto">
                                <a:xfrm>
                                  <a:off x="0" y="0"/>
                                  <a:ext cx="628650" cy="285750"/>
                                </a:xfrm>
                                <a:prstGeom prst="rect">
                                  <a:avLst/>
                                </a:prstGeom>
                                <a:noFill/>
                                <a:ln w="9525">
                                  <a:noFill/>
                                  <a:miter lim="800000"/>
                                  <a:headEnd/>
                                  <a:tailEnd/>
                                </a:ln>
                              </pic:spPr>
                            </pic:pic>
                          </a:graphicData>
                        </a:graphic>
                      </wp:inline>
                    </w:drawing>
                  </w:r>
                </w:p>
              </w:txbxContent>
            </v:textbox>
          </v:shape>
        </w:pict>
      </w:r>
      <w:r>
        <w:rPr>
          <w:b/>
        </w:rPr>
        <w:t>If Growth Rate Isn’t Met</w:t>
      </w:r>
      <w:r>
        <w:tab/>
        <w:t>If revenues continue to decline for FY 2001, and not meet the revised REC estimated growth of .7%, the Governor and the General Assembly will need to make decisions on how to reduce the F</w:t>
      </w:r>
      <w:r>
        <w:t>Y 2001 budget.  Some options include, but are not limited to:  selective deappropriations, across-the-board reductions by the General Assembly or the Governor, program reductions or eliminations, reduction in force or furloughs, appropriations from the res</w:t>
      </w:r>
      <w:r>
        <w:t>erve funds.</w:t>
      </w:r>
    </w:p>
    <w:p w:rsidR="00000000" w:rsidRDefault="00D87559">
      <w:pPr>
        <w:pStyle w:val="textup"/>
        <w:ind w:right="-810"/>
      </w:pPr>
      <w:r>
        <w:rPr>
          <w:b/>
        </w:rPr>
        <w:t>Expenditure Limitation Law</w:t>
      </w:r>
      <w:r>
        <w:tab/>
        <w:t xml:space="preserve">In 1992, several statutory reforms were enacted to provide long-term solutions to the State’s budget problems.  These included the “Expenditure Limitation” laws. </w:t>
      </w:r>
    </w:p>
    <w:p w:rsidR="00000000" w:rsidRDefault="00D87559">
      <w:pPr>
        <w:pStyle w:val="Bulletup"/>
        <w:ind w:right="-810"/>
      </w:pPr>
      <w:r>
        <w:t>Spending is limited to 99.0% of the adjusted revenues,</w:t>
      </w:r>
      <w:r>
        <w:t xml:space="preserve"> 95% of any new revenue implemented in a fiscal year, and any carry-over from the previous year.</w:t>
      </w:r>
    </w:p>
    <w:p w:rsidR="00000000" w:rsidRDefault="00D87559">
      <w:pPr>
        <w:pStyle w:val="Bulletup"/>
        <w:ind w:right="-810"/>
      </w:pPr>
      <w:r>
        <w:t>In FY 2002, under the revised REC estimate, this amount is $4,793.5 million.</w:t>
      </w:r>
    </w:p>
    <w:p w:rsidR="00000000" w:rsidRDefault="00D87559">
      <w:pPr>
        <w:pStyle w:val="Bulletup"/>
        <w:ind w:right="-810"/>
      </w:pPr>
      <w:r>
        <w:t xml:space="preserve">The Governor and the Legislature are required to use the revenue estimates agreed </w:t>
      </w:r>
      <w:r>
        <w:t>to by the December REC as a basis to determine the General Fund Budget for the following fiscal year.  However, if a later estimate is lower, the Governor and Legislature must use the lower estimate in determining the budget, and the Governor is required t</w:t>
      </w:r>
      <w:r>
        <w:t xml:space="preserve">o submit a revised budget using the lower revenue estimate. </w:t>
      </w:r>
    </w:p>
    <w:p w:rsidR="00000000" w:rsidRDefault="00D87559">
      <w:pPr>
        <w:pStyle w:val="Bulletup"/>
        <w:spacing w:after="0"/>
      </w:pPr>
      <w:r>
        <w:rPr>
          <w:noProof/>
        </w:rPr>
        <w:lastRenderedPageBreak/>
        <w:pict>
          <v:shape id="_x0000_s1047" type="#_x0000_t75" style="position:absolute;left:0;text-align:left;margin-left:-58.95pt;margin-top:103.5pt;width:398.3pt;height:527.35pt;z-index:251650048">
            <v:imagedata r:id="rId25" o:title=""/>
            <w10:wrap type="topAndBottom"/>
          </v:shape>
          <o:OLEObject Type="Embed" ProgID="Excel.Sheet.8" ShapeID="_x0000_s1047" DrawAspect="Content" ObjectID="_1315218467" r:id="rId26"/>
        </w:pict>
      </w:r>
      <w:r>
        <w:t>The Expenditure Limitation laws created three new reserve accounts or funds:  the Cash Reserve Fund, the GAAP Deficit Reduction Account, and the Economic Emergency Fund.  Expenditures from these</w:t>
      </w:r>
      <w:r>
        <w:t xml:space="preserve"> reserve funds are limited by statute.  (See the next article for a discussion of these funds.)</w:t>
      </w:r>
    </w:p>
    <w:p w:rsidR="00000000" w:rsidRDefault="00D87559">
      <w:pPr>
        <w:framePr w:w="796" w:h="865" w:hSpace="180" w:wrap="around" w:vAnchor="text" w:hAnchor="page" w:x="1542" w:y="6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00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495300" cy="400050"/>
                    </a:xfrm>
                    <a:prstGeom prst="rect">
                      <a:avLst/>
                    </a:prstGeom>
                    <a:noFill/>
                    <a:ln w="9525">
                      <a:noFill/>
                      <a:miter lim="800000"/>
                      <a:headEnd/>
                      <a:tailEnd/>
                    </a:ln>
                  </pic:spPr>
                </pic:pic>
              </a:graphicData>
            </a:graphic>
          </wp:inline>
        </w:drawing>
      </w:r>
    </w:p>
    <w:p w:rsidR="00000000" w:rsidRDefault="00D87559">
      <w:pPr>
        <w:pStyle w:val="textup"/>
      </w:pPr>
      <w:r>
        <w:rPr>
          <w:b/>
        </w:rPr>
        <w:t>Balance Sheet</w:t>
      </w:r>
      <w:r>
        <w:tab/>
        <w:t>The following balance sheet reflects the latest REC estimate.  It will be revised when the Governor submits a revised budget for FY 2002.</w:t>
      </w:r>
    </w:p>
    <w:bookmarkEnd w:id="3"/>
    <w:p w:rsidR="00000000" w:rsidRDefault="00D87559">
      <w:pPr>
        <w:pStyle w:val="Blurbtitle"/>
      </w:pPr>
      <w:r>
        <w:rPr>
          <w:b w:val="0"/>
          <w:caps w:val="0"/>
          <w:noProof/>
          <w:kern w:val="0"/>
          <w:sz w:val="20"/>
        </w:rPr>
        <w:pict>
          <v:shape id="_x0000_s1129" type="#_x0000_t202" style="position:absolute;margin-left:-130.95pt;margin-top:554.2pt;width:495pt;height:36pt;z-index:251668480" stroked="f">
            <v:textbox>
              <w:txbxContent>
                <w:p w:rsidR="00000000" w:rsidRDefault="00D87559">
                  <w:pPr>
                    <w:pStyle w:val="Contactup"/>
                  </w:pPr>
                  <w:r>
                    <w:t xml:space="preserve">                          </w:t>
                  </w:r>
                  <w:r>
                    <w:t xml:space="preserve">                     STAFF CONTACT:  Dennis Prouty (Ext. 13509)  Holly Lyons (Ext. 14616)</w:t>
                  </w:r>
                </w:p>
                <w:p w:rsidR="00000000" w:rsidRDefault="00D87559"/>
              </w:txbxContent>
            </v:textbox>
          </v:shape>
        </w:pict>
      </w:r>
      <w:r>
        <w:rPr>
          <w:b w:val="0"/>
          <w:caps w:val="0"/>
          <w:kern w:val="0"/>
          <w:sz w:val="20"/>
        </w:rPr>
        <w:br w:type="page"/>
      </w:r>
      <w:r>
        <w:lastRenderedPageBreak/>
        <w:t>Cash</w:t>
      </w:r>
      <w:r>
        <w:t xml:space="preserve"> Reserve Fund and Economic Emergency Fund </w:t>
      </w:r>
    </w:p>
    <w:p w:rsidR="00000000" w:rsidRDefault="00D87559">
      <w:pPr>
        <w:pStyle w:val="textup"/>
      </w:pPr>
      <w:r>
        <w:rPr>
          <w:noProof/>
        </w:rPr>
        <w:pict>
          <v:shape id="_x0000_s1101" type="#_x0000_t202" style="position:absolute;margin-left:-130.95pt;margin-top:22.9pt;width:53.9pt;height:39.1pt;z-index:251655168">
            <v:textbox style="mso-next-textbox:#_x0000_s1101">
              <w:txbxContent>
                <w:p w:rsidR="00000000" w:rsidRDefault="00D87559">
                  <w:r>
                    <w:rPr>
                      <w:noProof/>
                    </w:rPr>
                    <w:drawing>
                      <wp:inline distT="0" distB="0" distL="0" distR="0">
                        <wp:extent cx="495300" cy="4000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srcRect/>
                                <a:stretch>
                                  <a:fillRect/>
                                </a:stretch>
                              </pic:blipFill>
                              <pic:spPr bwMode="auto">
                                <a:xfrm>
                                  <a:off x="0" y="0"/>
                                  <a:ext cx="495300" cy="400050"/>
                                </a:xfrm>
                                <a:prstGeom prst="rect">
                                  <a:avLst/>
                                </a:prstGeom>
                                <a:noFill/>
                                <a:ln w="9525">
                                  <a:noFill/>
                                  <a:miter lim="800000"/>
                                  <a:headEnd/>
                                  <a:tailEnd/>
                                </a:ln>
                              </pic:spPr>
                            </pic:pic>
                          </a:graphicData>
                        </a:graphic>
                      </wp:inline>
                    </w:drawing>
                  </w:r>
                </w:p>
              </w:txbxContent>
            </v:textbox>
          </v:shape>
        </w:pict>
      </w:r>
      <w:r>
        <w:rPr>
          <w:b/>
        </w:rPr>
        <w:t>Reserve or Rainy Day Funds</w:t>
      </w:r>
      <w:r>
        <w:tab/>
        <w:t>The Cash Reserve Fund and Economic Emergency Fund are also known as the budget stabilization or Rainy Day Funds.  The estimated FY 2001 balance of these funds is $471.2 million.  The fo</w:t>
      </w:r>
      <w:r>
        <w:t>llowing points highlight how these funds can be utilized under current law.</w:t>
      </w:r>
    </w:p>
    <w:p w:rsidR="00000000" w:rsidRDefault="00D87559">
      <w:pPr>
        <w:pStyle w:val="textup"/>
        <w:rPr>
          <w:b/>
        </w:rPr>
      </w:pPr>
      <w:r>
        <w:rPr>
          <w:b/>
        </w:rPr>
        <w:t>Cash Reserve Fund</w:t>
      </w:r>
      <w:r>
        <w:tab/>
      </w:r>
      <w:r>
        <w:rPr>
          <w:b/>
          <w:u w:val="single"/>
        </w:rPr>
        <w:t>Cash Reserve Fund</w:t>
      </w:r>
    </w:p>
    <w:p w:rsidR="00000000" w:rsidRDefault="00D87559">
      <w:pPr>
        <w:framePr w:w="605" w:h="1003" w:hSpace="180" w:wrap="around" w:vAnchor="text" w:hAnchor="page" w:x="1497" w:y="376"/>
        <w:pBdr>
          <w:top w:val="single" w:sz="12" w:space="5" w:color="auto" w:shadow="1"/>
          <w:left w:val="single" w:sz="12" w:space="5" w:color="auto" w:shadow="1"/>
          <w:bottom w:val="single" w:sz="12" w:space="5" w:color="auto" w:shadow="1"/>
          <w:right w:val="single" w:sz="12" w:space="5" w:color="auto" w:shadow="1"/>
        </w:pBdr>
      </w:pPr>
      <w:r>
        <w:object w:dxaOrig="497" w:dyaOrig="616">
          <v:shape id="_x0000_i1056" type="#_x0000_t75" style="width:25pt;height:31pt" o:ole="">
            <v:imagedata r:id="rId29" o:title=""/>
          </v:shape>
          <o:OLEObject Type="Embed" ProgID="Word.Document.8" ShapeID="_x0000_i1056" DrawAspect="Content" ObjectID="_1315218461" r:id="rId30"/>
        </w:object>
      </w:r>
    </w:p>
    <w:p w:rsidR="00000000" w:rsidRDefault="00D87559">
      <w:pPr>
        <w:pStyle w:val="BodyText"/>
        <w:framePr w:w="605" w:wrap="around"/>
        <w:jc w:val="center"/>
      </w:pPr>
      <w:r>
        <w:t>Cash Reserve</w:t>
      </w:r>
    </w:p>
    <w:p w:rsidR="00000000" w:rsidRDefault="00D87559">
      <w:pPr>
        <w:pStyle w:val="Bulletup"/>
      </w:pPr>
      <w:r>
        <w:t>The Cash Reserve Fund Account requires a balance of 5.0% of the adjusted revenue estimate for the Gener</w:t>
      </w:r>
      <w:r>
        <w:t xml:space="preserve">al Fund.  </w:t>
      </w:r>
    </w:p>
    <w:p w:rsidR="00000000" w:rsidRDefault="00D87559">
      <w:pPr>
        <w:pStyle w:val="Bulletup"/>
      </w:pPr>
      <w:r>
        <w:t>The year-end General Fund surplus (ending balance) is appropriated to the Cash Reserve Fund.</w:t>
      </w:r>
    </w:p>
    <w:p w:rsidR="00000000" w:rsidRDefault="00D87559">
      <w:pPr>
        <w:pStyle w:val="Bulletup"/>
      </w:pPr>
      <w:r>
        <w:t>Interest on moneys deposited in the Fund is credited to the Rebuild Iowa Infrastructure Fund (RIIF).</w:t>
      </w:r>
    </w:p>
    <w:p w:rsidR="00000000" w:rsidRDefault="00D87559">
      <w:pPr>
        <w:pStyle w:val="Bulletup"/>
      </w:pPr>
      <w:r>
        <w:t>Moneys in the Cash Reserve Fund may be used for cas</w:t>
      </w:r>
      <w:r>
        <w:t>h flow purposes, but shall be returned by the end of the fiscal year.</w:t>
      </w:r>
    </w:p>
    <w:p w:rsidR="00000000" w:rsidRDefault="00D87559">
      <w:pPr>
        <w:pStyle w:val="Bulletup"/>
      </w:pPr>
      <w:r>
        <w:t>Appropriations from the Fund are allowed if:</w:t>
      </w:r>
    </w:p>
    <w:p w:rsidR="00000000" w:rsidRDefault="00D87559">
      <w:pPr>
        <w:pStyle w:val="Bulletup10"/>
      </w:pPr>
      <w:r>
        <w:t>The appropriation is made during the fiscal year that it is to be used.</w:t>
      </w:r>
    </w:p>
    <w:p w:rsidR="00000000" w:rsidRDefault="00D87559">
      <w:pPr>
        <w:pStyle w:val="Bulletup10"/>
      </w:pPr>
      <w:r>
        <w:t>The appropriation is for a non-recurring emergency expenditure.</w:t>
      </w:r>
    </w:p>
    <w:p w:rsidR="00000000" w:rsidRDefault="00D87559">
      <w:pPr>
        <w:pStyle w:val="Bulletup10"/>
      </w:pPr>
      <w:r>
        <w:t>Fundi</w:t>
      </w:r>
      <w:r>
        <w:t>ng is contained in a bill or resolution in which the appropriation is the only subject matter.</w:t>
      </w:r>
    </w:p>
    <w:p w:rsidR="00000000" w:rsidRDefault="00D87559">
      <w:pPr>
        <w:pStyle w:val="Bulletup10"/>
      </w:pPr>
      <w:r>
        <w:t xml:space="preserve">The appropriation is approved by a majority of the members of both chambers and the Governor if the Fund is not reduced to below 3.0%.  Approval of 60.0% of the </w:t>
      </w:r>
      <w:r>
        <w:t>members of both chambers and the Governor is required if the Fund is to be reduced below 3.0% of the adjusted General Fund revenue estimate.</w:t>
      </w:r>
    </w:p>
    <w:p w:rsidR="00000000" w:rsidRDefault="00D87559">
      <w:pPr>
        <w:pStyle w:val="Bulletup"/>
        <w:rPr>
          <w:sz w:val="20"/>
        </w:rPr>
      </w:pPr>
      <w:r>
        <w:t>If funds are appropriated and the General Fund surplus is not adequate to rebuild the fund to 5.0%, then the follow</w:t>
      </w:r>
      <w:r>
        <w:t>ing provisions apply.  There is appropriated from the General Fund as a standing unlimited enough to bring the fund to 5.0% if the balance of the current year is between 4.0% and 5.0%.  If the current year balance is under 4.0% there is appropriated from t</w:t>
      </w:r>
      <w:r>
        <w:t xml:space="preserve">he General Fund as a standing unlimited enough to increase the fund 1.0% </w:t>
      </w:r>
    </w:p>
    <w:p w:rsidR="00000000" w:rsidRDefault="00D87559">
      <w:pPr>
        <w:pStyle w:val="textup"/>
        <w:rPr>
          <w:b/>
          <w:u w:val="single"/>
        </w:rPr>
      </w:pPr>
      <w:r>
        <w:rPr>
          <w:b/>
        </w:rPr>
        <w:t>Economic Emergency Fund</w:t>
      </w:r>
      <w:r>
        <w:tab/>
      </w:r>
      <w:r>
        <w:rPr>
          <w:b/>
          <w:u w:val="single"/>
        </w:rPr>
        <w:t>Iowa Economic Emergency Fund</w:t>
      </w:r>
    </w:p>
    <w:p w:rsidR="00000000" w:rsidRDefault="00D87559">
      <w:pPr>
        <w:pStyle w:val="Bulletup"/>
      </w:pPr>
      <w:r>
        <w:rPr>
          <w:b/>
          <w:noProof/>
        </w:rPr>
        <w:drawing>
          <wp:anchor distT="0" distB="0" distL="114300" distR="114300" simplePos="0" relativeHeight="251656192" behindDoc="0" locked="0" layoutInCell="0" allowOverlap="1">
            <wp:simplePos x="0" y="0"/>
            <wp:positionH relativeFrom="column">
              <wp:posOffset>-1691640</wp:posOffset>
            </wp:positionH>
            <wp:positionV relativeFrom="paragraph">
              <wp:posOffset>185420</wp:posOffset>
            </wp:positionV>
            <wp:extent cx="914400" cy="533400"/>
            <wp:effectExtent l="19050" t="0" r="0" b="0"/>
            <wp:wrapNone/>
            <wp:docPr id="78" name="Picture 78" descr="E:\Clipart\MISC\Finance\MNYBAG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Clipart\MISC\Finance\MNYBAGS.WMF"/>
                    <pic:cNvPicPr>
                      <a:picLocks noChangeAspect="1" noChangeArrowheads="1"/>
                    </pic:cNvPicPr>
                  </pic:nvPicPr>
                  <pic:blipFill>
                    <a:blip r:embed="rId31"/>
                    <a:srcRect/>
                    <a:stretch>
                      <a:fillRect/>
                    </a:stretch>
                  </pic:blipFill>
                  <pic:spPr bwMode="auto">
                    <a:xfrm flipV="1">
                      <a:off x="0" y="0"/>
                      <a:ext cx="914400" cy="533400"/>
                    </a:xfrm>
                    <a:prstGeom prst="rect">
                      <a:avLst/>
                    </a:prstGeom>
                    <a:noFill/>
                  </pic:spPr>
                </pic:pic>
              </a:graphicData>
            </a:graphic>
          </wp:anchor>
        </w:drawing>
      </w:r>
      <w:r>
        <w:t>The maximum balance of the Economic Emergency Fund Account is 5.0% of the adjusted revenue estimate for the General Fund.  Money</w:t>
      </w:r>
      <w:r>
        <w:t xml:space="preserve">s in excess of the required 5.0% are transferred to the General Fund.  </w:t>
      </w:r>
    </w:p>
    <w:p w:rsidR="00000000" w:rsidRDefault="00D87559">
      <w:pPr>
        <w:pStyle w:val="Bulletup"/>
      </w:pPr>
      <w:r>
        <w:t>Interest on moneys deposited in the Economic Emergency Fund is credited to the Rebuild Iowa Infrastructure Fund.</w:t>
      </w:r>
    </w:p>
    <w:p w:rsidR="00000000" w:rsidRDefault="00D87559">
      <w:pPr>
        <w:pStyle w:val="Bulletup"/>
      </w:pPr>
      <w:r>
        <w:t>Moneys in the Economic Emergency Fund may be used for cash flow purpose</w:t>
      </w:r>
      <w:r>
        <w:t>s, but shall be returned by the end of the fiscal year.</w:t>
      </w:r>
    </w:p>
    <w:p w:rsidR="00000000" w:rsidRDefault="00D87559">
      <w:pPr>
        <w:pStyle w:val="Bulletup"/>
      </w:pPr>
      <w:r>
        <w:t>Appropriations from the Fund require approval of a majority of the members of both chambers and the Governor’s signature for an emergency expenditure.</w:t>
      </w:r>
    </w:p>
    <w:p w:rsidR="00000000" w:rsidRDefault="00D87559">
      <w:pPr>
        <w:pStyle w:val="Bulletup"/>
      </w:pPr>
      <w:r>
        <w:rPr>
          <w:b/>
          <w:noProof/>
        </w:rPr>
        <w:lastRenderedPageBreak/>
        <w:drawing>
          <wp:anchor distT="0" distB="0" distL="114300" distR="114300" simplePos="0" relativeHeight="251657216" behindDoc="0" locked="0" layoutInCell="0" allowOverlap="1">
            <wp:simplePos x="0" y="0"/>
            <wp:positionH relativeFrom="column">
              <wp:posOffset>-1783080</wp:posOffset>
            </wp:positionH>
            <wp:positionV relativeFrom="paragraph">
              <wp:posOffset>107315</wp:posOffset>
            </wp:positionV>
            <wp:extent cx="914400" cy="607060"/>
            <wp:effectExtent l="19050" t="0" r="0" b="0"/>
            <wp:wrapNone/>
            <wp:docPr id="79" name="Picture 79" descr="E:\Clipart\MISC\Finance\CASH.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Clipart\MISC\Finance\CASH.WMF"/>
                    <pic:cNvPicPr>
                      <a:picLocks noChangeAspect="1" noChangeArrowheads="1"/>
                    </pic:cNvPicPr>
                  </pic:nvPicPr>
                  <pic:blipFill>
                    <a:blip r:embed="rId32"/>
                    <a:srcRect/>
                    <a:stretch>
                      <a:fillRect/>
                    </a:stretch>
                  </pic:blipFill>
                  <pic:spPr bwMode="auto">
                    <a:xfrm>
                      <a:off x="0" y="0"/>
                      <a:ext cx="914400" cy="607060"/>
                    </a:xfrm>
                    <a:prstGeom prst="rect">
                      <a:avLst/>
                    </a:prstGeom>
                    <a:noFill/>
                  </pic:spPr>
                </pic:pic>
              </a:graphicData>
            </a:graphic>
          </wp:anchor>
        </w:drawing>
      </w:r>
      <w:r>
        <w:t>Appropriations from the Fund are allowed if:</w:t>
      </w:r>
    </w:p>
    <w:p w:rsidR="00000000" w:rsidRDefault="00D87559">
      <w:pPr>
        <w:pStyle w:val="Bulletup10"/>
      </w:pPr>
      <w:r>
        <w:t>The</w:t>
      </w:r>
      <w:r>
        <w:t xml:space="preserve"> appropriation is made during the fiscal year that it is to be used.</w:t>
      </w:r>
    </w:p>
    <w:p w:rsidR="00000000" w:rsidRDefault="00D87559">
      <w:pPr>
        <w:pStyle w:val="Bulletup10"/>
      </w:pPr>
      <w:r>
        <w:t>The appropriation is for an emergency expenditure.</w:t>
      </w:r>
    </w:p>
    <w:p w:rsidR="00000000" w:rsidRDefault="00D87559">
      <w:pPr>
        <w:pStyle w:val="Bulletup"/>
      </w:pPr>
      <w:r>
        <w:t xml:space="preserve">If funds are appropriated then the General Fund surplus fills the fund as available.  There is not a direct appropriation to refill the </w:t>
      </w:r>
      <w:r>
        <w:t>fund.</w:t>
      </w:r>
    </w:p>
    <w:p w:rsidR="00000000" w:rsidRDefault="00D87559">
      <w:pPr>
        <w:pStyle w:val="Contactup"/>
      </w:pPr>
      <w:r>
        <w:t>STAFF CONTACT:  Dennis Prouty (Ext. 13509)  Glen Dickinson (Ext. 14616)</w:t>
      </w:r>
    </w:p>
    <w:p w:rsidR="00000000" w:rsidRDefault="00D87559">
      <w:pPr>
        <w:pStyle w:val="Blurbtitle"/>
      </w:pPr>
      <w:bookmarkStart w:id="4" w:name="FU3HMLA"/>
      <w:r>
        <w:t>National Fiscal Outlook</w:t>
      </w:r>
    </w:p>
    <w:p w:rsidR="00000000" w:rsidRDefault="00D87559">
      <w:pPr>
        <w:framePr w:w="793" w:h="865" w:hSpace="180" w:wrap="around" w:vAnchor="text" w:hAnchor="page" w:x="1353" w:y="421"/>
        <w:pBdr>
          <w:top w:val="single" w:sz="12" w:space="5" w:color="auto" w:shadow="1"/>
          <w:left w:val="single" w:sz="12" w:space="5" w:color="auto" w:shadow="1"/>
          <w:bottom w:val="single" w:sz="12" w:space="5" w:color="auto" w:shadow="1"/>
          <w:right w:val="single" w:sz="12" w:space="5" w:color="auto" w:shadow="1"/>
        </w:pBdr>
      </w:pPr>
      <w:r>
        <w:object w:dxaOrig="768" w:dyaOrig="542">
          <v:shape id="_x0000_i1035" type="#_x0000_t75" style="width:40pt;height:28pt" o:ole="" fillcolor="window">
            <v:imagedata r:id="rId33" o:title=""/>
          </v:shape>
          <o:OLEObject Type="Embed" ProgID="Word.Document.8" ShapeID="_x0000_i1035" DrawAspect="Content" ObjectID="_1315218462" r:id="rId34"/>
        </w:object>
      </w:r>
    </w:p>
    <w:p w:rsidR="00000000" w:rsidRDefault="00D87559">
      <w:pPr>
        <w:pStyle w:val="textup"/>
        <w:spacing w:after="0"/>
      </w:pPr>
      <w:r>
        <w:rPr>
          <w:b/>
        </w:rPr>
        <w:t>Survey of States</w:t>
      </w:r>
      <w:r>
        <w:tab/>
        <w:t>The National Conference of State Legislatures (NCSL) conducted a 50-state survey in February 2001 regarding t</w:t>
      </w:r>
      <w:r>
        <w:t xml:space="preserve">he national economy and how recent evidence of a downturn is affecting state finances.  This survey information serves as an update to information that was collected in December 2000.  In general, the states’ fiscal condition has declined since December.  </w:t>
      </w:r>
    </w:p>
    <w:p w:rsidR="00000000" w:rsidRDefault="00D87559">
      <w:pPr>
        <w:pStyle w:val="textup"/>
        <w:rPr>
          <w:b/>
          <w:i/>
          <w:u w:val="single"/>
        </w:rPr>
      </w:pPr>
      <w:r>
        <w:rPr>
          <w:b/>
        </w:rPr>
        <w:t>Revenues</w:t>
      </w:r>
      <w:r>
        <w:rPr>
          <w:b/>
        </w:rPr>
        <w:tab/>
      </w:r>
      <w:r>
        <w:rPr>
          <w:b/>
          <w:i/>
          <w:u w:val="single"/>
        </w:rPr>
        <w:t>Revenues for FY 2001</w:t>
      </w:r>
    </w:p>
    <w:p w:rsidR="00000000" w:rsidRDefault="00D87559">
      <w:pPr>
        <w:pStyle w:val="textup"/>
      </w:pPr>
      <w:r>
        <w:tab/>
        <w:t>In December 2000, 44 states reported that revenues were on target or above forecast.  In February 2001, the number of states reporting revenues on target or above forecast decreased to 33 leaving seventeen states now reporti</w:t>
      </w:r>
      <w:r>
        <w:t xml:space="preserve">ng revenues below forecast.  In terms of regional patterns regarding revenues, states with strong revenue growth tend to be in the West, Northeast, or Middle Atlantic.  States with below revenue forecasts tend to be in the South, Great Lakes, and Midwest. </w:t>
      </w:r>
      <w:r>
        <w:t xml:space="preserve"> The following map illustrates the current state tally.</w:t>
      </w:r>
    </w:p>
    <w:p w:rsidR="00000000" w:rsidRDefault="00D87559">
      <w:pPr>
        <w:pStyle w:val="textup"/>
        <w:spacing w:before="0" w:after="0"/>
        <w:jc w:val="center"/>
        <w:rPr>
          <w:b/>
          <w:sz w:val="24"/>
        </w:rPr>
      </w:pPr>
      <w:r>
        <w:rPr>
          <w:b/>
          <w:noProof/>
          <w:sz w:val="24"/>
        </w:rPr>
        <w:drawing>
          <wp:anchor distT="0" distB="0" distL="114300" distR="114300" simplePos="0" relativeHeight="251644928" behindDoc="0" locked="0" layoutInCell="1" allowOverlap="1">
            <wp:simplePos x="0" y="0"/>
            <wp:positionH relativeFrom="column">
              <wp:posOffset>-862965</wp:posOffset>
            </wp:positionH>
            <wp:positionV relativeFrom="paragraph">
              <wp:posOffset>191135</wp:posOffset>
            </wp:positionV>
            <wp:extent cx="5309235" cy="3617595"/>
            <wp:effectExtent l="19050" t="19050" r="24765" b="20955"/>
            <wp:wrapTopAndBottom/>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srcRect/>
                    <a:stretch>
                      <a:fillRect/>
                    </a:stretch>
                  </pic:blipFill>
                  <pic:spPr bwMode="auto">
                    <a:xfrm>
                      <a:off x="0" y="0"/>
                      <a:ext cx="5309235" cy="3617595"/>
                    </a:xfrm>
                    <a:prstGeom prst="rect">
                      <a:avLst/>
                    </a:prstGeom>
                    <a:noFill/>
                    <a:ln w="9525">
                      <a:solidFill>
                        <a:srgbClr val="000000"/>
                      </a:solidFill>
                      <a:miter lim="800000"/>
                      <a:headEnd/>
                      <a:tailEnd/>
                    </a:ln>
                  </pic:spPr>
                </pic:pic>
              </a:graphicData>
            </a:graphic>
          </wp:anchor>
        </w:drawing>
      </w:r>
      <w:r>
        <w:rPr>
          <w:b/>
          <w:sz w:val="24"/>
        </w:rPr>
        <w:t xml:space="preserve">                     FY 2001 State Revenue Update</w:t>
      </w:r>
    </w:p>
    <w:p w:rsidR="00000000" w:rsidRDefault="00D87559">
      <w:pPr>
        <w:pStyle w:val="textup"/>
      </w:pPr>
      <w:r>
        <w:rPr>
          <w:b/>
        </w:rPr>
        <w:lastRenderedPageBreak/>
        <w:t>Regional Observations</w:t>
      </w:r>
      <w:r>
        <w:tab/>
        <w:t>Revenues for the remainder of FY 2001 are uncertain.  Western states are optimistic about continued strong revenue growth.  Sou</w:t>
      </w:r>
      <w:r>
        <w:t>thern states and some others continue to have concerns about revenue growth or lack thereof.  Lower-than-projected revenue growth is magnified in those states that are experiencing spending in excess of budget.</w:t>
      </w:r>
    </w:p>
    <w:p w:rsidR="00000000" w:rsidRDefault="00D87559">
      <w:pPr>
        <w:pStyle w:val="textup"/>
        <w:rPr>
          <w:b/>
          <w:i/>
          <w:u w:val="single"/>
        </w:rPr>
      </w:pPr>
      <w:r>
        <w:rPr>
          <w:b/>
        </w:rPr>
        <w:t>FY 2001 Adjustments</w:t>
      </w:r>
      <w:r>
        <w:tab/>
      </w:r>
      <w:r>
        <w:rPr>
          <w:b/>
          <w:i/>
          <w:u w:val="single"/>
        </w:rPr>
        <w:t>Fiscal Year 2001 Budget A</w:t>
      </w:r>
      <w:r>
        <w:rPr>
          <w:b/>
          <w:i/>
          <w:u w:val="single"/>
        </w:rPr>
        <w:t>djustments</w:t>
      </w:r>
    </w:p>
    <w:p w:rsidR="00000000" w:rsidRDefault="00D87559">
      <w:pPr>
        <w:framePr w:w="501" w:h="1159" w:hSpace="180" w:wrap="around" w:vAnchor="text" w:hAnchor="page" w:x="1542" w:y="4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D87559">
      <w:pPr>
        <w:pStyle w:val="textup"/>
      </w:pPr>
      <w:r>
        <w:rPr>
          <w:b/>
        </w:rPr>
        <w:t>Supplemental Needs</w:t>
      </w:r>
      <w:r>
        <w:rPr>
          <w:b/>
          <w:i/>
        </w:rPr>
        <w:tab/>
        <w:t>Supplemental Appropriations</w:t>
      </w:r>
      <w:r>
        <w:t xml:space="preserve"> – A total of 31 states expect to make supplemental appropriations in FY 2001.  Most of these would be for Medicaid (23 states).  Other budget areas expected to receive supplemental appropriations </w:t>
      </w:r>
      <w:r>
        <w:t>include corrections (Colorado, Missouri, Oklahoma, and Texas) and education (Florida and Washington – due to low enrollments).</w:t>
      </w:r>
    </w:p>
    <w:p w:rsidR="00000000" w:rsidRDefault="00D87559">
      <w:pPr>
        <w:framePr w:w="501" w:h="997" w:hSpace="180" w:wrap="around" w:vAnchor="text" w:hAnchor="page" w:x="1542" w:y="12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D87559">
      <w:pPr>
        <w:pStyle w:val="textup"/>
      </w:pPr>
      <w:r>
        <w:rPr>
          <w:b/>
        </w:rPr>
        <w:t>Reductions</w:t>
      </w:r>
      <w:r>
        <w:rPr>
          <w:b/>
          <w:i/>
        </w:rPr>
        <w:t xml:space="preserve"> </w:t>
      </w:r>
      <w:r>
        <w:rPr>
          <w:b/>
        </w:rPr>
        <w:t>to FY 2001</w:t>
      </w:r>
      <w:r>
        <w:rPr>
          <w:b/>
          <w:i/>
        </w:rPr>
        <w:tab/>
        <w:t>Budget Reductions</w:t>
      </w:r>
      <w:r>
        <w:t xml:space="preserve"> – The decline in revenues has caused 11 states to indicate budget reductions will be ne</w:t>
      </w:r>
      <w:r>
        <w:t>cessary to balance FY 2001.  These states include Alabama, Delaware, Florida, Iowa, Mississippi, Nevada, North Carolina, Virginia, Washington, West Virginia, and Wisconsin.  An additional eight states indicated that budget cuts are possible, including Arka</w:t>
      </w:r>
      <w:r>
        <w:t>nsas, Kentucky, Louisiana, Maine, Missouri, Ohio, South Carolina, and Texas.  Examples of budget reductions include:</w:t>
      </w:r>
    </w:p>
    <w:p w:rsidR="00000000" w:rsidRDefault="00D87559">
      <w:pPr>
        <w:pStyle w:val="Bulletup"/>
      </w:pPr>
      <w:r>
        <w:t>Alabama – has implemented a 6.2% (approximately $266.0 million) cut for education programs because revenues for the Education Trust Fund (s</w:t>
      </w:r>
      <w:r>
        <w:t>ales and income tax collections) are below estimate by 6.2%.  Estimated revenue growth for FY 2002 is 1.0% for the General Fund and 2.5% for the Education Trust Fund.</w:t>
      </w:r>
    </w:p>
    <w:p w:rsidR="00000000" w:rsidRDefault="00D87559">
      <w:pPr>
        <w:pStyle w:val="Bulletup"/>
      </w:pPr>
      <w:r>
        <w:t>Delaware – The Governor is expected to order a 2.5% cut in agency budgets for cost overru</w:t>
      </w:r>
      <w:r>
        <w:t>ns in Medicaid and information technology.  Projected revenue growth is 2.1% for FY 2001 and 4.6% for FY 2002.  The cut equates to approximately $60.4 million of the total budgeted expenditures of $2.4 billion for FY 2001.</w:t>
      </w:r>
    </w:p>
    <w:p w:rsidR="00000000" w:rsidRDefault="00D87559">
      <w:pPr>
        <w:pStyle w:val="Bulletup"/>
      </w:pPr>
      <w:r>
        <w:t>Mississippi – is anticipating $13</w:t>
      </w:r>
      <w:r>
        <w:t>7.0 million in cuts, which equates to a reduction of approximately 3.8% of total budgeted expenditures of $3.6 billion for FY 2001.</w:t>
      </w:r>
    </w:p>
    <w:p w:rsidR="00000000" w:rsidRDefault="00D87559">
      <w:pPr>
        <w:pStyle w:val="Bulletup"/>
      </w:pPr>
      <w:r>
        <w:t>Nevada – is anticipating cuts of $20.0 million to $30.0 million in one-time expenditures, such as equipment and motor vehicl</w:t>
      </w:r>
      <w:r>
        <w:t>es.  This equates to a reduction of approximately 1.2% to 1.8% of total budgeted expenditures of $1.6 billion for FY 2001.</w:t>
      </w:r>
    </w:p>
    <w:p w:rsidR="00000000" w:rsidRDefault="00D87559">
      <w:pPr>
        <w:pStyle w:val="Bulletup"/>
      </w:pPr>
      <w:r>
        <w:t>North Carolina – is making large cuts to create a $1.0 billion escrow account to deal with a projected budget gap.  Cuts include requ</w:t>
      </w:r>
      <w:r>
        <w:t>iring $248.0 million in reversions from state agencies, delaying $39.5 million in repairs and renovations, and suspending retirement contributions for five months ($151.0 million).  This equates to approximately 3.1% of total budgeted expenditures of $14.0</w:t>
      </w:r>
      <w:r>
        <w:t xml:space="preserve"> billion for FY 2001.</w:t>
      </w:r>
    </w:p>
    <w:p w:rsidR="00000000" w:rsidRDefault="00D87559">
      <w:pPr>
        <w:pStyle w:val="Bulletup"/>
      </w:pPr>
      <w:r>
        <w:t>Virginia – The Governor has implemented $122.0 million in targeted cuts and $67.0 million in across-the-board cuts.  This equates to approximately 1.5% of total budgeted expenditures of $12.5 billion for FY 2001.</w:t>
      </w:r>
    </w:p>
    <w:p w:rsidR="00000000" w:rsidRDefault="00D87559">
      <w:pPr>
        <w:pStyle w:val="Bulletup"/>
      </w:pPr>
      <w:r>
        <w:lastRenderedPageBreak/>
        <w:t>West Virginia – The G</w:t>
      </w:r>
      <w:r>
        <w:t>overnor has implemented a 3.0% across-the-board cut for all agencies except public education.  The savings will be approximately $25.0 million (1.0%) of the total FY 2001 General Fund budget of $2.7 billion.</w:t>
      </w:r>
    </w:p>
    <w:p w:rsidR="00000000" w:rsidRDefault="00D87559">
      <w:pPr>
        <w:pStyle w:val="Bulletup"/>
      </w:pPr>
      <w:r>
        <w:t>Wisconsin – The Executive Branch implemented a h</w:t>
      </w:r>
      <w:r>
        <w:t>iring freeze, restricted travel, and required a 0.5% reversion for all agencies for FY 2001.  This equates to a savings of approximately $55.4 million of the total FY 2001 budget of $11.0 billion.</w:t>
      </w:r>
    </w:p>
    <w:p w:rsidR="00000000" w:rsidRDefault="00D87559">
      <w:pPr>
        <w:pStyle w:val="textup"/>
      </w:pPr>
      <w:r>
        <w:rPr>
          <w:b/>
          <w:noProof/>
        </w:rPr>
        <w:drawing>
          <wp:anchor distT="0" distB="0" distL="114300" distR="114300" simplePos="0" relativeHeight="251661312" behindDoc="0" locked="0" layoutInCell="1" allowOverlap="1">
            <wp:simplePos x="0" y="0"/>
            <wp:positionH relativeFrom="column">
              <wp:posOffset>-1777365</wp:posOffset>
            </wp:positionH>
            <wp:positionV relativeFrom="paragraph">
              <wp:posOffset>403225</wp:posOffset>
            </wp:positionV>
            <wp:extent cx="800100" cy="300990"/>
            <wp:effectExtent l="19050" t="0" r="0" b="0"/>
            <wp:wrapNone/>
            <wp:docPr id="88" name="Picture 88" descr="E:\Clipart\MISC\Finance\FINAN0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Clipart\MISC\Finance\FINAN057.WMF"/>
                    <pic:cNvPicPr>
                      <a:picLocks noChangeAspect="1" noChangeArrowheads="1"/>
                    </pic:cNvPicPr>
                  </pic:nvPicPr>
                  <pic:blipFill>
                    <a:blip r:embed="rId14"/>
                    <a:srcRect/>
                    <a:stretch>
                      <a:fillRect/>
                    </a:stretch>
                  </pic:blipFill>
                  <pic:spPr bwMode="auto">
                    <a:xfrm>
                      <a:off x="0" y="0"/>
                      <a:ext cx="800100" cy="300990"/>
                    </a:xfrm>
                    <a:prstGeom prst="rect">
                      <a:avLst/>
                    </a:prstGeom>
                    <a:noFill/>
                  </pic:spPr>
                </pic:pic>
              </a:graphicData>
            </a:graphic>
          </wp:anchor>
        </w:drawing>
      </w:r>
      <w:r>
        <w:rPr>
          <w:b/>
        </w:rPr>
        <w:t>Reserve Funds</w:t>
      </w:r>
      <w:r>
        <w:rPr>
          <w:b/>
          <w:i/>
        </w:rPr>
        <w:tab/>
        <w:t>Reserve Funds</w:t>
      </w:r>
      <w:r>
        <w:t xml:space="preserve"> – Five states reported that re</w:t>
      </w:r>
      <w:r>
        <w:t>serve (rainy day) funds will be tapped in FY 2001.  These include North Carolina ($157.0 million), Oklahoma, Mississippi ($15.0 million, with an additional $35.0 million authorized), Washington, and Colorado.  An additional six states indicate that tapping</w:t>
      </w:r>
      <w:r>
        <w:t xml:space="preserve"> reserve funds is a possibility, including Florida, Indiana, Iowa, Ohio, Vermont, and West Virginia.</w:t>
      </w:r>
    </w:p>
    <w:p w:rsidR="00000000" w:rsidRDefault="00D87559">
      <w:pPr>
        <w:pStyle w:val="textup"/>
      </w:pPr>
      <w:r>
        <w:rPr>
          <w:b/>
        </w:rPr>
        <w:t>Tax Changes</w:t>
      </w:r>
      <w:r>
        <w:rPr>
          <w:b/>
          <w:i/>
        </w:rPr>
        <w:tab/>
        <w:t>Anticipated Tax Changes</w:t>
      </w:r>
      <w:r>
        <w:t xml:space="preserve"> – Twenty-two states indicated there will be no tax changes this year, while 10 states indicated tax increases were like</w:t>
      </w:r>
      <w:r>
        <w:t>ly, and 18 states indicated tax reductions were possible.  The summary by state is indicated in the table below.</w:t>
      </w:r>
    </w:p>
    <w:p w:rsidR="00000000" w:rsidRDefault="00D87559">
      <w:pPr>
        <w:pStyle w:val="textup"/>
        <w:rPr>
          <w:b/>
        </w:rPr>
      </w:pPr>
      <w:r>
        <w:t xml:space="preserve">                                                                   </w:t>
      </w:r>
      <w:r>
        <w:rPr>
          <w:b/>
        </w:rPr>
        <w:t>Anticipated Tax Changes During 2001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5"/>
        <w:gridCol w:w="2214"/>
        <w:gridCol w:w="2309"/>
      </w:tblGrid>
      <w:tr w:rsidR="00000000">
        <w:tblPrEx>
          <w:tblCellMar>
            <w:top w:w="0" w:type="dxa"/>
            <w:bottom w:w="0" w:type="dxa"/>
          </w:tblCellMar>
        </w:tblPrEx>
        <w:tc>
          <w:tcPr>
            <w:tcW w:w="2335" w:type="dxa"/>
          </w:tcPr>
          <w:p w:rsidR="00000000" w:rsidRDefault="00D87559">
            <w:pPr>
              <w:rPr>
                <w:rFonts w:ascii="Univers" w:hAnsi="Univers"/>
                <w:sz w:val="18"/>
              </w:rPr>
            </w:pPr>
            <w:r>
              <w:rPr>
                <w:rFonts w:ascii="Univers" w:hAnsi="Univers"/>
                <w:sz w:val="18"/>
              </w:rPr>
              <w:t>No Change</w:t>
            </w:r>
          </w:p>
          <w:p w:rsidR="00000000" w:rsidRDefault="00D87559">
            <w:pPr>
              <w:rPr>
                <w:rFonts w:ascii="Univers" w:hAnsi="Univers"/>
                <w:sz w:val="18"/>
              </w:rPr>
            </w:pPr>
            <w:r>
              <w:rPr>
                <w:rFonts w:ascii="Univers" w:hAnsi="Univers"/>
                <w:sz w:val="18"/>
              </w:rPr>
              <w:t>(22 states)</w:t>
            </w:r>
          </w:p>
        </w:tc>
        <w:tc>
          <w:tcPr>
            <w:tcW w:w="2214" w:type="dxa"/>
          </w:tcPr>
          <w:p w:rsidR="00000000" w:rsidRDefault="00D87559">
            <w:pPr>
              <w:rPr>
                <w:rFonts w:ascii="Univers" w:hAnsi="Univers"/>
                <w:sz w:val="18"/>
              </w:rPr>
            </w:pPr>
            <w:r>
              <w:rPr>
                <w:rFonts w:ascii="Univers" w:hAnsi="Univers"/>
                <w:sz w:val="18"/>
              </w:rPr>
              <w:t>Tax Increases</w:t>
            </w:r>
          </w:p>
          <w:p w:rsidR="00000000" w:rsidRDefault="00D87559">
            <w:pPr>
              <w:rPr>
                <w:rFonts w:ascii="Univers" w:hAnsi="Univers"/>
                <w:sz w:val="18"/>
              </w:rPr>
            </w:pPr>
            <w:r>
              <w:rPr>
                <w:rFonts w:ascii="Univers" w:hAnsi="Univers"/>
                <w:sz w:val="18"/>
              </w:rPr>
              <w:t xml:space="preserve">(10 </w:t>
            </w:r>
            <w:r>
              <w:rPr>
                <w:rFonts w:ascii="Univers" w:hAnsi="Univers"/>
                <w:sz w:val="18"/>
              </w:rPr>
              <w:t>states)</w:t>
            </w:r>
          </w:p>
        </w:tc>
        <w:tc>
          <w:tcPr>
            <w:tcW w:w="2309" w:type="dxa"/>
          </w:tcPr>
          <w:p w:rsidR="00000000" w:rsidRDefault="00D87559">
            <w:pPr>
              <w:rPr>
                <w:rFonts w:ascii="Univers" w:hAnsi="Univers"/>
                <w:sz w:val="18"/>
              </w:rPr>
            </w:pPr>
            <w:r>
              <w:rPr>
                <w:rFonts w:ascii="Univers" w:hAnsi="Univers"/>
                <w:sz w:val="18"/>
              </w:rPr>
              <w:t>Tax Decreases</w:t>
            </w:r>
          </w:p>
          <w:p w:rsidR="00000000" w:rsidRDefault="00D87559">
            <w:pPr>
              <w:rPr>
                <w:rFonts w:ascii="Univers" w:hAnsi="Univers"/>
                <w:sz w:val="18"/>
              </w:rPr>
            </w:pPr>
            <w:r>
              <w:rPr>
                <w:rFonts w:ascii="Univers" w:hAnsi="Univers"/>
                <w:sz w:val="18"/>
              </w:rPr>
              <w:t>(18 states)</w:t>
            </w:r>
          </w:p>
        </w:tc>
      </w:tr>
      <w:tr w:rsidR="00000000">
        <w:tblPrEx>
          <w:tblCellMar>
            <w:top w:w="0" w:type="dxa"/>
            <w:bottom w:w="0" w:type="dxa"/>
          </w:tblCellMar>
        </w:tblPrEx>
        <w:tc>
          <w:tcPr>
            <w:tcW w:w="2335" w:type="dxa"/>
          </w:tcPr>
          <w:p w:rsidR="00000000" w:rsidRDefault="00D87559">
            <w:pPr>
              <w:rPr>
                <w:rFonts w:ascii="Univers" w:hAnsi="Univers"/>
                <w:sz w:val="18"/>
              </w:rPr>
            </w:pPr>
            <w:r>
              <w:rPr>
                <w:rFonts w:ascii="Univers" w:hAnsi="Univers"/>
                <w:sz w:val="18"/>
              </w:rPr>
              <w:t>Alabama, Colorado, Georgia, Illinois, Indiana, Kentucky, Maryland, Massachusetts, Michigan, Mississippi, Missouri, Montana, Nebraska, Nevada, New Hampshire, Ohio, Oregon, Pennsylvania, South Dakota, Texas, Wisconsin, Wyom</w:t>
            </w:r>
            <w:r>
              <w:rPr>
                <w:rFonts w:ascii="Univers" w:hAnsi="Univers"/>
                <w:sz w:val="18"/>
              </w:rPr>
              <w:t>ing</w:t>
            </w:r>
          </w:p>
        </w:tc>
        <w:tc>
          <w:tcPr>
            <w:tcW w:w="2214" w:type="dxa"/>
          </w:tcPr>
          <w:p w:rsidR="00000000" w:rsidRDefault="00D87559">
            <w:pPr>
              <w:rPr>
                <w:rFonts w:ascii="Univers" w:hAnsi="Univers"/>
                <w:sz w:val="18"/>
              </w:rPr>
            </w:pPr>
            <w:r>
              <w:rPr>
                <w:rFonts w:ascii="Univers" w:hAnsi="Univers"/>
                <w:sz w:val="18"/>
              </w:rPr>
              <w:t>Alaska, Arkansas, Kansas, Louisiana, Maine, North Carolina, Tennessee, Vermont, Washington, West Virginia</w:t>
            </w:r>
          </w:p>
        </w:tc>
        <w:tc>
          <w:tcPr>
            <w:tcW w:w="2309" w:type="dxa"/>
          </w:tcPr>
          <w:p w:rsidR="00000000" w:rsidRDefault="00D87559">
            <w:pPr>
              <w:rPr>
                <w:rFonts w:ascii="Univers" w:hAnsi="Univers"/>
                <w:sz w:val="18"/>
              </w:rPr>
            </w:pPr>
            <w:r>
              <w:rPr>
                <w:rFonts w:ascii="Univers" w:hAnsi="Univers"/>
                <w:sz w:val="18"/>
              </w:rPr>
              <w:t>Arizona, California, Connecticut, Delaware, Florida, Hawaii, Idaho, Iowa, Minnesota, New Jersey, New Mexico, New York, North Dakota, Oklahoma, Rho</w:t>
            </w:r>
            <w:r>
              <w:rPr>
                <w:rFonts w:ascii="Univers" w:hAnsi="Univers"/>
                <w:sz w:val="18"/>
              </w:rPr>
              <w:t>de Island, South Carolina, Utah, Virginia</w:t>
            </w:r>
          </w:p>
        </w:tc>
      </w:tr>
    </w:tbl>
    <w:p w:rsidR="00000000" w:rsidRDefault="00D87559">
      <w:pPr>
        <w:pStyle w:val="textup"/>
      </w:pPr>
      <w:r>
        <w:rPr>
          <w:b/>
        </w:rPr>
        <w:t>Tax Changes Anticipated</w:t>
      </w:r>
      <w:r>
        <w:tab/>
        <w:t>Examples of tax changes already enacted or anticipated include:</w:t>
      </w:r>
    </w:p>
    <w:p w:rsidR="00000000" w:rsidRDefault="00D87559">
      <w:pPr>
        <w:pStyle w:val="Bulletup"/>
      </w:pPr>
      <w:r>
        <w:t>Arizona – plans $15.0 million in tax cuts for FY 2002 and $30.0 million for FY 2003.</w:t>
      </w:r>
    </w:p>
    <w:p w:rsidR="00000000" w:rsidRDefault="00D87559">
      <w:pPr>
        <w:pStyle w:val="Bulletup"/>
      </w:pPr>
      <w:r>
        <w:rPr>
          <w:b/>
          <w:noProof/>
        </w:rPr>
        <w:pict>
          <v:shape id="_x0000_s1113" type="#_x0000_t202" style="position:absolute;left:0;text-align:left;margin-left:-121.2pt;margin-top:7.4pt;width:51.2pt;height:43.25pt;z-index:251662336">
            <v:textbox style="mso-next-textbox:#_x0000_s1113">
              <w:txbxContent>
                <w:p w:rsidR="00000000" w:rsidRDefault="00D87559">
                  <w:r>
                    <w:rPr>
                      <w:noProof/>
                    </w:rPr>
                    <w:drawing>
                      <wp:inline distT="0" distB="0" distL="0" distR="0">
                        <wp:extent cx="457200" cy="4476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457200" cy="447675"/>
                                </a:xfrm>
                                <a:prstGeom prst="rect">
                                  <a:avLst/>
                                </a:prstGeom>
                                <a:noFill/>
                                <a:ln w="9525">
                                  <a:noFill/>
                                  <a:miter lim="800000"/>
                                  <a:headEnd/>
                                  <a:tailEnd/>
                                </a:ln>
                              </pic:spPr>
                            </pic:pic>
                          </a:graphicData>
                        </a:graphic>
                      </wp:inline>
                    </w:drawing>
                  </w:r>
                </w:p>
              </w:txbxContent>
            </v:textbox>
            <w10:wrap type="square"/>
          </v:shape>
        </w:pict>
      </w:r>
      <w:r>
        <w:t>California, Delaware, and Florida – pla</w:t>
      </w:r>
      <w:r>
        <w:t>nning targeted tax reductions or credits.</w:t>
      </w:r>
    </w:p>
    <w:p w:rsidR="00000000" w:rsidRDefault="00D87559">
      <w:pPr>
        <w:pStyle w:val="Bulletup"/>
      </w:pPr>
      <w:r>
        <w:t>Iowa – suspended the sales tax on utilities for February and March of 2001 and will completely phase out the tax next year.</w:t>
      </w:r>
    </w:p>
    <w:p w:rsidR="00000000" w:rsidRDefault="00D87559">
      <w:pPr>
        <w:pStyle w:val="Bulletup"/>
      </w:pPr>
      <w:r>
        <w:t>New Jersey – enacted a $36.0 million corporate tax cut.</w:t>
      </w:r>
    </w:p>
    <w:p w:rsidR="00000000" w:rsidRDefault="00D87559">
      <w:pPr>
        <w:pStyle w:val="Bulletup"/>
      </w:pPr>
      <w:r>
        <w:t>Louisiana – may raise gambling tax</w:t>
      </w:r>
      <w:r>
        <w:t>es to fund teacher pay increases.</w:t>
      </w:r>
    </w:p>
    <w:p w:rsidR="00000000" w:rsidRDefault="00D87559">
      <w:pPr>
        <w:pStyle w:val="Bulletup"/>
      </w:pPr>
      <w:r>
        <w:t>Maine – The Governor has proposed increases in cigarette and meals and lodging taxes.</w:t>
      </w:r>
    </w:p>
    <w:p w:rsidR="00000000" w:rsidRDefault="00D87559">
      <w:pPr>
        <w:pStyle w:val="Bulletup"/>
      </w:pPr>
      <w:r>
        <w:lastRenderedPageBreak/>
        <w:t>Tennessee – The Governor has proposed an $800.0 million tax plan to cover a budget gap for FY 2002.</w:t>
      </w:r>
    </w:p>
    <w:p w:rsidR="00000000" w:rsidRDefault="00D87559">
      <w:pPr>
        <w:pStyle w:val="textup"/>
        <w:rPr>
          <w:b/>
          <w:i/>
          <w:u w:val="single"/>
        </w:rPr>
      </w:pPr>
      <w:r>
        <w:rPr>
          <w:b/>
        </w:rPr>
        <w:t>FY 2002 Revenue Changes</w:t>
      </w:r>
      <w:r>
        <w:rPr>
          <w:b/>
        </w:rPr>
        <w:tab/>
      </w:r>
      <w:r>
        <w:rPr>
          <w:b/>
          <w:i/>
          <w:u w:val="single"/>
        </w:rPr>
        <w:t>Revenues for</w:t>
      </w:r>
      <w:r>
        <w:rPr>
          <w:b/>
          <w:i/>
          <w:u w:val="single"/>
        </w:rPr>
        <w:t xml:space="preserve"> FY 2002</w:t>
      </w:r>
    </w:p>
    <w:p w:rsidR="00000000" w:rsidRDefault="00D87559">
      <w:pPr>
        <w:framePr w:w="792" w:h="864" w:hSpace="187" w:wrap="around" w:vAnchor="page" w:hAnchor="page" w:x="1535" w:y="37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00000" w:rsidRDefault="00D87559">
      <w:pPr>
        <w:pStyle w:val="textup"/>
      </w:pPr>
      <w:r>
        <w:rPr>
          <w:b/>
        </w:rPr>
        <w:t>Revenue Forecasts</w:t>
      </w:r>
      <w:r>
        <w:tab/>
        <w:t>A total of 24 states indicate FY 2002 revenue growth will be lower than FY 2001, while 13 states anticipate higher revenue growth in FY 2002.  Of the revenue forecasts that were used to prepare FY 2001 budgets, 23 projected inc</w:t>
      </w:r>
      <w:r>
        <w:t>reases of 4.0% or more.  Currently, 24 states expect FY 2002 growth to be at least 4.0%.  However, these forecasts may be revised.  Iowa recently reduced the FY 2002 revenue estimate and Kansas and Kentucky are expected to reduce their estimates as well.</w:t>
      </w:r>
    </w:p>
    <w:p w:rsidR="00000000" w:rsidRDefault="00D87559">
      <w:pPr>
        <w:pStyle w:val="textup"/>
        <w:rPr>
          <w:b/>
          <w:sz w:val="22"/>
        </w:rPr>
      </w:pPr>
      <w:r>
        <w:rPr>
          <w:b/>
          <w:sz w:val="22"/>
        </w:rPr>
        <w:t xml:space="preserve"> </w:t>
      </w:r>
      <w:r>
        <w:rPr>
          <w:b/>
          <w:sz w:val="22"/>
        </w:rPr>
        <w:t xml:space="preserve">                                                Revenue Projections for Surrounding States</w:t>
      </w:r>
    </w:p>
    <w:p w:rsidR="00000000" w:rsidRDefault="00D87559">
      <w:pPr>
        <w:pStyle w:val="textup"/>
        <w:spacing w:before="0" w:after="0"/>
        <w:jc w:val="center"/>
        <w:rPr>
          <w:sz w:val="18"/>
        </w:rPr>
      </w:pPr>
      <w:r>
        <w:rPr>
          <w:sz w:val="18"/>
        </w:rPr>
        <w:t xml:space="preserve">                               (FY 2002 is top number / FY 2001 is bottom number)</w:t>
      </w:r>
    </w:p>
    <w:p w:rsidR="00000000" w:rsidRDefault="00D87559">
      <w:pPr>
        <w:pStyle w:val="textup"/>
        <w:spacing w:before="0" w:after="0"/>
        <w:jc w:val="center"/>
        <w:rPr>
          <w:sz w:val="18"/>
        </w:rPr>
      </w:pPr>
      <w:r>
        <w:rPr>
          <w:noProof/>
          <w:sz w:val="18"/>
        </w:rPr>
        <w:drawing>
          <wp:anchor distT="0" distB="0" distL="114300" distR="114300" simplePos="0" relativeHeight="251645952" behindDoc="0" locked="0" layoutInCell="0" allowOverlap="1">
            <wp:simplePos x="0" y="0"/>
            <wp:positionH relativeFrom="column">
              <wp:posOffset>622935</wp:posOffset>
            </wp:positionH>
            <wp:positionV relativeFrom="paragraph">
              <wp:posOffset>470535</wp:posOffset>
            </wp:positionV>
            <wp:extent cx="2802255" cy="2971800"/>
            <wp:effectExtent l="19050" t="19050" r="17145" b="19050"/>
            <wp:wrapTopAndBottom/>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srcRect/>
                    <a:stretch>
                      <a:fillRect/>
                    </a:stretch>
                  </pic:blipFill>
                  <pic:spPr bwMode="auto">
                    <a:xfrm>
                      <a:off x="0" y="0"/>
                      <a:ext cx="2802255" cy="2971800"/>
                    </a:xfrm>
                    <a:prstGeom prst="rect">
                      <a:avLst/>
                    </a:prstGeom>
                    <a:noFill/>
                    <a:ln w="9525">
                      <a:solidFill>
                        <a:srgbClr val="000000"/>
                      </a:solidFill>
                      <a:miter lim="800000"/>
                      <a:headEnd/>
                      <a:tailEnd/>
                    </a:ln>
                  </pic:spPr>
                </pic:pic>
              </a:graphicData>
            </a:graphic>
          </wp:anchor>
        </w:drawing>
      </w:r>
      <w:r>
        <w:rPr>
          <w:sz w:val="18"/>
        </w:rPr>
        <w:t xml:space="preserve">                        Source:  NCSL and various State fiscal websites</w:t>
      </w:r>
    </w:p>
    <w:p w:rsidR="00000000" w:rsidRDefault="00D87559">
      <w:pPr>
        <w:pStyle w:val="textup"/>
        <w:spacing w:before="0" w:after="0"/>
        <w:rPr>
          <w:b/>
          <w:i/>
          <w:u w:val="single"/>
        </w:rPr>
      </w:pPr>
    </w:p>
    <w:p w:rsidR="00000000" w:rsidRDefault="00D87559">
      <w:pPr>
        <w:pStyle w:val="textup"/>
        <w:spacing w:before="0" w:after="0"/>
        <w:rPr>
          <w:b/>
          <w:i/>
          <w:u w:val="single"/>
        </w:rPr>
      </w:pPr>
      <w:r>
        <w:rPr>
          <w:b/>
          <w:noProof/>
        </w:rPr>
        <w:drawing>
          <wp:anchor distT="0" distB="0" distL="114300" distR="114300" simplePos="0" relativeHeight="251666432" behindDoc="0" locked="0" layoutInCell="1" allowOverlap="1">
            <wp:simplePos x="0" y="0"/>
            <wp:positionH relativeFrom="column">
              <wp:posOffset>-1663065</wp:posOffset>
            </wp:positionH>
            <wp:positionV relativeFrom="paragraph">
              <wp:posOffset>671195</wp:posOffset>
            </wp:positionV>
            <wp:extent cx="548640" cy="571500"/>
            <wp:effectExtent l="19050" t="0" r="3810" b="0"/>
            <wp:wrapNone/>
            <wp:docPr id="102" name="Picture 102" descr="E:\Clipart\MISC\Finance\CS00091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Clipart\MISC\Finance\CS000916.WMF"/>
                    <pic:cNvPicPr>
                      <a:picLocks noChangeAspect="1" noChangeArrowheads="1"/>
                    </pic:cNvPicPr>
                  </pic:nvPicPr>
                  <pic:blipFill>
                    <a:blip r:embed="rId39"/>
                    <a:srcRect/>
                    <a:stretch>
                      <a:fillRect/>
                    </a:stretch>
                  </pic:blipFill>
                  <pic:spPr bwMode="auto">
                    <a:xfrm>
                      <a:off x="0" y="0"/>
                      <a:ext cx="548640" cy="571500"/>
                    </a:xfrm>
                    <a:prstGeom prst="rect">
                      <a:avLst/>
                    </a:prstGeom>
                    <a:noFill/>
                  </pic:spPr>
                </pic:pic>
              </a:graphicData>
            </a:graphic>
          </wp:anchor>
        </w:drawing>
      </w:r>
    </w:p>
    <w:p w:rsidR="00000000" w:rsidRDefault="00D87559">
      <w:pPr>
        <w:pStyle w:val="textup"/>
        <w:rPr>
          <w:b/>
        </w:rPr>
      </w:pPr>
    </w:p>
    <w:p w:rsidR="00000000" w:rsidRDefault="00D87559">
      <w:pPr>
        <w:pStyle w:val="textup"/>
      </w:pPr>
      <w:r>
        <w:rPr>
          <w:b/>
        </w:rPr>
        <w:t>Source</w:t>
      </w:r>
      <w:r>
        <w:rPr>
          <w:b/>
        </w:rPr>
        <w:t xml:space="preserve"> </w:t>
      </w:r>
      <w:r>
        <w:rPr>
          <w:b/>
        </w:rPr>
        <w:tab/>
      </w:r>
      <w:r>
        <w:t xml:space="preserve">As mentioned above, the source of the information in this article is “State Fiscal Outlook for 2001 – February 2001” as published by NCSL.  The entire text of this report is available on the NCSL website at </w:t>
      </w:r>
      <w:hyperlink r:id="rId40" w:history="1">
        <w:r>
          <w:rPr>
            <w:rStyle w:val="Hyperlink"/>
          </w:rPr>
          <w:t>www.ncsl.</w:t>
        </w:r>
        <w:r>
          <w:rPr>
            <w:rStyle w:val="Hyperlink"/>
          </w:rPr>
          <w:t>o</w:t>
        </w:r>
        <w:r>
          <w:rPr>
            <w:rStyle w:val="Hyperlink"/>
          </w:rPr>
          <w:t>rg/programs/fiscal/upsfo2001.htm</w:t>
        </w:r>
      </w:hyperlink>
      <w:r>
        <w:t>.</w:t>
      </w:r>
    </w:p>
    <w:p w:rsidR="00000000" w:rsidRDefault="00D87559">
      <w:pPr>
        <w:pStyle w:val="Contactup"/>
      </w:pPr>
      <w:r>
        <w:t>STAFF CONTACT:  Holly Lyons (Ext. 17845)  Mary Shipman (Ext. 14617)</w:t>
      </w:r>
    </w:p>
    <w:bookmarkEnd w:id="4"/>
    <w:p w:rsidR="00000000" w:rsidRDefault="00D87559">
      <w:pPr>
        <w:pStyle w:val="Blurbtitle"/>
      </w:pPr>
      <w:r>
        <w:t>Tax Revenue Slowdown Experienced Nationwide</w:t>
      </w:r>
    </w:p>
    <w:p w:rsidR="00000000" w:rsidRDefault="00D87559">
      <w:pPr>
        <w:pStyle w:val="textup"/>
      </w:pPr>
      <w:r>
        <w:rPr>
          <w:b/>
          <w:noProof/>
        </w:rPr>
        <w:pict>
          <v:shape id="_x0000_s1130" type="#_x0000_t202" style="position:absolute;margin-left:-139.95pt;margin-top:27.1pt;width:54pt;height:1in;z-index:251669504" stroked="f">
            <v:textbox>
              <w:txbxContent>
                <w:p w:rsidR="00000000" w:rsidRDefault="00D87559">
                  <w:p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00000" w:rsidRDefault="00D87559">
                  <w:pPr>
                    <w:pStyle w:val="Caption"/>
                    <w:jc w:val="center"/>
                    <w:rPr>
                      <w:sz w:val="16"/>
                    </w:rPr>
                  </w:pPr>
                  <w:r>
                    <w:rPr>
                      <w:sz w:val="16"/>
                    </w:rPr>
                    <w:t>REPORT</w:t>
                  </w:r>
                </w:p>
                <w:p w:rsidR="00000000" w:rsidRDefault="00D87559"/>
              </w:txbxContent>
            </v:textbox>
          </v:shape>
        </w:pict>
      </w:r>
      <w:r>
        <w:rPr>
          <w:b/>
        </w:rPr>
        <w:t>Recent Report</w:t>
      </w:r>
      <w:r>
        <w:tab/>
        <w:t xml:space="preserve">According to a report recently released by Nelson A. Rockefeller </w:t>
      </w:r>
      <w:r>
        <w:t xml:space="preserve">Institute of Government in Albany, New York, states had a prosperous year in 2000.  However, tax collections grew by 4.0% in the fourth quarter of </w:t>
      </w:r>
      <w:r>
        <w:lastRenderedPageBreak/>
        <w:t>calendar year 2000, making it the slowest quarter since the spring of 1993.  After inflation adjustments, rea</w:t>
      </w:r>
      <w:r>
        <w:t xml:space="preserve">l tax revenue growth was only 1.6 percent, the weakest quarter in eight years. </w:t>
      </w:r>
    </w:p>
    <w:p w:rsidR="00000000" w:rsidRDefault="00D87559">
      <w:pPr>
        <w:pStyle w:val="textup"/>
      </w:pPr>
      <w:r>
        <w:rPr>
          <w:b/>
        </w:rPr>
        <w:t>Report Online</w:t>
      </w:r>
      <w:r>
        <w:tab/>
        <w:t xml:space="preserve">The report, authored by Nicholas W. Jenny and Elizabeth I. Davis, and available online at: </w:t>
      </w:r>
      <w:hyperlink r:id="rId41" w:history="1">
        <w:r>
          <w:rPr>
            <w:rStyle w:val="Hyperlink"/>
          </w:rPr>
          <w:t>http://www.rockinst.org/p</w:t>
        </w:r>
        <w:r>
          <w:rPr>
            <w:rStyle w:val="Hyperlink"/>
          </w:rPr>
          <w:t>u</w:t>
        </w:r>
        <w:r>
          <w:rPr>
            <w:rStyle w:val="Hyperlink"/>
          </w:rPr>
          <w:t>blications/fiscal_studies/RR_43.PDF</w:t>
        </w:r>
      </w:hyperlink>
      <w:r>
        <w:t xml:space="preserve">, states that the downturn is the greatest in the Plains states and the Southeast states which experienced an overall revenue growth of 2.0% and 2.2% respectively.  Iowa was cited as one </w:t>
      </w:r>
      <w:r>
        <w:t>of 7 states that experienced a decline in personal tax income revenue growth in the fourth quarter.  Certain regions like the Great Lakes states and the Plains states had nearly no growth in sales tax revenue.</w:t>
      </w:r>
    </w:p>
    <w:p w:rsidR="00000000" w:rsidRDefault="00D87559">
      <w:pPr>
        <w:framePr w:w="945" w:h="1009" w:hSpace="180" w:wrap="around" w:vAnchor="text" w:hAnchor="page" w:x="1362" w:y="58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619125" cy="4000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srcRect/>
                    <a:stretch>
                      <a:fillRect/>
                    </a:stretch>
                  </pic:blipFill>
                  <pic:spPr bwMode="auto">
                    <a:xfrm>
                      <a:off x="0" y="0"/>
                      <a:ext cx="619125" cy="400050"/>
                    </a:xfrm>
                    <a:prstGeom prst="rect">
                      <a:avLst/>
                    </a:prstGeom>
                    <a:noFill/>
                    <a:ln w="9525">
                      <a:noFill/>
                      <a:miter lim="800000"/>
                      <a:headEnd/>
                      <a:tailEnd/>
                    </a:ln>
                  </pic:spPr>
                </pic:pic>
              </a:graphicData>
            </a:graphic>
          </wp:inline>
        </w:drawing>
      </w:r>
    </w:p>
    <w:p w:rsidR="00000000" w:rsidRDefault="00D87559">
      <w:pPr>
        <w:pStyle w:val="textup"/>
      </w:pPr>
      <w:r>
        <w:rPr>
          <w:b/>
        </w:rPr>
        <w:t>Reasons Cited</w:t>
      </w:r>
      <w:r>
        <w:tab/>
        <w:t>The authors attribute the slow</w:t>
      </w:r>
      <w:r>
        <w:t xml:space="preserve">ing growth in states to three general reasons:  </w:t>
      </w:r>
    </w:p>
    <w:p w:rsidR="00000000" w:rsidRDefault="00D87559">
      <w:pPr>
        <w:pStyle w:val="Bulletup"/>
      </w:pPr>
      <w:r>
        <w:t>Reduced revenue resulting from a seventh straight year of tax cuts.</w:t>
      </w:r>
    </w:p>
    <w:p w:rsidR="00000000" w:rsidRDefault="00D87559">
      <w:pPr>
        <w:pStyle w:val="Bulletup"/>
      </w:pPr>
      <w:r>
        <w:t>Differences in states’ tax collection systems.</w:t>
      </w:r>
    </w:p>
    <w:p w:rsidR="00000000" w:rsidRDefault="00D87559">
      <w:pPr>
        <w:pStyle w:val="Bulletup"/>
      </w:pPr>
      <w:r>
        <w:t>Tax law changes affecting the fourth quarter of calendar year 2000.</w:t>
      </w:r>
    </w:p>
    <w:p w:rsidR="00000000" w:rsidRDefault="00D87559">
      <w:pPr>
        <w:pStyle w:val="textup"/>
      </w:pPr>
      <w:r>
        <w:rPr>
          <w:b/>
        </w:rPr>
        <w:t>Outlook</w:t>
      </w:r>
      <w:r>
        <w:tab/>
        <w:t>The economic out</w:t>
      </w:r>
      <w:r>
        <w:t>look is uncertain and the report states that if growth continues at the same level or decreases further, states may not have much money for large tax cuts or spending increases, but may have to choose between tax cuts or spending increases, or do less of e</w:t>
      </w:r>
      <w:r>
        <w:t>ach.  Ms. Davis states, “It really impacts how much the states can spend and how much they can cut taxes.  The last few years, they’ve been able to do both.”</w:t>
      </w:r>
    </w:p>
    <w:p w:rsidR="00000000" w:rsidRDefault="00D87559">
      <w:pPr>
        <w:pStyle w:val="Contactup"/>
      </w:pPr>
      <w:r>
        <w:t>STAFF CONTACT:  Holly Lyons ( Ext. 17845)  Glen Dickinson (Ext. 14616)</w:t>
      </w:r>
    </w:p>
    <w:p w:rsidR="00000000" w:rsidRDefault="00D87559">
      <w:pPr>
        <w:pStyle w:val="Blurbtitle"/>
      </w:pPr>
      <w:r>
        <w:t xml:space="preserve">Estimated FY 2002 Built-in </w:t>
      </w:r>
      <w:r>
        <w:t>and Anticipated Expenditure Changes</w:t>
      </w:r>
    </w:p>
    <w:p w:rsidR="00000000" w:rsidRDefault="00D87559">
      <w:pPr>
        <w:framePr w:w="501" w:h="1159" w:hSpace="180" w:wrap="around" w:vAnchor="text" w:hAnchor="page" w:x="1542" w:y="58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D87559">
      <w:pPr>
        <w:pStyle w:val="textup"/>
      </w:pPr>
      <w:r>
        <w:rPr>
          <w:b/>
        </w:rPr>
        <w:t>“Built-ins” Revised Upward</w:t>
      </w:r>
      <w:r>
        <w:tab/>
        <w:t>The Legislative Fiscal Bureau (LFB) has revised the projected General Fund built-in and anticipated expenditure increases.  The LFB is projecting these expenditure increases to total $204.5 m</w:t>
      </w:r>
      <w:r>
        <w:t xml:space="preserve">illion for FY 2002.  The expenditures include $103.7 million in built-in increases and $100.8 million in anticipated increases.  The previous estimate, issued in January, totaled $187.8 million.  </w:t>
      </w:r>
    </w:p>
    <w:p w:rsidR="00000000" w:rsidRDefault="00D87559">
      <w:pPr>
        <w:pStyle w:val="textup"/>
      </w:pPr>
      <w:r>
        <w:rPr>
          <w:b/>
        </w:rPr>
        <w:t>Reason for Increase</w:t>
      </w:r>
      <w:r>
        <w:tab/>
        <w:t>The majority of the projected expenditu</w:t>
      </w:r>
      <w:r>
        <w:t xml:space="preserve">res either remained unchanged or were reduced compared to the January estimate.  The one significant increase involved collective bargaining, which was revised upward from $42.2 million to $92.0 million.  The increase is the result of the final negotiated </w:t>
      </w:r>
      <w:r>
        <w:t xml:space="preserve">agreement for salaries and benefits between the Governor’s Office and the State employee unions.  </w:t>
      </w:r>
    </w:p>
    <w:p w:rsidR="00000000" w:rsidRDefault="00D87559">
      <w:pPr>
        <w:pStyle w:val="textup"/>
      </w:pPr>
      <w:r>
        <w:rPr>
          <w:b/>
        </w:rPr>
        <w:t>Explanation of “Built-in”</w:t>
      </w:r>
      <w:r>
        <w:tab/>
        <w:t xml:space="preserve">The following is a brief explanation of built-in and anticipated expenditures:  </w:t>
      </w:r>
    </w:p>
    <w:p w:rsidR="00000000" w:rsidRDefault="00D87559">
      <w:pPr>
        <w:pStyle w:val="Bulletup"/>
      </w:pPr>
      <w:r>
        <w:lastRenderedPageBreak/>
        <w:t>A built-in expenditure is an entitlement program f</w:t>
      </w:r>
      <w:r>
        <w:t xml:space="preserve">unded by a standing appropriation or a prior appropriation for a future fiscal year which increases or decreases compared to the prior year.  </w:t>
      </w:r>
    </w:p>
    <w:p w:rsidR="00000000" w:rsidRDefault="00D87559">
      <w:pPr>
        <w:pStyle w:val="Bulletup"/>
      </w:pPr>
      <w:r>
        <w:t>An anticipated expenditure is an anticipated increase or decrease based on prior obligation or action and require</w:t>
      </w:r>
      <w:r>
        <w:t xml:space="preserve">s legislative action.  </w:t>
      </w:r>
    </w:p>
    <w:p w:rsidR="00000000" w:rsidRDefault="00D87559">
      <w:pPr>
        <w:framePr w:w="501" w:h="1159" w:hSpace="180" w:wrap="around" w:vAnchor="text" w:hAnchor="page" w:x="1722" w:y="8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D87559">
      <w:pPr>
        <w:pStyle w:val="textup"/>
      </w:pPr>
      <w:r>
        <w:rPr>
          <w:noProof/>
        </w:rPr>
        <w:drawing>
          <wp:anchor distT="0" distB="0" distL="114300" distR="114300" simplePos="0" relativeHeight="251646976" behindDoc="0" locked="0" layoutInCell="0" allowOverlap="1">
            <wp:simplePos x="0" y="0"/>
            <wp:positionH relativeFrom="column">
              <wp:posOffset>-62865</wp:posOffset>
            </wp:positionH>
            <wp:positionV relativeFrom="paragraph">
              <wp:posOffset>659130</wp:posOffset>
            </wp:positionV>
            <wp:extent cx="4407535" cy="3736975"/>
            <wp:effectExtent l="19050" t="0" r="0" b="0"/>
            <wp:wrapTopAndBottom/>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srcRect/>
                    <a:stretch>
                      <a:fillRect/>
                    </a:stretch>
                  </pic:blipFill>
                  <pic:spPr bwMode="auto">
                    <a:xfrm>
                      <a:off x="0" y="0"/>
                      <a:ext cx="4407535" cy="3736975"/>
                    </a:xfrm>
                    <a:prstGeom prst="rect">
                      <a:avLst/>
                    </a:prstGeom>
                    <a:noFill/>
                    <a:ln w="9525">
                      <a:noFill/>
                      <a:miter lim="800000"/>
                      <a:headEnd/>
                      <a:tailEnd/>
                    </a:ln>
                  </pic:spPr>
                </pic:pic>
              </a:graphicData>
            </a:graphic>
          </wp:anchor>
        </w:drawing>
      </w:r>
      <w:r>
        <w:rPr>
          <w:b/>
        </w:rPr>
        <w:t>FY 2002 Changes</w:t>
      </w:r>
      <w:r>
        <w:tab/>
        <w:t>The following tables summarize the projected built-in and anticipated changes for FY 2002.</w:t>
      </w:r>
    </w:p>
    <w:p w:rsidR="00000000" w:rsidRDefault="00D87559">
      <w:pPr>
        <w:pStyle w:val="space"/>
      </w:pPr>
      <w:r>
        <w:t xml:space="preserve"> </w:t>
      </w:r>
    </w:p>
    <w:p w:rsidR="00000000" w:rsidRDefault="00D87559">
      <w:pPr>
        <w:pStyle w:val="Contactup"/>
      </w:pPr>
      <w:r>
        <w:t>STAFF CONTACT:  David Reynolds (Ext. 16934)</w:t>
      </w:r>
    </w:p>
    <w:p w:rsidR="00000000" w:rsidRDefault="00D87559">
      <w:pPr>
        <w:pStyle w:val="Blurbtitle"/>
      </w:pPr>
      <w:bookmarkStart w:id="5" w:name="FU3GPDB"/>
      <w:bookmarkStart w:id="6" w:name="FU3GPDA"/>
      <w:bookmarkEnd w:id="2"/>
      <w:r>
        <w:t>Governor’s Revised Budget For FY 2002</w:t>
      </w:r>
      <w:bookmarkEnd w:id="6"/>
    </w:p>
    <w:p w:rsidR="00000000" w:rsidRDefault="00D87559">
      <w:pPr>
        <w:framePr w:w="796" w:h="865" w:hSpace="180" w:wrap="around" w:vAnchor="text" w:hAnchor="page" w:x="1362" w:y="6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00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495300" cy="400050"/>
                    </a:xfrm>
                    <a:prstGeom prst="rect">
                      <a:avLst/>
                    </a:prstGeom>
                    <a:noFill/>
                    <a:ln w="9525">
                      <a:noFill/>
                      <a:miter lim="800000"/>
                      <a:headEnd/>
                      <a:tailEnd/>
                    </a:ln>
                  </pic:spPr>
                </pic:pic>
              </a:graphicData>
            </a:graphic>
          </wp:inline>
        </w:drawing>
      </w:r>
    </w:p>
    <w:p w:rsidR="00000000" w:rsidRDefault="00D87559">
      <w:pPr>
        <w:framePr w:w="796" w:h="865" w:hSpace="180" w:wrap="around" w:vAnchor="text" w:hAnchor="page" w:x="1362" w:y="615"/>
        <w:pBdr>
          <w:top w:val="single" w:sz="12" w:space="5" w:color="auto" w:shadow="1"/>
          <w:left w:val="single" w:sz="12" w:space="5" w:color="auto" w:shadow="1"/>
          <w:bottom w:val="single" w:sz="12" w:space="5" w:color="auto" w:shadow="1"/>
          <w:right w:val="single" w:sz="12" w:space="5" w:color="auto" w:shadow="1"/>
        </w:pBdr>
        <w:jc w:val="center"/>
      </w:pPr>
      <w:r>
        <w:t>Revised</w:t>
      </w:r>
    </w:p>
    <w:p w:rsidR="00000000" w:rsidRDefault="00D87559">
      <w:pPr>
        <w:pStyle w:val="textup"/>
      </w:pPr>
      <w:r>
        <w:rPr>
          <w:b/>
        </w:rPr>
        <w:t>Must Use Revised Estimate</w:t>
      </w:r>
      <w:r>
        <w:tab/>
        <w:t>Th</w:t>
      </w:r>
      <w:r>
        <w:t xml:space="preserve">e Revenue Estimating Conference (REC) met on March 14.  At that meeting, the estimate for the FY 2001 and FY 2002 General Fund revenues was decreased.  Chapter 8.22A, </w:t>
      </w:r>
      <w:r>
        <w:rPr>
          <w:u w:val="single"/>
        </w:rPr>
        <w:t>Code of Iowa,</w:t>
      </w:r>
      <w:r>
        <w:t xml:space="preserve"> requires that if the REC “agrees to a different estimate at a later meeting</w:t>
      </w:r>
      <w:r>
        <w:t xml:space="preserve"> which projects a lesser amount of revenue than the initial estimate amount, the governor and the general assembly shall use the lesser amount in the budget process for that fiscal year.”</w:t>
      </w:r>
    </w:p>
    <w:p w:rsidR="00000000" w:rsidRDefault="00D87559">
      <w:pPr>
        <w:pStyle w:val="textup"/>
      </w:pPr>
      <w:r>
        <w:rPr>
          <w:b/>
        </w:rPr>
        <w:t>New Budget Required</w:t>
      </w:r>
      <w:r>
        <w:tab/>
        <w:t xml:space="preserve">The </w:t>
      </w:r>
      <w:r>
        <w:rPr>
          <w:u w:val="single"/>
        </w:rPr>
        <w:t>Code of Iowa</w:t>
      </w:r>
      <w:r>
        <w:t xml:space="preserve"> Chapter 8.21, states that “if t</w:t>
      </w:r>
      <w:r>
        <w:t xml:space="preserve">he Governor is required to use a lesser amount in the budget process because of a later meeting of the state revenue estimating conference under section 8.22A, </w:t>
      </w:r>
      <w:r>
        <w:lastRenderedPageBreak/>
        <w:t>subsection 3, the governor shall transmit recommendations for a balanced budget meeting this req</w:t>
      </w:r>
      <w:r>
        <w:t xml:space="preserve">uirement within fourteen days of the later meeting of the state revenue estimating conference.”  The Governor will be required to submit a new budget by March 28. </w:t>
      </w:r>
    </w:p>
    <w:p w:rsidR="00000000" w:rsidRDefault="00D87559">
      <w:pPr>
        <w:pStyle w:val="textup"/>
      </w:pPr>
      <w:r>
        <w:rPr>
          <w:b/>
        </w:rPr>
        <w:t>Governor’s Press Release</w:t>
      </w:r>
      <w:r>
        <w:tab/>
        <w:t>The following article is a March 14, 2001, press release from the G</w:t>
      </w:r>
      <w:r>
        <w:t xml:space="preserve">overnor’s Office outlining his plans to deal with revised REC estimates.    </w:t>
      </w:r>
    </w:p>
    <w:p w:rsidR="00000000" w:rsidRDefault="00D87559">
      <w:pPr>
        <w:pStyle w:val="textup"/>
        <w:jc w:val="center"/>
        <w:rPr>
          <w:b/>
          <w:i/>
        </w:rPr>
      </w:pPr>
      <w:r>
        <w:rPr>
          <w:b/>
        </w:rPr>
        <w:t xml:space="preserve">            </w:t>
      </w:r>
      <w:r>
        <w:rPr>
          <w:b/>
          <w:i/>
        </w:rPr>
        <w:t xml:space="preserve"> Vilsack Outlines Plan To Manage Revenue Shortfall</w:t>
      </w:r>
    </w:p>
    <w:p w:rsidR="00000000" w:rsidRDefault="00D87559">
      <w:pPr>
        <w:pStyle w:val="textup"/>
        <w:rPr>
          <w:i/>
        </w:rPr>
      </w:pPr>
      <w:r>
        <w:rPr>
          <w:i/>
        </w:rPr>
        <w:tab/>
        <w:t>Des Moines – A sudden and severe slowing of the national economy has sharply reduced state revenue projections acco</w:t>
      </w:r>
      <w:r>
        <w:rPr>
          <w:i/>
        </w:rPr>
        <w:t xml:space="preserve">rding the Revenue Estimating Conference.  Accordingly, Governor Tom Vilsack and Lt. Governor Sally Pederson will provide revisions to their proposed budget for state government for 2002.  Vilsack and Pederson are presented with a challenge and opportunity </w:t>
      </w:r>
      <w:r>
        <w:rPr>
          <w:i/>
        </w:rPr>
        <w:t xml:space="preserve">to reorganize state government and refocus its core mission through revisions to next year’s and future years’ budgets.    </w:t>
      </w:r>
    </w:p>
    <w:p w:rsidR="00000000" w:rsidRDefault="00D87559">
      <w:pPr>
        <w:pStyle w:val="textup"/>
        <w:rPr>
          <w:i/>
        </w:rPr>
      </w:pPr>
      <w:r>
        <w:rPr>
          <w:i/>
        </w:rPr>
        <w:tab/>
        <w:t>“The budget situation presents an opportunity for us to create a comprehensive, well thought out plan to mange this problem,” Vilsa</w:t>
      </w:r>
      <w:r>
        <w:rPr>
          <w:i/>
        </w:rPr>
        <w:t xml:space="preserve">ck said.  “Today we are outlining a framework for balancing the state’s checkbook and provide a vision for future budget decisions.”   </w:t>
      </w:r>
    </w:p>
    <w:p w:rsidR="00000000" w:rsidRDefault="00D87559">
      <w:pPr>
        <w:pStyle w:val="textup"/>
        <w:rPr>
          <w:i/>
        </w:rPr>
      </w:pPr>
      <w:r>
        <w:rPr>
          <w:i/>
        </w:rPr>
        <w:tab/>
        <w:t xml:space="preserve">Vilsack outlined the approach as:   </w:t>
      </w:r>
    </w:p>
    <w:p w:rsidR="00000000" w:rsidRDefault="00D87559">
      <w:pPr>
        <w:pStyle w:val="textup"/>
        <w:numPr>
          <w:ilvl w:val="0"/>
          <w:numId w:val="15"/>
        </w:numPr>
        <w:tabs>
          <w:tab w:val="clear" w:pos="780"/>
          <w:tab w:val="left" w:pos="360"/>
          <w:tab w:val="num" w:pos="990"/>
        </w:tabs>
        <w:ind w:left="360" w:hanging="360"/>
        <w:rPr>
          <w:i/>
        </w:rPr>
      </w:pPr>
      <w:r>
        <w:rPr>
          <w:i/>
        </w:rPr>
        <w:t>Making selected cuts from the new initiatives he proposed in January and an additi</w:t>
      </w:r>
      <w:r>
        <w:rPr>
          <w:i/>
        </w:rPr>
        <w:t xml:space="preserve">onal 6% across the board cut to his FY 02 budget recommendations.  The cuts will not apply to the state’s funding for local school aid, teacher compensation to improve student achievement, and protecting people from abuse.       </w:t>
      </w:r>
    </w:p>
    <w:p w:rsidR="00000000" w:rsidRDefault="00D87559">
      <w:pPr>
        <w:pStyle w:val="textup"/>
        <w:numPr>
          <w:ilvl w:val="0"/>
          <w:numId w:val="15"/>
        </w:numPr>
        <w:tabs>
          <w:tab w:val="clear" w:pos="780"/>
          <w:tab w:val="left" w:pos="360"/>
          <w:tab w:val="num" w:pos="990"/>
        </w:tabs>
        <w:ind w:left="360" w:hanging="360"/>
        <w:rPr>
          <w:i/>
        </w:rPr>
      </w:pPr>
      <w:r>
        <w:rPr>
          <w:i/>
        </w:rPr>
        <w:t xml:space="preserve">Creating a long-term plan </w:t>
      </w:r>
      <w:r>
        <w:rPr>
          <w:i/>
        </w:rPr>
        <w:t>to assure Iowans that the state will not spend more than is taken in each year. In order to balance the checkbook every year into the future, Vilsack and Pederson will critically review the entire state budget, organizational structure, and services the st</w:t>
      </w:r>
      <w:r>
        <w:rPr>
          <w:i/>
        </w:rPr>
        <w:t xml:space="preserve">ate provides to Iowans.  This will require more reductions in state spending in future years to reorganize state government and refocus the state on its core mission.   </w:t>
      </w:r>
    </w:p>
    <w:p w:rsidR="00000000" w:rsidRDefault="00D87559">
      <w:pPr>
        <w:pStyle w:val="textup"/>
        <w:numPr>
          <w:ilvl w:val="0"/>
          <w:numId w:val="15"/>
        </w:numPr>
        <w:tabs>
          <w:tab w:val="clear" w:pos="780"/>
          <w:tab w:val="left" w:pos="360"/>
          <w:tab w:val="num" w:pos="990"/>
        </w:tabs>
        <w:ind w:left="360" w:hanging="360"/>
        <w:rPr>
          <w:i/>
        </w:rPr>
      </w:pPr>
      <w:r>
        <w:rPr>
          <w:i/>
        </w:rPr>
        <w:t>Completing the Budget Reform Act of 1992 by establishing an endowment fund to save the</w:t>
      </w:r>
      <w:r>
        <w:rPr>
          <w:i/>
        </w:rPr>
        <w:t xml:space="preserve"> 1% surplus created in that law.  Currently that 1% is available to be spent in future budgets.  Once our current reserve funds are fully funded, the interest generated from this endowment will create and build a “Children First Fund” to be invested in pre</w:t>
      </w:r>
      <w:r>
        <w:rPr>
          <w:i/>
        </w:rPr>
        <w:t xml:space="preserve">-school and early education opportunities for Iowa’s children.   </w:t>
      </w:r>
    </w:p>
    <w:p w:rsidR="00000000" w:rsidRDefault="00D87559">
      <w:pPr>
        <w:pStyle w:val="textup"/>
        <w:rPr>
          <w:i/>
        </w:rPr>
      </w:pPr>
      <w:r>
        <w:rPr>
          <w:i/>
        </w:rPr>
        <w:tab/>
        <w:t>“Iowa’s precipitous drop in revenue is a combination of the dramatic slowdown in the national economy and the state’s 46 tax cuts over the past 6 years amounting to over $800 million annual</w:t>
      </w:r>
      <w:r>
        <w:rPr>
          <w:i/>
        </w:rPr>
        <w:t xml:space="preserve">ly,” Vilsack said.  “This limits our flexibility in managing the current problem.”    </w:t>
      </w:r>
    </w:p>
    <w:p w:rsidR="00000000" w:rsidRDefault="00D87559">
      <w:pPr>
        <w:pStyle w:val="textup"/>
        <w:rPr>
          <w:i/>
        </w:rPr>
      </w:pPr>
      <w:r>
        <w:rPr>
          <w:i/>
        </w:rPr>
        <w:lastRenderedPageBreak/>
        <w:tab/>
        <w:t>“To avoid encountering these problems in the future, we are recommending an endowment investment approach to provide educational opportunities to children.  Iowa’s chil</w:t>
      </w:r>
      <w:r>
        <w:rPr>
          <w:i/>
        </w:rPr>
        <w:t xml:space="preserve">dren deserve a quality education that will help them succeed throughout life,” Vilsack said.  “We must look at this situation as an opportunity to create a better way of providing services to Iowans.”   </w:t>
      </w:r>
    </w:p>
    <w:p w:rsidR="00000000" w:rsidRDefault="00D87559">
      <w:pPr>
        <w:pStyle w:val="textup"/>
      </w:pPr>
      <w:r>
        <w:rPr>
          <w:i/>
        </w:rPr>
        <w:tab/>
        <w:t>Governor Vilsack will provide the detail of his rev</w:t>
      </w:r>
      <w:r>
        <w:rPr>
          <w:i/>
        </w:rPr>
        <w:t xml:space="preserve">isions to his budget within 14 days of today’s Revenue Estimating Conference actions as required by law. </w:t>
      </w:r>
    </w:p>
    <w:p w:rsidR="00000000" w:rsidRDefault="00D87559">
      <w:pPr>
        <w:pStyle w:val="Contactup"/>
      </w:pPr>
      <w:r>
        <w:t>STAFF CONTACT:  Glen Dickinson (Ext. 14616)</w:t>
      </w:r>
    </w:p>
    <w:p w:rsidR="00000000" w:rsidRDefault="00D87559">
      <w:pPr>
        <w:pStyle w:val="Blurbtitle"/>
      </w:pPr>
      <w:r>
        <w:t>DISTRIBUTION OF A 6.0% ACROSS-THE-BOARD REDUCTION</w:t>
      </w:r>
      <w:bookmarkEnd w:id="5"/>
    </w:p>
    <w:p w:rsidR="00000000" w:rsidRDefault="00D87559">
      <w:pPr>
        <w:pStyle w:val="textup"/>
      </w:pPr>
      <w:r>
        <w:rPr>
          <w:noProof/>
        </w:rPr>
        <w:drawing>
          <wp:anchor distT="0" distB="0" distL="114300" distR="114300" simplePos="0" relativeHeight="251670528" behindDoc="0" locked="0" layoutInCell="1" allowOverlap="1">
            <wp:simplePos x="0" y="0"/>
            <wp:positionH relativeFrom="column">
              <wp:posOffset>-1548765</wp:posOffset>
            </wp:positionH>
            <wp:positionV relativeFrom="page">
              <wp:posOffset>4003040</wp:posOffset>
            </wp:positionV>
            <wp:extent cx="317500" cy="495300"/>
            <wp:effectExtent l="19050" t="0" r="635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a:srcRect/>
                    <a:stretch>
                      <a:fillRect/>
                    </a:stretch>
                  </pic:blipFill>
                  <pic:spPr bwMode="auto">
                    <a:xfrm>
                      <a:off x="0" y="0"/>
                      <a:ext cx="317500" cy="495300"/>
                    </a:xfrm>
                    <a:prstGeom prst="rect">
                      <a:avLst/>
                    </a:prstGeom>
                    <a:noFill/>
                    <a:ln w="9525">
                      <a:noFill/>
                      <a:miter lim="800000"/>
                      <a:headEnd/>
                      <a:tailEnd/>
                    </a:ln>
                  </pic:spPr>
                </pic:pic>
              </a:graphicData>
            </a:graphic>
          </wp:anchor>
        </w:drawing>
      </w:r>
      <w:r>
        <w:rPr>
          <w:b/>
        </w:rPr>
        <w:t>6.0% Reduction</w:t>
      </w:r>
      <w:r>
        <w:tab/>
        <w:t xml:space="preserve">The Governor has mentioned the need for </w:t>
      </w:r>
      <w:r>
        <w:t>a 6.0% reduction in the FY 2002 budgets to offset the decreased revenue growth.  A straight across-the-board reduction to all appropriations generates $292.7 million.  The Governor also discussed exempting some appropriations from the reduction; local scho</w:t>
      </w:r>
      <w:r>
        <w:t>ols were the largest exemption mentioned.  The exemption of school aid reduces the across-the-board by $104.8 million.  School aid has been included in the Department of Education line item below.</w:t>
      </w:r>
    </w:p>
    <w:p w:rsidR="00000000" w:rsidRDefault="00D87559">
      <w:pPr>
        <w:pStyle w:val="textup"/>
        <w:spacing w:after="0"/>
      </w:pPr>
      <w:r>
        <w:rPr>
          <w:b/>
        </w:rPr>
        <w:t>Impact by Department</w:t>
      </w:r>
      <w:r>
        <w:tab/>
        <w:t>The following table shows the impact o</w:t>
      </w:r>
      <w:r>
        <w:t>f a 6.0% reduction by department (dollars in millions) and the corresponding percentage that reduction is of the total:</w:t>
      </w:r>
    </w:p>
    <w:p w:rsidR="00000000" w:rsidRDefault="00D87559">
      <w:pPr>
        <w:pStyle w:val="space"/>
      </w:pPr>
    </w:p>
    <w:p w:rsidR="00000000" w:rsidRDefault="00D87559">
      <w:pPr>
        <w:pStyle w:val="space"/>
      </w:pPr>
    </w:p>
    <w:p w:rsidR="00000000" w:rsidRDefault="00D87559">
      <w:pPr>
        <w:pStyle w:val="space"/>
      </w:pPr>
    </w:p>
    <w:p w:rsidR="00000000" w:rsidRDefault="00D87559">
      <w:pPr>
        <w:pStyle w:val="space"/>
      </w:pPr>
    </w:p>
    <w:p w:rsidR="00000000" w:rsidRDefault="00D87559">
      <w:pPr>
        <w:pStyle w:val="space"/>
      </w:pPr>
      <w:r>
        <w:rPr>
          <w:noProof/>
        </w:rPr>
        <w:lastRenderedPageBreak/>
        <w:pict>
          <v:shape id="_x0000_s1115" type="#_x0000_t202" style="position:absolute;margin-left:-139.95pt;margin-top:4.7pt;width:510pt;height:666pt;z-index:251663360" stroked="f">
            <v:textbox style="mso-next-textbox:#_x0000_s1115">
              <w:txbxContent>
                <w:tbl>
                  <w:tblPr>
                    <w:tblW w:w="0" w:type="auto"/>
                    <w:jc w:val="center"/>
                    <w:tblLayout w:type="fixed"/>
                    <w:tblCellMar>
                      <w:left w:w="0" w:type="dxa"/>
                      <w:right w:w="0" w:type="dxa"/>
                    </w:tblCellMar>
                    <w:tblLook w:val="0000"/>
                  </w:tblPr>
                  <w:tblGrid>
                    <w:gridCol w:w="2592"/>
                    <w:gridCol w:w="144"/>
                    <w:gridCol w:w="1296"/>
                    <w:gridCol w:w="148"/>
                    <w:gridCol w:w="1296"/>
                    <w:gridCol w:w="148"/>
                    <w:gridCol w:w="946"/>
                    <w:gridCol w:w="179"/>
                    <w:gridCol w:w="1152"/>
                  </w:tblGrid>
                  <w:tr w:rsidR="00000000">
                    <w:trPr>
                      <w:trHeight w:val="440"/>
                      <w:jc w:val="center"/>
                    </w:trPr>
                    <w:tc>
                      <w:tcPr>
                        <w:tcW w:w="2592" w:type="dxa"/>
                        <w:tcBorders>
                          <w:bottom w:val="single" w:sz="4" w:space="0" w:color="auto"/>
                        </w:tcBorders>
                        <w:noWrap/>
                        <w:tcMar>
                          <w:top w:w="17" w:type="dxa"/>
                          <w:left w:w="17" w:type="dxa"/>
                          <w:bottom w:w="0" w:type="dxa"/>
                          <w:right w:w="17" w:type="dxa"/>
                        </w:tcMar>
                        <w:vAlign w:val="bottom"/>
                      </w:tcPr>
                      <w:p w:rsidR="00000000" w:rsidRDefault="00D87559">
                        <w:pPr>
                          <w:jc w:val="center"/>
                          <w:rPr>
                            <w:rFonts w:ascii="Univers" w:eastAsia="Arial Unicode MS" w:hAnsi="Univers"/>
                            <w:b/>
                            <w:bCs/>
                            <w:sz w:val="18"/>
                            <w:szCs w:val="18"/>
                          </w:rPr>
                        </w:pPr>
                        <w:r>
                          <w:rPr>
                            <w:rFonts w:ascii="Univers" w:hAnsi="Univers"/>
                            <w:b/>
                            <w:bCs/>
                            <w:sz w:val="18"/>
                            <w:szCs w:val="18"/>
                          </w:rPr>
                          <w:t>Department</w:t>
                        </w:r>
                      </w:p>
                    </w:tc>
                    <w:tc>
                      <w:tcPr>
                        <w:tcW w:w="144" w:type="dxa"/>
                        <w:tcBorders>
                          <w:bottom w:val="single" w:sz="4" w:space="0" w:color="auto"/>
                        </w:tcBorders>
                      </w:tcPr>
                      <w:p w:rsidR="00000000" w:rsidRDefault="00D87559">
                        <w:pPr>
                          <w:pStyle w:val="Heading2"/>
                        </w:pPr>
                      </w:p>
                    </w:tc>
                    <w:tc>
                      <w:tcPr>
                        <w:tcW w:w="1296" w:type="dxa"/>
                        <w:tcBorders>
                          <w:bottom w:val="single" w:sz="4" w:space="0" w:color="auto"/>
                        </w:tcBorders>
                        <w:noWrap/>
                        <w:tcMar>
                          <w:top w:w="17" w:type="dxa"/>
                          <w:left w:w="17" w:type="dxa"/>
                          <w:bottom w:w="0" w:type="dxa"/>
                          <w:right w:w="17" w:type="dxa"/>
                        </w:tcMar>
                        <w:vAlign w:val="bottom"/>
                      </w:tcPr>
                      <w:p w:rsidR="00000000" w:rsidRDefault="00D87559">
                        <w:pPr>
                          <w:pStyle w:val="Heading2"/>
                          <w:rPr>
                            <w:rFonts w:eastAsia="Arial Unicode MS"/>
                          </w:rPr>
                        </w:pPr>
                        <w:r>
                          <w:t>Net FY 2001</w:t>
                        </w:r>
                      </w:p>
                    </w:tc>
                    <w:tc>
                      <w:tcPr>
                        <w:tcW w:w="148" w:type="dxa"/>
                        <w:tcBorders>
                          <w:bottom w:val="single" w:sz="4" w:space="0" w:color="auto"/>
                        </w:tcBorders>
                        <w:noWrap/>
                        <w:tcMar>
                          <w:top w:w="17" w:type="dxa"/>
                          <w:left w:w="17" w:type="dxa"/>
                          <w:bottom w:w="0" w:type="dxa"/>
                          <w:right w:w="17" w:type="dxa"/>
                        </w:tcMar>
                        <w:vAlign w:val="bottom"/>
                      </w:tcPr>
                      <w:p w:rsidR="00000000" w:rsidRDefault="00D87559">
                        <w:pPr>
                          <w:jc w:val="center"/>
                          <w:rPr>
                            <w:rFonts w:ascii="Univers" w:eastAsia="Arial Unicode MS" w:hAnsi="Univers"/>
                            <w:b/>
                            <w:bCs/>
                            <w:sz w:val="18"/>
                            <w:szCs w:val="18"/>
                          </w:rPr>
                        </w:pPr>
                      </w:p>
                    </w:tc>
                    <w:tc>
                      <w:tcPr>
                        <w:tcW w:w="1296" w:type="dxa"/>
                        <w:tcBorders>
                          <w:bottom w:val="single" w:sz="4" w:space="0" w:color="auto"/>
                        </w:tcBorders>
                        <w:noWrap/>
                        <w:tcMar>
                          <w:top w:w="17" w:type="dxa"/>
                          <w:left w:w="17" w:type="dxa"/>
                          <w:bottom w:w="0" w:type="dxa"/>
                          <w:right w:w="17" w:type="dxa"/>
                        </w:tcMar>
                        <w:vAlign w:val="bottom"/>
                      </w:tcPr>
                      <w:p w:rsidR="00000000" w:rsidRDefault="00D87559">
                        <w:pPr>
                          <w:jc w:val="center"/>
                          <w:rPr>
                            <w:rFonts w:ascii="Univers" w:eastAsia="Arial Unicode MS" w:hAnsi="Univers"/>
                            <w:b/>
                            <w:bCs/>
                            <w:sz w:val="18"/>
                            <w:szCs w:val="18"/>
                          </w:rPr>
                        </w:pPr>
                        <w:r>
                          <w:rPr>
                            <w:rFonts w:ascii="Univers" w:hAnsi="Univers"/>
                            <w:b/>
                            <w:bCs/>
                            <w:sz w:val="18"/>
                            <w:szCs w:val="18"/>
                          </w:rPr>
                          <w:t>6% ACB</w:t>
                        </w:r>
                      </w:p>
                    </w:tc>
                    <w:tc>
                      <w:tcPr>
                        <w:tcW w:w="148" w:type="dxa"/>
                        <w:tcBorders>
                          <w:bottom w:val="single" w:sz="4" w:space="0" w:color="auto"/>
                        </w:tcBorders>
                        <w:noWrap/>
                        <w:tcMar>
                          <w:top w:w="17" w:type="dxa"/>
                          <w:left w:w="17" w:type="dxa"/>
                          <w:bottom w:w="0" w:type="dxa"/>
                          <w:right w:w="17" w:type="dxa"/>
                        </w:tcMar>
                        <w:vAlign w:val="bottom"/>
                      </w:tcPr>
                      <w:p w:rsidR="00000000" w:rsidRDefault="00D87559">
                        <w:pPr>
                          <w:jc w:val="center"/>
                          <w:rPr>
                            <w:rFonts w:ascii="Univers" w:eastAsia="Arial Unicode MS" w:hAnsi="Univers"/>
                            <w:b/>
                            <w:bCs/>
                            <w:sz w:val="18"/>
                            <w:szCs w:val="18"/>
                          </w:rPr>
                        </w:pPr>
                      </w:p>
                    </w:tc>
                    <w:tc>
                      <w:tcPr>
                        <w:tcW w:w="946" w:type="dxa"/>
                        <w:tcBorders>
                          <w:bottom w:val="single" w:sz="4" w:space="0" w:color="auto"/>
                        </w:tcBorders>
                        <w:noWrap/>
                        <w:tcMar>
                          <w:top w:w="17" w:type="dxa"/>
                          <w:left w:w="17" w:type="dxa"/>
                          <w:bottom w:w="0" w:type="dxa"/>
                          <w:right w:w="17" w:type="dxa"/>
                        </w:tcMar>
                        <w:vAlign w:val="bottom"/>
                      </w:tcPr>
                      <w:p w:rsidR="00000000" w:rsidRDefault="00D87559">
                        <w:pPr>
                          <w:jc w:val="center"/>
                          <w:rPr>
                            <w:rFonts w:ascii="Univers" w:eastAsia="Arial Unicode MS" w:hAnsi="Univers"/>
                            <w:b/>
                            <w:bCs/>
                            <w:sz w:val="18"/>
                            <w:szCs w:val="18"/>
                          </w:rPr>
                        </w:pPr>
                        <w:r>
                          <w:rPr>
                            <w:rFonts w:ascii="Univers" w:hAnsi="Univers"/>
                            <w:b/>
                            <w:bCs/>
                            <w:sz w:val="18"/>
                            <w:szCs w:val="18"/>
                          </w:rPr>
                          <w:t>% of Total</w:t>
                        </w:r>
                      </w:p>
                    </w:tc>
                    <w:tc>
                      <w:tcPr>
                        <w:tcW w:w="179" w:type="dxa"/>
                        <w:tcBorders>
                          <w:bottom w:val="single" w:sz="4" w:space="0" w:color="auto"/>
                        </w:tcBorders>
                      </w:tcPr>
                      <w:p w:rsidR="00000000" w:rsidRDefault="00D87559">
                        <w:pPr>
                          <w:jc w:val="center"/>
                          <w:rPr>
                            <w:rFonts w:ascii="Univers" w:hAnsi="Univers"/>
                            <w:b/>
                            <w:bCs/>
                            <w:sz w:val="18"/>
                            <w:szCs w:val="18"/>
                          </w:rPr>
                        </w:pPr>
                      </w:p>
                    </w:tc>
                    <w:tc>
                      <w:tcPr>
                        <w:tcW w:w="1152" w:type="dxa"/>
                        <w:tcBorders>
                          <w:bottom w:val="single" w:sz="4" w:space="0" w:color="auto"/>
                        </w:tcBorders>
                        <w:noWrap/>
                        <w:tcMar>
                          <w:top w:w="17" w:type="dxa"/>
                          <w:left w:w="17" w:type="dxa"/>
                          <w:bottom w:w="0" w:type="dxa"/>
                          <w:right w:w="17" w:type="dxa"/>
                        </w:tcMar>
                        <w:vAlign w:val="bottom"/>
                      </w:tcPr>
                      <w:p w:rsidR="00000000" w:rsidRDefault="00D87559">
                        <w:pPr>
                          <w:jc w:val="center"/>
                          <w:rPr>
                            <w:rFonts w:ascii="Univers" w:eastAsia="Arial Unicode MS" w:hAnsi="Univers"/>
                            <w:b/>
                            <w:bCs/>
                            <w:sz w:val="18"/>
                            <w:szCs w:val="18"/>
                          </w:rPr>
                        </w:pPr>
                        <w:r>
                          <w:rPr>
                            <w:rFonts w:ascii="Univers" w:hAnsi="Univers"/>
                            <w:b/>
                            <w:bCs/>
                            <w:sz w:val="18"/>
                            <w:szCs w:val="18"/>
                          </w:rPr>
                          <w:t>Cumulative %</w:t>
                        </w:r>
                      </w:p>
                    </w:tc>
                  </w:tr>
                  <w:tr w:rsidR="00000000">
                    <w:trPr>
                      <w:trHeight w:hRule="exact" w:val="288"/>
                      <w:jc w:val="center"/>
                    </w:trPr>
                    <w:tc>
                      <w:tcPr>
                        <w:tcW w:w="2592" w:type="dxa"/>
                        <w:tcBorders>
                          <w:top w:val="single"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Education Department                     </w:t>
                        </w:r>
                      </w:p>
                    </w:tc>
                    <w:tc>
                      <w:tcPr>
                        <w:tcW w:w="144" w:type="dxa"/>
                        <w:tcBorders>
                          <w:top w:val="single" w:sz="4" w:space="0" w:color="auto"/>
                        </w:tcBorders>
                      </w:tcPr>
                      <w:p w:rsidR="00000000" w:rsidRDefault="00D87559">
                        <w:pPr>
                          <w:jc w:val="right"/>
                          <w:rPr>
                            <w:rFonts w:ascii="Univers" w:hAnsi="Univers"/>
                            <w:sz w:val="18"/>
                            <w:szCs w:val="18"/>
                          </w:rPr>
                        </w:pPr>
                      </w:p>
                    </w:tc>
                    <w:tc>
                      <w:tcPr>
                        <w:tcW w:w="1296" w:type="dxa"/>
                        <w:tcBorders>
                          <w:top w:val="single"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     2,115.6</w:t>
                        </w:r>
                      </w:p>
                    </w:tc>
                    <w:tc>
                      <w:tcPr>
                        <w:tcW w:w="148" w:type="dxa"/>
                        <w:tcBorders>
                          <w:top w:val="single"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top w:val="single"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    126.9</w:t>
                        </w:r>
                      </w:p>
                    </w:tc>
                    <w:tc>
                      <w:tcPr>
                        <w:tcW w:w="148" w:type="dxa"/>
                        <w:tcBorders>
                          <w:top w:val="single"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top w:val="single"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43.4%</w:t>
                        </w:r>
                      </w:p>
                    </w:tc>
                    <w:tc>
                      <w:tcPr>
                        <w:tcW w:w="179" w:type="dxa"/>
                        <w:tcBorders>
                          <w:top w:val="single" w:sz="4" w:space="0" w:color="auto"/>
                        </w:tcBorders>
                      </w:tcPr>
                      <w:p w:rsidR="00000000" w:rsidRDefault="00D87559">
                        <w:pPr>
                          <w:jc w:val="right"/>
                          <w:rPr>
                            <w:rFonts w:ascii="Univers" w:hAnsi="Univers"/>
                            <w:sz w:val="18"/>
                            <w:szCs w:val="18"/>
                          </w:rPr>
                        </w:pPr>
                      </w:p>
                    </w:tc>
                    <w:tc>
                      <w:tcPr>
                        <w:tcW w:w="1152" w:type="dxa"/>
                        <w:tcBorders>
                          <w:top w:val="single"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43.4%</w:t>
                        </w:r>
                      </w:p>
                    </w:tc>
                  </w:tr>
                  <w:tr w:rsidR="00000000">
                    <w:trPr>
                      <w:trHeight w:hRule="exact" w:val="288"/>
                      <w:jc w:val="center"/>
                    </w:trPr>
                    <w:tc>
                      <w:tcPr>
                        <w:tcW w:w="2592"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Human Services Department </w:t>
                        </w:r>
                      </w:p>
                    </w:tc>
                    <w:tc>
                      <w:tcPr>
                        <w:tcW w:w="144" w:type="dxa"/>
                      </w:tcPr>
                      <w:p w:rsidR="00000000" w:rsidRDefault="00D87559">
                        <w:pPr>
                          <w:jc w:val="right"/>
                          <w:rPr>
                            <w:rFonts w:ascii="Univer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878.2</w:t>
                        </w:r>
                      </w:p>
                    </w:tc>
                    <w:tc>
                      <w:tcPr>
                        <w:tcW w:w="148"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noWrap/>
                        <w:tcMar>
                          <w:top w:w="17" w:type="dxa"/>
                          <w:left w:w="17" w:type="dxa"/>
                          <w:bottom w:w="0" w:type="dxa"/>
                          <w:right w:w="17" w:type="dxa"/>
                        </w:tcMar>
                        <w:vAlign w:val="bottom"/>
                      </w:tcPr>
                      <w:p w:rsidR="00000000" w:rsidRDefault="00D87559">
                        <w:pPr>
                          <w:pStyle w:val="Header"/>
                          <w:tabs>
                            <w:tab w:val="left" w:pos="720"/>
                          </w:tabs>
                          <w:jc w:val="right"/>
                          <w:rPr>
                            <w:rFonts w:ascii="Univers" w:eastAsia="Arial Unicode MS" w:hAnsi="Univers"/>
                            <w:sz w:val="18"/>
                            <w:szCs w:val="18"/>
                          </w:rPr>
                        </w:pPr>
                        <w:r>
                          <w:rPr>
                            <w:rFonts w:ascii="Univers" w:hAnsi="Univers"/>
                            <w:sz w:val="18"/>
                            <w:szCs w:val="18"/>
                          </w:rPr>
                          <w:t>52.7</w:t>
                        </w:r>
                      </w:p>
                    </w:tc>
                    <w:tc>
                      <w:tcPr>
                        <w:tcW w:w="148"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18.0%</w:t>
                        </w:r>
                      </w:p>
                    </w:tc>
                    <w:tc>
                      <w:tcPr>
                        <w:tcW w:w="179" w:type="dxa"/>
                      </w:tcPr>
                      <w:p w:rsidR="00000000" w:rsidRDefault="00D87559">
                        <w:pPr>
                          <w:jc w:val="right"/>
                          <w:rPr>
                            <w:rFonts w:ascii="Univers" w:hAnsi="Univers"/>
                            <w:sz w:val="18"/>
                            <w:szCs w:val="18"/>
                          </w:rPr>
                        </w:pPr>
                      </w:p>
                    </w:tc>
                    <w:tc>
                      <w:tcPr>
                        <w:tcW w:w="1152"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61.4%</w:t>
                        </w:r>
                      </w:p>
                    </w:tc>
                  </w:tr>
                  <w:tr w:rsidR="00000000">
                    <w:trPr>
                      <w:trHeight w:hRule="exact" w:val="288"/>
                      <w:jc w:val="center"/>
                    </w:trPr>
                    <w:tc>
                      <w:tcPr>
                        <w:tcW w:w="2592"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Board of Regents </w:t>
                        </w:r>
                      </w:p>
                    </w:tc>
                    <w:tc>
                      <w:tcPr>
                        <w:tcW w:w="144" w:type="dxa"/>
                        <w:tcBorders>
                          <w:bottom w:val="dashed" w:sz="4" w:space="0" w:color="auto"/>
                        </w:tcBorders>
                      </w:tcPr>
                      <w:p w:rsidR="00000000" w:rsidRDefault="00D87559">
                        <w:pPr>
                          <w:jc w:val="right"/>
                          <w:rPr>
                            <w:rFonts w:ascii="Univer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723.1</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43.4</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14</w:t>
                        </w:r>
                        <w:r>
                          <w:rPr>
                            <w:rFonts w:ascii="Univers" w:hAnsi="Univers"/>
                            <w:sz w:val="18"/>
                            <w:szCs w:val="18"/>
                          </w:rPr>
                          <w:t>.8%</w:t>
                        </w:r>
                      </w:p>
                    </w:tc>
                    <w:tc>
                      <w:tcPr>
                        <w:tcW w:w="179" w:type="dxa"/>
                        <w:tcBorders>
                          <w:bottom w:val="dashed" w:sz="4" w:space="0" w:color="auto"/>
                        </w:tcBorders>
                      </w:tcPr>
                      <w:p w:rsidR="00000000" w:rsidRDefault="00D87559">
                        <w:pPr>
                          <w:jc w:val="right"/>
                          <w:rPr>
                            <w:rFonts w:ascii="Univers" w:hAnsi="Univers"/>
                            <w:sz w:val="18"/>
                            <w:szCs w:val="18"/>
                          </w:rPr>
                        </w:pPr>
                      </w:p>
                    </w:tc>
                    <w:tc>
                      <w:tcPr>
                        <w:tcW w:w="1152"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76.2%</w:t>
                        </w:r>
                      </w:p>
                    </w:tc>
                  </w:tr>
                  <w:tr w:rsidR="00000000">
                    <w:trPr>
                      <w:trHeight w:hRule="exact" w:val="288"/>
                      <w:jc w:val="center"/>
                    </w:trPr>
                    <w:tc>
                      <w:tcPr>
                        <w:tcW w:w="2592"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Revenue And Finance</w:t>
                        </w:r>
                      </w:p>
                    </w:tc>
                    <w:tc>
                      <w:tcPr>
                        <w:tcW w:w="144" w:type="dxa"/>
                        <w:tcBorders>
                          <w:top w:val="dashed" w:sz="4" w:space="0" w:color="auto"/>
                        </w:tcBorders>
                      </w:tcPr>
                      <w:p w:rsidR="00000000" w:rsidRDefault="00D87559">
                        <w:pPr>
                          <w:jc w:val="right"/>
                          <w:rPr>
                            <w:rFonts w:ascii="Univer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311.9</w:t>
                        </w:r>
                      </w:p>
                    </w:tc>
                    <w:tc>
                      <w:tcPr>
                        <w:tcW w:w="148"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18.7</w:t>
                        </w:r>
                      </w:p>
                    </w:tc>
                    <w:tc>
                      <w:tcPr>
                        <w:tcW w:w="148"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6.4%</w:t>
                        </w:r>
                      </w:p>
                    </w:tc>
                    <w:tc>
                      <w:tcPr>
                        <w:tcW w:w="179" w:type="dxa"/>
                        <w:tcBorders>
                          <w:top w:val="dashed" w:sz="4" w:space="0" w:color="auto"/>
                        </w:tcBorders>
                      </w:tcPr>
                      <w:p w:rsidR="00000000" w:rsidRDefault="00D87559">
                        <w:pPr>
                          <w:jc w:val="right"/>
                          <w:rPr>
                            <w:rFonts w:ascii="Univers" w:hAnsi="Univers"/>
                            <w:sz w:val="18"/>
                            <w:szCs w:val="18"/>
                          </w:rPr>
                        </w:pPr>
                      </w:p>
                    </w:tc>
                    <w:tc>
                      <w:tcPr>
                        <w:tcW w:w="1152"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82.6%</w:t>
                        </w:r>
                      </w:p>
                    </w:tc>
                  </w:tr>
                  <w:tr w:rsidR="00000000">
                    <w:trPr>
                      <w:trHeight w:hRule="exact" w:val="288"/>
                      <w:jc w:val="center"/>
                    </w:trPr>
                    <w:tc>
                      <w:tcPr>
                        <w:tcW w:w="2592"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Corrections Department    </w:t>
                        </w:r>
                      </w:p>
                    </w:tc>
                    <w:tc>
                      <w:tcPr>
                        <w:tcW w:w="144" w:type="dxa"/>
                      </w:tcPr>
                      <w:p w:rsidR="00000000" w:rsidRDefault="00D87559">
                        <w:pPr>
                          <w:jc w:val="right"/>
                          <w:rPr>
                            <w:rFonts w:ascii="Univer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251.1</w:t>
                        </w:r>
                      </w:p>
                    </w:tc>
                    <w:tc>
                      <w:tcPr>
                        <w:tcW w:w="148"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15.1</w:t>
                        </w:r>
                      </w:p>
                    </w:tc>
                    <w:tc>
                      <w:tcPr>
                        <w:tcW w:w="148"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5.1%</w:t>
                        </w:r>
                      </w:p>
                    </w:tc>
                    <w:tc>
                      <w:tcPr>
                        <w:tcW w:w="179" w:type="dxa"/>
                      </w:tcPr>
                      <w:p w:rsidR="00000000" w:rsidRDefault="00D87559">
                        <w:pPr>
                          <w:jc w:val="right"/>
                          <w:rPr>
                            <w:rFonts w:ascii="Univers" w:hAnsi="Univers"/>
                            <w:sz w:val="18"/>
                            <w:szCs w:val="18"/>
                          </w:rPr>
                        </w:pPr>
                      </w:p>
                    </w:tc>
                    <w:tc>
                      <w:tcPr>
                        <w:tcW w:w="1152"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87.7%</w:t>
                        </w:r>
                      </w:p>
                    </w:tc>
                  </w:tr>
                  <w:tr w:rsidR="00000000">
                    <w:trPr>
                      <w:trHeight w:hRule="exact" w:val="288"/>
                      <w:jc w:val="center"/>
                    </w:trPr>
                    <w:tc>
                      <w:tcPr>
                        <w:tcW w:w="2592"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Judicial Branch              </w:t>
                        </w:r>
                      </w:p>
                    </w:tc>
                    <w:tc>
                      <w:tcPr>
                        <w:tcW w:w="144" w:type="dxa"/>
                        <w:tcBorders>
                          <w:bottom w:val="dashed" w:sz="4" w:space="0" w:color="auto"/>
                        </w:tcBorders>
                      </w:tcPr>
                      <w:p w:rsidR="00000000" w:rsidRDefault="00D87559">
                        <w:pPr>
                          <w:jc w:val="right"/>
                          <w:rPr>
                            <w:rFonts w:ascii="Univer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116.6</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7.0</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2.4%</w:t>
                        </w:r>
                      </w:p>
                    </w:tc>
                    <w:tc>
                      <w:tcPr>
                        <w:tcW w:w="179" w:type="dxa"/>
                        <w:tcBorders>
                          <w:bottom w:val="dashed" w:sz="4" w:space="0" w:color="auto"/>
                        </w:tcBorders>
                      </w:tcPr>
                      <w:p w:rsidR="00000000" w:rsidRDefault="00D87559">
                        <w:pPr>
                          <w:jc w:val="right"/>
                          <w:rPr>
                            <w:rFonts w:ascii="Univers" w:hAnsi="Univers"/>
                            <w:sz w:val="18"/>
                            <w:szCs w:val="18"/>
                          </w:rPr>
                        </w:pPr>
                      </w:p>
                    </w:tc>
                    <w:tc>
                      <w:tcPr>
                        <w:tcW w:w="1152"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90.1%</w:t>
                        </w:r>
                      </w:p>
                    </w:tc>
                  </w:tr>
                  <w:tr w:rsidR="00000000">
                    <w:trPr>
                      <w:trHeight w:val="288"/>
                      <w:jc w:val="center"/>
                    </w:trPr>
                    <w:tc>
                      <w:tcPr>
                        <w:tcW w:w="2592"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Public Safety Department </w:t>
                        </w:r>
                      </w:p>
                    </w:tc>
                    <w:tc>
                      <w:tcPr>
                        <w:tcW w:w="144" w:type="dxa"/>
                        <w:tcBorders>
                          <w:top w:val="dashed" w:sz="4" w:space="0" w:color="auto"/>
                        </w:tcBorders>
                      </w:tcPr>
                      <w:p w:rsidR="00000000" w:rsidRDefault="00D87559">
                        <w:pPr>
                          <w:jc w:val="right"/>
                          <w:rPr>
                            <w:rFonts w:ascii="Univer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64.3</w:t>
                        </w:r>
                      </w:p>
                    </w:tc>
                    <w:tc>
                      <w:tcPr>
                        <w:tcW w:w="148"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3.9</w:t>
                        </w:r>
                      </w:p>
                    </w:tc>
                    <w:tc>
                      <w:tcPr>
                        <w:tcW w:w="148"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1.3%</w:t>
                        </w:r>
                      </w:p>
                    </w:tc>
                    <w:tc>
                      <w:tcPr>
                        <w:tcW w:w="179" w:type="dxa"/>
                        <w:tcBorders>
                          <w:top w:val="dashed" w:sz="4" w:space="0" w:color="auto"/>
                        </w:tcBorders>
                      </w:tcPr>
                      <w:p w:rsidR="00000000" w:rsidRDefault="00D87559">
                        <w:pPr>
                          <w:jc w:val="right"/>
                          <w:rPr>
                            <w:rFonts w:ascii="Univers" w:hAnsi="Univers"/>
                            <w:sz w:val="18"/>
                            <w:szCs w:val="18"/>
                          </w:rPr>
                        </w:pPr>
                      </w:p>
                    </w:tc>
                    <w:tc>
                      <w:tcPr>
                        <w:tcW w:w="1152"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91.4%</w:t>
                        </w:r>
                      </w:p>
                    </w:tc>
                  </w:tr>
                  <w:tr w:rsidR="00000000">
                    <w:trPr>
                      <w:trHeight w:val="288"/>
                      <w:jc w:val="center"/>
                    </w:trPr>
                    <w:tc>
                      <w:tcPr>
                        <w:tcW w:w="2592"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College Student Aid Comm.</w:t>
                        </w:r>
                      </w:p>
                    </w:tc>
                    <w:tc>
                      <w:tcPr>
                        <w:tcW w:w="144" w:type="dxa"/>
                      </w:tcPr>
                      <w:p w:rsidR="00000000" w:rsidRDefault="00D87559">
                        <w:pPr>
                          <w:jc w:val="right"/>
                          <w:rPr>
                            <w:rFonts w:ascii="Univer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58.8</w:t>
                        </w:r>
                      </w:p>
                    </w:tc>
                    <w:tc>
                      <w:tcPr>
                        <w:tcW w:w="148"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3.5</w:t>
                        </w:r>
                      </w:p>
                    </w:tc>
                    <w:tc>
                      <w:tcPr>
                        <w:tcW w:w="148"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1.2%</w:t>
                        </w:r>
                      </w:p>
                    </w:tc>
                    <w:tc>
                      <w:tcPr>
                        <w:tcW w:w="179" w:type="dxa"/>
                      </w:tcPr>
                      <w:p w:rsidR="00000000" w:rsidRDefault="00D87559">
                        <w:pPr>
                          <w:jc w:val="right"/>
                          <w:rPr>
                            <w:rFonts w:ascii="Univers" w:hAnsi="Univers"/>
                            <w:sz w:val="18"/>
                            <w:szCs w:val="18"/>
                          </w:rPr>
                        </w:pPr>
                      </w:p>
                    </w:tc>
                    <w:tc>
                      <w:tcPr>
                        <w:tcW w:w="1152"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92.6%</w:t>
                        </w:r>
                      </w:p>
                    </w:tc>
                  </w:tr>
                  <w:tr w:rsidR="00000000">
                    <w:trPr>
                      <w:trHeight w:val="288"/>
                      <w:jc w:val="center"/>
                    </w:trPr>
                    <w:tc>
                      <w:tcPr>
                        <w:tcW w:w="2592"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Veterans Affairs   </w:t>
                        </w:r>
                      </w:p>
                    </w:tc>
                    <w:tc>
                      <w:tcPr>
                        <w:tcW w:w="144" w:type="dxa"/>
                        <w:tcBorders>
                          <w:bottom w:val="dashed" w:sz="4" w:space="0" w:color="auto"/>
                        </w:tcBorders>
                      </w:tcPr>
                      <w:p w:rsidR="00000000" w:rsidRDefault="00D87559">
                        <w:pPr>
                          <w:jc w:val="right"/>
                          <w:rPr>
                            <w:rFonts w:ascii="Univer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47.8</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2.9</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1.0%</w:t>
                        </w:r>
                      </w:p>
                    </w:tc>
                    <w:tc>
                      <w:tcPr>
                        <w:tcW w:w="179" w:type="dxa"/>
                        <w:tcBorders>
                          <w:bottom w:val="dashed" w:sz="4" w:space="0" w:color="auto"/>
                        </w:tcBorders>
                      </w:tcPr>
                      <w:p w:rsidR="00000000" w:rsidRDefault="00D87559">
                        <w:pPr>
                          <w:jc w:val="right"/>
                          <w:rPr>
                            <w:rFonts w:ascii="Univers" w:hAnsi="Univers"/>
                            <w:sz w:val="18"/>
                            <w:szCs w:val="18"/>
                          </w:rPr>
                        </w:pPr>
                      </w:p>
                    </w:tc>
                    <w:tc>
                      <w:tcPr>
                        <w:tcW w:w="1152"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93.6%</w:t>
                        </w:r>
                      </w:p>
                    </w:tc>
                  </w:tr>
                  <w:tr w:rsidR="00000000">
                    <w:trPr>
                      <w:trHeight w:val="288"/>
                      <w:jc w:val="center"/>
                    </w:trPr>
                    <w:tc>
                      <w:tcPr>
                        <w:tcW w:w="2592"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Inspections &amp; Appeals</w:t>
                        </w:r>
                      </w:p>
                    </w:tc>
                    <w:tc>
                      <w:tcPr>
                        <w:tcW w:w="144" w:type="dxa"/>
                        <w:tcBorders>
                          <w:top w:val="dashed" w:sz="4" w:space="0" w:color="auto"/>
                        </w:tcBorders>
                      </w:tcPr>
                      <w:p w:rsidR="00000000" w:rsidRDefault="00D87559">
                        <w:pPr>
                          <w:jc w:val="right"/>
                          <w:rPr>
                            <w:rFonts w:ascii="Univer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46.2</w:t>
                        </w:r>
                      </w:p>
                    </w:tc>
                    <w:tc>
                      <w:tcPr>
                        <w:tcW w:w="148"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2.8</w:t>
                        </w:r>
                      </w:p>
                    </w:tc>
                    <w:tc>
                      <w:tcPr>
                        <w:tcW w:w="148"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0.9%</w:t>
                        </w:r>
                      </w:p>
                    </w:tc>
                    <w:tc>
                      <w:tcPr>
                        <w:tcW w:w="179" w:type="dxa"/>
                        <w:tcBorders>
                          <w:top w:val="dashed" w:sz="4" w:space="0" w:color="auto"/>
                        </w:tcBorders>
                      </w:tcPr>
                      <w:p w:rsidR="00000000" w:rsidRDefault="00D87559">
                        <w:pPr>
                          <w:jc w:val="right"/>
                          <w:rPr>
                            <w:rFonts w:ascii="Univers" w:hAnsi="Univers"/>
                            <w:sz w:val="18"/>
                            <w:szCs w:val="18"/>
                          </w:rPr>
                        </w:pPr>
                      </w:p>
                    </w:tc>
                    <w:tc>
                      <w:tcPr>
                        <w:tcW w:w="1152"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94.6%</w:t>
                        </w:r>
                      </w:p>
                    </w:tc>
                  </w:tr>
                  <w:tr w:rsidR="00000000">
                    <w:trPr>
                      <w:trHeight w:val="288"/>
                      <w:jc w:val="center"/>
                    </w:trPr>
                    <w:tc>
                      <w:tcPr>
                        <w:tcW w:w="2592"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Public Health </w:t>
                        </w:r>
                      </w:p>
                    </w:tc>
                    <w:tc>
                      <w:tcPr>
                        <w:tcW w:w="144" w:type="dxa"/>
                      </w:tcPr>
                      <w:p w:rsidR="00000000" w:rsidRDefault="00D87559">
                        <w:pPr>
                          <w:jc w:val="right"/>
                          <w:rPr>
                            <w:rFonts w:ascii="Univer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31.0</w:t>
                        </w:r>
                      </w:p>
                    </w:tc>
                    <w:tc>
                      <w:tcPr>
                        <w:tcW w:w="148"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1.9</w:t>
                        </w:r>
                      </w:p>
                    </w:tc>
                    <w:tc>
                      <w:tcPr>
                        <w:tcW w:w="148"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0.6%</w:t>
                        </w:r>
                      </w:p>
                    </w:tc>
                    <w:tc>
                      <w:tcPr>
                        <w:tcW w:w="179" w:type="dxa"/>
                      </w:tcPr>
                      <w:p w:rsidR="00000000" w:rsidRDefault="00D87559">
                        <w:pPr>
                          <w:jc w:val="right"/>
                          <w:rPr>
                            <w:rFonts w:ascii="Univers" w:hAnsi="Univers"/>
                            <w:sz w:val="18"/>
                            <w:szCs w:val="18"/>
                          </w:rPr>
                        </w:pPr>
                      </w:p>
                    </w:tc>
                    <w:tc>
                      <w:tcPr>
                        <w:tcW w:w="1152"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95.2%</w:t>
                        </w:r>
                      </w:p>
                    </w:tc>
                  </w:tr>
                  <w:tr w:rsidR="00000000">
                    <w:trPr>
                      <w:trHeight w:val="288"/>
                      <w:jc w:val="center"/>
                    </w:trPr>
                    <w:tc>
                      <w:tcPr>
                        <w:tcW w:w="2592"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Legislative Branch           </w:t>
                        </w:r>
                      </w:p>
                    </w:tc>
                    <w:tc>
                      <w:tcPr>
                        <w:tcW w:w="144" w:type="dxa"/>
                        <w:tcBorders>
                          <w:bottom w:val="dashed" w:sz="4" w:space="0" w:color="auto"/>
                        </w:tcBorders>
                      </w:tcPr>
                      <w:p w:rsidR="00000000" w:rsidRDefault="00D87559">
                        <w:pPr>
                          <w:jc w:val="right"/>
                          <w:rPr>
                            <w:rFonts w:ascii="Univer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26.6</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1.6</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0.5%</w:t>
                        </w:r>
                      </w:p>
                    </w:tc>
                    <w:tc>
                      <w:tcPr>
                        <w:tcW w:w="179" w:type="dxa"/>
                        <w:tcBorders>
                          <w:bottom w:val="dashed" w:sz="4" w:space="0" w:color="auto"/>
                        </w:tcBorders>
                      </w:tcPr>
                      <w:p w:rsidR="00000000" w:rsidRDefault="00D87559">
                        <w:pPr>
                          <w:jc w:val="right"/>
                          <w:rPr>
                            <w:rFonts w:ascii="Univers" w:hAnsi="Univers"/>
                            <w:sz w:val="18"/>
                            <w:szCs w:val="18"/>
                          </w:rPr>
                        </w:pPr>
                      </w:p>
                    </w:tc>
                    <w:tc>
                      <w:tcPr>
                        <w:tcW w:w="1152"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95.8%</w:t>
                        </w:r>
                      </w:p>
                    </w:tc>
                  </w:tr>
                  <w:tr w:rsidR="00000000">
                    <w:trPr>
                      <w:trHeight w:val="288"/>
                      <w:jc w:val="center"/>
                    </w:trPr>
                    <w:tc>
                      <w:tcPr>
                        <w:tcW w:w="2592"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Agr. &amp; Land Stewardship</w:t>
                        </w:r>
                      </w:p>
                    </w:tc>
                    <w:tc>
                      <w:tcPr>
                        <w:tcW w:w="144" w:type="dxa"/>
                        <w:tcBorders>
                          <w:top w:val="dashed" w:sz="4" w:space="0" w:color="auto"/>
                        </w:tcBorders>
                      </w:tcPr>
                      <w:p w:rsidR="00000000" w:rsidRDefault="00D87559">
                        <w:pPr>
                          <w:jc w:val="right"/>
                          <w:rPr>
                            <w:rFonts w:ascii="Univer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24.8</w:t>
                        </w:r>
                      </w:p>
                    </w:tc>
                    <w:tc>
                      <w:tcPr>
                        <w:tcW w:w="148"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1.5</w:t>
                        </w:r>
                      </w:p>
                    </w:tc>
                    <w:tc>
                      <w:tcPr>
                        <w:tcW w:w="148"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0.5%</w:t>
                        </w:r>
                      </w:p>
                    </w:tc>
                    <w:tc>
                      <w:tcPr>
                        <w:tcW w:w="179" w:type="dxa"/>
                        <w:tcBorders>
                          <w:top w:val="dashed" w:sz="4" w:space="0" w:color="auto"/>
                        </w:tcBorders>
                      </w:tcPr>
                      <w:p w:rsidR="00000000" w:rsidRDefault="00D87559">
                        <w:pPr>
                          <w:jc w:val="right"/>
                          <w:rPr>
                            <w:rFonts w:ascii="Univers" w:hAnsi="Univers"/>
                            <w:sz w:val="18"/>
                            <w:szCs w:val="18"/>
                          </w:rPr>
                        </w:pPr>
                      </w:p>
                    </w:tc>
                    <w:tc>
                      <w:tcPr>
                        <w:tcW w:w="1152"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96.3%</w:t>
                        </w:r>
                      </w:p>
                    </w:tc>
                  </w:tr>
                  <w:tr w:rsidR="00000000">
                    <w:trPr>
                      <w:trHeight w:val="288"/>
                      <w:jc w:val="center"/>
                    </w:trPr>
                    <w:tc>
                      <w:tcPr>
                        <w:tcW w:w="2592"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Econo</w:t>
                        </w:r>
                        <w:r>
                          <w:rPr>
                            <w:rFonts w:ascii="Univers" w:hAnsi="Univers"/>
                            <w:sz w:val="18"/>
                            <w:szCs w:val="18"/>
                          </w:rPr>
                          <w:t>mic Development</w:t>
                        </w:r>
                      </w:p>
                    </w:tc>
                    <w:tc>
                      <w:tcPr>
                        <w:tcW w:w="144" w:type="dxa"/>
                      </w:tcPr>
                      <w:p w:rsidR="00000000" w:rsidRDefault="00D87559">
                        <w:pPr>
                          <w:jc w:val="right"/>
                          <w:rPr>
                            <w:rFonts w:ascii="Univer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21.9</w:t>
                        </w:r>
                      </w:p>
                    </w:tc>
                    <w:tc>
                      <w:tcPr>
                        <w:tcW w:w="148"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1.3</w:t>
                        </w:r>
                      </w:p>
                    </w:tc>
                    <w:tc>
                      <w:tcPr>
                        <w:tcW w:w="148"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0.4%</w:t>
                        </w:r>
                      </w:p>
                    </w:tc>
                    <w:tc>
                      <w:tcPr>
                        <w:tcW w:w="179" w:type="dxa"/>
                      </w:tcPr>
                      <w:p w:rsidR="00000000" w:rsidRDefault="00D87559">
                        <w:pPr>
                          <w:jc w:val="right"/>
                          <w:rPr>
                            <w:rFonts w:ascii="Univers" w:hAnsi="Univers"/>
                            <w:sz w:val="18"/>
                            <w:szCs w:val="18"/>
                          </w:rPr>
                        </w:pPr>
                      </w:p>
                    </w:tc>
                    <w:tc>
                      <w:tcPr>
                        <w:tcW w:w="1152"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96.7%</w:t>
                        </w:r>
                      </w:p>
                    </w:tc>
                  </w:tr>
                  <w:tr w:rsidR="00000000">
                    <w:trPr>
                      <w:trHeight w:val="288"/>
                      <w:jc w:val="center"/>
                    </w:trPr>
                    <w:tc>
                      <w:tcPr>
                        <w:tcW w:w="2592"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Commerce Department      </w:t>
                        </w:r>
                      </w:p>
                    </w:tc>
                    <w:tc>
                      <w:tcPr>
                        <w:tcW w:w="144" w:type="dxa"/>
                        <w:tcBorders>
                          <w:bottom w:val="dashed" w:sz="4" w:space="0" w:color="auto"/>
                        </w:tcBorders>
                      </w:tcPr>
                      <w:p w:rsidR="00000000" w:rsidRDefault="00D87559">
                        <w:pPr>
                          <w:jc w:val="right"/>
                          <w:rPr>
                            <w:rFonts w:ascii="Univer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20.7</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1.2</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0.4%</w:t>
                        </w:r>
                      </w:p>
                    </w:tc>
                    <w:tc>
                      <w:tcPr>
                        <w:tcW w:w="179" w:type="dxa"/>
                        <w:tcBorders>
                          <w:bottom w:val="dashed" w:sz="4" w:space="0" w:color="auto"/>
                        </w:tcBorders>
                      </w:tcPr>
                      <w:p w:rsidR="00000000" w:rsidRDefault="00D87559">
                        <w:pPr>
                          <w:jc w:val="right"/>
                          <w:rPr>
                            <w:rFonts w:ascii="Univers" w:hAnsi="Univers"/>
                            <w:sz w:val="18"/>
                            <w:szCs w:val="18"/>
                          </w:rPr>
                        </w:pPr>
                      </w:p>
                    </w:tc>
                    <w:tc>
                      <w:tcPr>
                        <w:tcW w:w="1152"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97.1%</w:t>
                        </w:r>
                      </w:p>
                    </w:tc>
                  </w:tr>
                  <w:tr w:rsidR="00000000">
                    <w:trPr>
                      <w:trHeight w:val="288"/>
                      <w:jc w:val="center"/>
                    </w:trPr>
                    <w:tc>
                      <w:tcPr>
                        <w:tcW w:w="2592"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Natural Resources</w:t>
                        </w:r>
                      </w:p>
                    </w:tc>
                    <w:tc>
                      <w:tcPr>
                        <w:tcW w:w="144" w:type="dxa"/>
                        <w:tcBorders>
                          <w:top w:val="dashed" w:sz="4" w:space="0" w:color="auto"/>
                        </w:tcBorders>
                      </w:tcPr>
                      <w:p w:rsidR="00000000" w:rsidRDefault="00D87559">
                        <w:pPr>
                          <w:jc w:val="right"/>
                          <w:rPr>
                            <w:rFonts w:ascii="Univer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19.0</w:t>
                        </w:r>
                      </w:p>
                    </w:tc>
                    <w:tc>
                      <w:tcPr>
                        <w:tcW w:w="148"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1.1</w:t>
                        </w:r>
                      </w:p>
                    </w:tc>
                    <w:tc>
                      <w:tcPr>
                        <w:tcW w:w="148"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0.4%</w:t>
                        </w:r>
                      </w:p>
                    </w:tc>
                    <w:tc>
                      <w:tcPr>
                        <w:tcW w:w="179" w:type="dxa"/>
                        <w:tcBorders>
                          <w:top w:val="dashed" w:sz="4" w:space="0" w:color="auto"/>
                        </w:tcBorders>
                      </w:tcPr>
                      <w:p w:rsidR="00000000" w:rsidRDefault="00D87559">
                        <w:pPr>
                          <w:jc w:val="right"/>
                          <w:rPr>
                            <w:rFonts w:ascii="Univers" w:hAnsi="Univers"/>
                            <w:sz w:val="18"/>
                            <w:szCs w:val="18"/>
                          </w:rPr>
                        </w:pPr>
                      </w:p>
                    </w:tc>
                    <w:tc>
                      <w:tcPr>
                        <w:tcW w:w="1152"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97.5%</w:t>
                        </w:r>
                      </w:p>
                    </w:tc>
                  </w:tr>
                  <w:tr w:rsidR="00000000">
                    <w:trPr>
                      <w:trHeight w:val="371"/>
                      <w:jc w:val="center"/>
                    </w:trPr>
                    <w:tc>
                      <w:tcPr>
                        <w:tcW w:w="2592"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General Services</w:t>
                        </w:r>
                      </w:p>
                    </w:tc>
                    <w:tc>
                      <w:tcPr>
                        <w:tcW w:w="144" w:type="dxa"/>
                      </w:tcPr>
                      <w:p w:rsidR="00000000" w:rsidRDefault="00D87559">
                        <w:pPr>
                          <w:jc w:val="right"/>
                          <w:rPr>
                            <w:rFonts w:ascii="Univer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15.1</w:t>
                        </w:r>
                      </w:p>
                    </w:tc>
                    <w:tc>
                      <w:tcPr>
                        <w:tcW w:w="148"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0.9</w:t>
                        </w:r>
                      </w:p>
                    </w:tc>
                    <w:tc>
                      <w:tcPr>
                        <w:tcW w:w="148"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0.3%</w:t>
                        </w:r>
                      </w:p>
                    </w:tc>
                    <w:tc>
                      <w:tcPr>
                        <w:tcW w:w="179" w:type="dxa"/>
                      </w:tcPr>
                      <w:p w:rsidR="00000000" w:rsidRDefault="00D87559">
                        <w:pPr>
                          <w:jc w:val="right"/>
                          <w:rPr>
                            <w:rFonts w:ascii="Univers" w:hAnsi="Univers"/>
                            <w:sz w:val="18"/>
                            <w:szCs w:val="18"/>
                          </w:rPr>
                        </w:pPr>
                      </w:p>
                    </w:tc>
                    <w:tc>
                      <w:tcPr>
                        <w:tcW w:w="1152"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97.8%</w:t>
                        </w:r>
                      </w:p>
                    </w:tc>
                  </w:tr>
                  <w:tr w:rsidR="00000000">
                    <w:trPr>
                      <w:trHeight w:val="288"/>
                      <w:jc w:val="center"/>
                    </w:trPr>
                    <w:tc>
                      <w:tcPr>
                        <w:tcW w:w="2592"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Attorney General             </w:t>
                        </w:r>
                      </w:p>
                    </w:tc>
                    <w:tc>
                      <w:tcPr>
                        <w:tcW w:w="144" w:type="dxa"/>
                        <w:tcBorders>
                          <w:bottom w:val="dashed" w:sz="4" w:space="0" w:color="auto"/>
                        </w:tcBorders>
                      </w:tcPr>
                      <w:p w:rsidR="00000000" w:rsidRDefault="00D87559">
                        <w:pPr>
                          <w:jc w:val="right"/>
                          <w:rPr>
                            <w:rFonts w:ascii="Univer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14.5</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0.9</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0.3%</w:t>
                        </w:r>
                      </w:p>
                    </w:tc>
                    <w:tc>
                      <w:tcPr>
                        <w:tcW w:w="179" w:type="dxa"/>
                        <w:tcBorders>
                          <w:bottom w:val="dashed" w:sz="4" w:space="0" w:color="auto"/>
                        </w:tcBorders>
                      </w:tcPr>
                      <w:p w:rsidR="00000000" w:rsidRDefault="00D87559">
                        <w:pPr>
                          <w:jc w:val="right"/>
                          <w:rPr>
                            <w:rFonts w:ascii="Univers" w:hAnsi="Univers"/>
                            <w:sz w:val="18"/>
                            <w:szCs w:val="18"/>
                          </w:rPr>
                        </w:pPr>
                      </w:p>
                    </w:tc>
                    <w:tc>
                      <w:tcPr>
                        <w:tcW w:w="1152"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98.1%</w:t>
                        </w:r>
                      </w:p>
                    </w:tc>
                  </w:tr>
                  <w:tr w:rsidR="00000000">
                    <w:trPr>
                      <w:trHeight w:val="288"/>
                      <w:jc w:val="center"/>
                    </w:trPr>
                    <w:tc>
                      <w:tcPr>
                        <w:tcW w:w="2592"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Treasurer of State      </w:t>
                        </w:r>
                        <w:r>
                          <w:rPr>
                            <w:rFonts w:ascii="Univers" w:hAnsi="Univers"/>
                            <w:sz w:val="18"/>
                            <w:szCs w:val="18"/>
                          </w:rPr>
                          <w:t xml:space="preserve">     </w:t>
                        </w:r>
                      </w:p>
                    </w:tc>
                    <w:tc>
                      <w:tcPr>
                        <w:tcW w:w="144" w:type="dxa"/>
                        <w:tcBorders>
                          <w:top w:val="dashed" w:sz="4" w:space="0" w:color="auto"/>
                        </w:tcBorders>
                      </w:tcPr>
                      <w:p w:rsidR="00000000" w:rsidRDefault="00D87559">
                        <w:pPr>
                          <w:jc w:val="right"/>
                          <w:rPr>
                            <w:rFonts w:ascii="Univer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14.1</w:t>
                        </w:r>
                      </w:p>
                    </w:tc>
                    <w:tc>
                      <w:tcPr>
                        <w:tcW w:w="148"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0.8</w:t>
                        </w:r>
                      </w:p>
                    </w:tc>
                    <w:tc>
                      <w:tcPr>
                        <w:tcW w:w="148"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0.3%</w:t>
                        </w:r>
                      </w:p>
                    </w:tc>
                    <w:tc>
                      <w:tcPr>
                        <w:tcW w:w="179" w:type="dxa"/>
                        <w:tcBorders>
                          <w:top w:val="dashed" w:sz="4" w:space="0" w:color="auto"/>
                        </w:tcBorders>
                      </w:tcPr>
                      <w:p w:rsidR="00000000" w:rsidRDefault="00D87559">
                        <w:pPr>
                          <w:jc w:val="right"/>
                          <w:rPr>
                            <w:rFonts w:ascii="Univers" w:hAnsi="Univers"/>
                            <w:sz w:val="18"/>
                            <w:szCs w:val="18"/>
                          </w:rPr>
                        </w:pPr>
                      </w:p>
                    </w:tc>
                    <w:tc>
                      <w:tcPr>
                        <w:tcW w:w="1152"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98.4%</w:t>
                        </w:r>
                      </w:p>
                    </w:tc>
                  </w:tr>
                  <w:tr w:rsidR="00000000">
                    <w:trPr>
                      <w:trHeight w:val="288"/>
                      <w:jc w:val="center"/>
                    </w:trPr>
                    <w:tc>
                      <w:tcPr>
                        <w:tcW w:w="2592"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Transportation Department </w:t>
                        </w:r>
                      </w:p>
                    </w:tc>
                    <w:tc>
                      <w:tcPr>
                        <w:tcW w:w="144" w:type="dxa"/>
                      </w:tcPr>
                      <w:p w:rsidR="00000000" w:rsidRDefault="00D87559">
                        <w:pPr>
                          <w:jc w:val="right"/>
                          <w:rPr>
                            <w:rFonts w:ascii="Univer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14.0</w:t>
                        </w:r>
                      </w:p>
                    </w:tc>
                    <w:tc>
                      <w:tcPr>
                        <w:tcW w:w="148"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0.8</w:t>
                        </w:r>
                      </w:p>
                    </w:tc>
                    <w:tc>
                      <w:tcPr>
                        <w:tcW w:w="148"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0.3%</w:t>
                        </w:r>
                      </w:p>
                    </w:tc>
                    <w:tc>
                      <w:tcPr>
                        <w:tcW w:w="179" w:type="dxa"/>
                      </w:tcPr>
                      <w:p w:rsidR="00000000" w:rsidRDefault="00D87559">
                        <w:pPr>
                          <w:jc w:val="right"/>
                          <w:rPr>
                            <w:rFonts w:ascii="Univers" w:hAnsi="Univers"/>
                            <w:sz w:val="18"/>
                            <w:szCs w:val="18"/>
                          </w:rPr>
                        </w:pPr>
                      </w:p>
                    </w:tc>
                    <w:tc>
                      <w:tcPr>
                        <w:tcW w:w="1152"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98.7%</w:t>
                        </w:r>
                      </w:p>
                    </w:tc>
                  </w:tr>
                  <w:tr w:rsidR="00000000">
                    <w:trPr>
                      <w:trHeight w:val="288"/>
                      <w:jc w:val="center"/>
                    </w:trPr>
                    <w:tc>
                      <w:tcPr>
                        <w:tcW w:w="2592"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Management Department    </w:t>
                        </w:r>
                      </w:p>
                    </w:tc>
                    <w:tc>
                      <w:tcPr>
                        <w:tcW w:w="144" w:type="dxa"/>
                        <w:tcBorders>
                          <w:bottom w:val="dashed" w:sz="4" w:space="0" w:color="auto"/>
                        </w:tcBorders>
                      </w:tcPr>
                      <w:p w:rsidR="00000000" w:rsidRDefault="00D87559">
                        <w:pPr>
                          <w:jc w:val="right"/>
                          <w:rPr>
                            <w:rFonts w:ascii="Univer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10.3</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0.6</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0.2%</w:t>
                        </w:r>
                      </w:p>
                    </w:tc>
                    <w:tc>
                      <w:tcPr>
                        <w:tcW w:w="179" w:type="dxa"/>
                        <w:tcBorders>
                          <w:bottom w:val="dashed" w:sz="4" w:space="0" w:color="auto"/>
                        </w:tcBorders>
                      </w:tcPr>
                      <w:p w:rsidR="00000000" w:rsidRDefault="00D87559">
                        <w:pPr>
                          <w:jc w:val="right"/>
                          <w:rPr>
                            <w:rFonts w:ascii="Univers" w:hAnsi="Univers"/>
                            <w:sz w:val="18"/>
                            <w:szCs w:val="18"/>
                          </w:rPr>
                        </w:pPr>
                      </w:p>
                    </w:tc>
                    <w:tc>
                      <w:tcPr>
                        <w:tcW w:w="1152"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98.9%</w:t>
                        </w:r>
                      </w:p>
                    </w:tc>
                  </w:tr>
                  <w:tr w:rsidR="00000000">
                    <w:trPr>
                      <w:trHeight w:val="288"/>
                      <w:jc w:val="center"/>
                    </w:trPr>
                    <w:tc>
                      <w:tcPr>
                        <w:tcW w:w="2592"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Iowa Workforce Development   </w:t>
                        </w:r>
                      </w:p>
                    </w:tc>
                    <w:tc>
                      <w:tcPr>
                        <w:tcW w:w="144" w:type="dxa"/>
                        <w:tcBorders>
                          <w:top w:val="dashed" w:sz="4" w:space="0" w:color="auto"/>
                        </w:tcBorders>
                      </w:tcPr>
                      <w:p w:rsidR="00000000" w:rsidRDefault="00D87559">
                        <w:pPr>
                          <w:jc w:val="right"/>
                          <w:rPr>
                            <w:rFonts w:ascii="Univer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6.8</w:t>
                        </w:r>
                      </w:p>
                    </w:tc>
                    <w:tc>
                      <w:tcPr>
                        <w:tcW w:w="148"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0.4</w:t>
                        </w:r>
                      </w:p>
                    </w:tc>
                    <w:tc>
                      <w:tcPr>
                        <w:tcW w:w="148"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0.1%</w:t>
                        </w:r>
                      </w:p>
                    </w:tc>
                    <w:tc>
                      <w:tcPr>
                        <w:tcW w:w="179" w:type="dxa"/>
                        <w:tcBorders>
                          <w:top w:val="dashed" w:sz="4" w:space="0" w:color="auto"/>
                        </w:tcBorders>
                      </w:tcPr>
                      <w:p w:rsidR="00000000" w:rsidRDefault="00D87559">
                        <w:pPr>
                          <w:jc w:val="right"/>
                          <w:rPr>
                            <w:rFonts w:ascii="Univers" w:hAnsi="Univers"/>
                            <w:sz w:val="18"/>
                            <w:szCs w:val="18"/>
                          </w:rPr>
                        </w:pPr>
                      </w:p>
                    </w:tc>
                    <w:tc>
                      <w:tcPr>
                        <w:tcW w:w="1152"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99.1%</w:t>
                        </w:r>
                      </w:p>
                    </w:tc>
                  </w:tr>
                  <w:tr w:rsidR="00000000">
                    <w:trPr>
                      <w:trHeight w:val="288"/>
                      <w:jc w:val="center"/>
                    </w:trPr>
                    <w:tc>
                      <w:tcPr>
                        <w:tcW w:w="2592"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Public Defense Department</w:t>
                        </w:r>
                      </w:p>
                    </w:tc>
                    <w:tc>
                      <w:tcPr>
                        <w:tcW w:w="144" w:type="dxa"/>
                      </w:tcPr>
                      <w:p w:rsidR="00000000" w:rsidRDefault="00D87559">
                        <w:pPr>
                          <w:jc w:val="right"/>
                          <w:rPr>
                            <w:rFonts w:ascii="Univer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6.4</w:t>
                        </w:r>
                      </w:p>
                    </w:tc>
                    <w:tc>
                      <w:tcPr>
                        <w:tcW w:w="148"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0.4</w:t>
                        </w:r>
                      </w:p>
                    </w:tc>
                    <w:tc>
                      <w:tcPr>
                        <w:tcW w:w="148"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0.1%</w:t>
                        </w:r>
                      </w:p>
                    </w:tc>
                    <w:tc>
                      <w:tcPr>
                        <w:tcW w:w="179" w:type="dxa"/>
                      </w:tcPr>
                      <w:p w:rsidR="00000000" w:rsidRDefault="00D87559">
                        <w:pPr>
                          <w:jc w:val="right"/>
                          <w:rPr>
                            <w:rFonts w:ascii="Univers" w:hAnsi="Univers"/>
                            <w:sz w:val="18"/>
                            <w:szCs w:val="18"/>
                          </w:rPr>
                        </w:pPr>
                      </w:p>
                    </w:tc>
                    <w:tc>
                      <w:tcPr>
                        <w:tcW w:w="1152"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99.2%</w:t>
                        </w:r>
                      </w:p>
                    </w:tc>
                  </w:tr>
                  <w:tr w:rsidR="00000000">
                    <w:trPr>
                      <w:trHeight w:val="288"/>
                      <w:jc w:val="center"/>
                    </w:trPr>
                    <w:tc>
                      <w:tcPr>
                        <w:tcW w:w="2592"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Cultural Affairs  </w:t>
                        </w:r>
                        <w:r>
                          <w:rPr>
                            <w:rFonts w:ascii="Univers" w:hAnsi="Univers"/>
                            <w:sz w:val="18"/>
                            <w:szCs w:val="18"/>
                          </w:rPr>
                          <w:t xml:space="preserve"> </w:t>
                        </w:r>
                      </w:p>
                    </w:tc>
                    <w:tc>
                      <w:tcPr>
                        <w:tcW w:w="144" w:type="dxa"/>
                        <w:tcBorders>
                          <w:bottom w:val="dashed" w:sz="4" w:space="0" w:color="auto"/>
                        </w:tcBorders>
                      </w:tcPr>
                      <w:p w:rsidR="00000000" w:rsidRDefault="00D87559">
                        <w:pPr>
                          <w:jc w:val="right"/>
                          <w:rPr>
                            <w:rFonts w:ascii="Univer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6.4</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0.4</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0.1%</w:t>
                        </w:r>
                      </w:p>
                    </w:tc>
                    <w:tc>
                      <w:tcPr>
                        <w:tcW w:w="179" w:type="dxa"/>
                        <w:tcBorders>
                          <w:bottom w:val="dashed" w:sz="4" w:space="0" w:color="auto"/>
                        </w:tcBorders>
                      </w:tcPr>
                      <w:p w:rsidR="00000000" w:rsidRDefault="00D87559">
                        <w:pPr>
                          <w:jc w:val="right"/>
                          <w:rPr>
                            <w:rFonts w:ascii="Univers" w:hAnsi="Univers"/>
                            <w:sz w:val="18"/>
                            <w:szCs w:val="18"/>
                          </w:rPr>
                        </w:pPr>
                      </w:p>
                    </w:tc>
                    <w:tc>
                      <w:tcPr>
                        <w:tcW w:w="1152"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99.3%</w:t>
                        </w:r>
                      </w:p>
                    </w:tc>
                  </w:tr>
                  <w:tr w:rsidR="00000000">
                    <w:trPr>
                      <w:trHeight w:val="288"/>
                      <w:jc w:val="center"/>
                    </w:trPr>
                    <w:tc>
                      <w:tcPr>
                        <w:tcW w:w="2592"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Elder Affairs Department </w:t>
                        </w:r>
                      </w:p>
                    </w:tc>
                    <w:tc>
                      <w:tcPr>
                        <w:tcW w:w="144" w:type="dxa"/>
                        <w:tcBorders>
                          <w:top w:val="dashed" w:sz="4" w:space="0" w:color="auto"/>
                        </w:tcBorders>
                      </w:tcPr>
                      <w:p w:rsidR="00000000" w:rsidRDefault="00D87559">
                        <w:pPr>
                          <w:jc w:val="right"/>
                          <w:rPr>
                            <w:rFonts w:ascii="Univer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5.1</w:t>
                        </w:r>
                      </w:p>
                    </w:tc>
                    <w:tc>
                      <w:tcPr>
                        <w:tcW w:w="148"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0.3</w:t>
                        </w:r>
                      </w:p>
                    </w:tc>
                    <w:tc>
                      <w:tcPr>
                        <w:tcW w:w="148"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0.1%</w:t>
                        </w:r>
                      </w:p>
                    </w:tc>
                    <w:tc>
                      <w:tcPr>
                        <w:tcW w:w="179" w:type="dxa"/>
                        <w:tcBorders>
                          <w:top w:val="dashed" w:sz="4" w:space="0" w:color="auto"/>
                        </w:tcBorders>
                      </w:tcPr>
                      <w:p w:rsidR="00000000" w:rsidRDefault="00D87559">
                        <w:pPr>
                          <w:jc w:val="right"/>
                          <w:rPr>
                            <w:rFonts w:ascii="Univers" w:hAnsi="Univers"/>
                            <w:sz w:val="18"/>
                            <w:szCs w:val="18"/>
                          </w:rPr>
                        </w:pPr>
                      </w:p>
                    </w:tc>
                    <w:tc>
                      <w:tcPr>
                        <w:tcW w:w="1152"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99.4%</w:t>
                        </w:r>
                      </w:p>
                    </w:tc>
                  </w:tr>
                  <w:tr w:rsidR="00000000">
                    <w:trPr>
                      <w:trHeight w:val="288"/>
                      <w:jc w:val="center"/>
                    </w:trPr>
                    <w:tc>
                      <w:tcPr>
                        <w:tcW w:w="2592"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Personnel Department </w:t>
                        </w:r>
                      </w:p>
                    </w:tc>
                    <w:tc>
                      <w:tcPr>
                        <w:tcW w:w="144" w:type="dxa"/>
                      </w:tcPr>
                      <w:p w:rsidR="00000000" w:rsidRDefault="00D87559">
                        <w:pPr>
                          <w:jc w:val="right"/>
                          <w:rPr>
                            <w:rFonts w:ascii="Univer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4.9</w:t>
                        </w:r>
                      </w:p>
                    </w:tc>
                    <w:tc>
                      <w:tcPr>
                        <w:tcW w:w="148"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0.3</w:t>
                        </w:r>
                      </w:p>
                    </w:tc>
                    <w:tc>
                      <w:tcPr>
                        <w:tcW w:w="148"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0.1%</w:t>
                        </w:r>
                      </w:p>
                    </w:tc>
                    <w:tc>
                      <w:tcPr>
                        <w:tcW w:w="179" w:type="dxa"/>
                      </w:tcPr>
                      <w:p w:rsidR="00000000" w:rsidRDefault="00D87559">
                        <w:pPr>
                          <w:jc w:val="right"/>
                          <w:rPr>
                            <w:rFonts w:ascii="Univers" w:hAnsi="Univers"/>
                            <w:sz w:val="18"/>
                            <w:szCs w:val="18"/>
                          </w:rPr>
                        </w:pPr>
                      </w:p>
                    </w:tc>
                    <w:tc>
                      <w:tcPr>
                        <w:tcW w:w="1152"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99.5%</w:t>
                        </w:r>
                      </w:p>
                    </w:tc>
                  </w:tr>
                  <w:tr w:rsidR="00000000">
                    <w:trPr>
                      <w:trHeight w:val="288"/>
                      <w:jc w:val="center"/>
                    </w:trPr>
                    <w:tc>
                      <w:tcPr>
                        <w:tcW w:w="2592"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Human Rights Department </w:t>
                        </w:r>
                      </w:p>
                    </w:tc>
                    <w:tc>
                      <w:tcPr>
                        <w:tcW w:w="144" w:type="dxa"/>
                        <w:tcBorders>
                          <w:bottom w:val="dashed" w:sz="4" w:space="0" w:color="auto"/>
                        </w:tcBorders>
                      </w:tcPr>
                      <w:p w:rsidR="00000000" w:rsidRDefault="00D87559">
                        <w:pPr>
                          <w:jc w:val="right"/>
                          <w:rPr>
                            <w:rFonts w:ascii="Univer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3.7</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0.2</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0.1%</w:t>
                        </w:r>
                      </w:p>
                    </w:tc>
                    <w:tc>
                      <w:tcPr>
                        <w:tcW w:w="179" w:type="dxa"/>
                        <w:tcBorders>
                          <w:bottom w:val="dashed" w:sz="4" w:space="0" w:color="auto"/>
                        </w:tcBorders>
                      </w:tcPr>
                      <w:p w:rsidR="00000000" w:rsidRDefault="00D87559">
                        <w:pPr>
                          <w:jc w:val="right"/>
                          <w:rPr>
                            <w:rFonts w:ascii="Univers" w:hAnsi="Univers"/>
                            <w:sz w:val="18"/>
                            <w:szCs w:val="18"/>
                          </w:rPr>
                        </w:pPr>
                      </w:p>
                    </w:tc>
                    <w:tc>
                      <w:tcPr>
                        <w:tcW w:w="1152"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99.6%</w:t>
                        </w:r>
                      </w:p>
                    </w:tc>
                  </w:tr>
                  <w:tr w:rsidR="00000000">
                    <w:trPr>
                      <w:trHeight w:val="288"/>
                      <w:jc w:val="center"/>
                    </w:trPr>
                    <w:tc>
                      <w:tcPr>
                        <w:tcW w:w="2592"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Telecomm. &amp; Technology </w:t>
                        </w:r>
                      </w:p>
                    </w:tc>
                    <w:tc>
                      <w:tcPr>
                        <w:tcW w:w="144" w:type="dxa"/>
                        <w:tcBorders>
                          <w:top w:val="dashed" w:sz="4" w:space="0" w:color="auto"/>
                        </w:tcBorders>
                      </w:tcPr>
                      <w:p w:rsidR="00000000" w:rsidRDefault="00D87559">
                        <w:pPr>
                          <w:jc w:val="right"/>
                          <w:rPr>
                            <w:rFonts w:ascii="Univer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3.2</w:t>
                        </w:r>
                      </w:p>
                    </w:tc>
                    <w:tc>
                      <w:tcPr>
                        <w:tcW w:w="148"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0.2</w:t>
                        </w:r>
                      </w:p>
                    </w:tc>
                    <w:tc>
                      <w:tcPr>
                        <w:tcW w:w="148"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0.1%</w:t>
                        </w:r>
                      </w:p>
                    </w:tc>
                    <w:tc>
                      <w:tcPr>
                        <w:tcW w:w="179" w:type="dxa"/>
                        <w:tcBorders>
                          <w:top w:val="dashed" w:sz="4" w:space="0" w:color="auto"/>
                        </w:tcBorders>
                      </w:tcPr>
                      <w:p w:rsidR="00000000" w:rsidRDefault="00D87559">
                        <w:pPr>
                          <w:jc w:val="right"/>
                          <w:rPr>
                            <w:rFonts w:ascii="Univers" w:hAnsi="Univers"/>
                            <w:sz w:val="18"/>
                            <w:szCs w:val="18"/>
                          </w:rPr>
                        </w:pPr>
                      </w:p>
                    </w:tc>
                    <w:tc>
                      <w:tcPr>
                        <w:tcW w:w="1152"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99.7%</w:t>
                        </w:r>
                      </w:p>
                    </w:tc>
                  </w:tr>
                  <w:tr w:rsidR="00000000">
                    <w:trPr>
                      <w:trHeight w:val="288"/>
                      <w:jc w:val="center"/>
                    </w:trPr>
                    <w:tc>
                      <w:tcPr>
                        <w:tcW w:w="2592"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Secretary of State           </w:t>
                        </w:r>
                      </w:p>
                    </w:tc>
                    <w:tc>
                      <w:tcPr>
                        <w:tcW w:w="144" w:type="dxa"/>
                      </w:tcPr>
                      <w:p w:rsidR="00000000" w:rsidRDefault="00D87559">
                        <w:pPr>
                          <w:jc w:val="right"/>
                          <w:rPr>
                            <w:rFonts w:ascii="Univer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2.7</w:t>
                        </w:r>
                      </w:p>
                    </w:tc>
                    <w:tc>
                      <w:tcPr>
                        <w:tcW w:w="148"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w:t>
                        </w:r>
                        <w:r>
                          <w:rPr>
                            <w:rFonts w:ascii="Univers" w:hAnsi="Univers"/>
                            <w:sz w:val="18"/>
                            <w:szCs w:val="18"/>
                          </w:rPr>
                          <w:t>.2</w:t>
                        </w:r>
                      </w:p>
                    </w:tc>
                    <w:tc>
                      <w:tcPr>
                        <w:tcW w:w="148"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0.1%</w:t>
                        </w:r>
                      </w:p>
                    </w:tc>
                    <w:tc>
                      <w:tcPr>
                        <w:tcW w:w="179" w:type="dxa"/>
                      </w:tcPr>
                      <w:p w:rsidR="00000000" w:rsidRDefault="00D87559">
                        <w:pPr>
                          <w:jc w:val="right"/>
                          <w:rPr>
                            <w:rFonts w:ascii="Univers" w:hAnsi="Univers"/>
                            <w:sz w:val="18"/>
                            <w:szCs w:val="18"/>
                          </w:rPr>
                        </w:pPr>
                      </w:p>
                    </w:tc>
                    <w:tc>
                      <w:tcPr>
                        <w:tcW w:w="1152"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99.7%</w:t>
                        </w:r>
                      </w:p>
                    </w:tc>
                  </w:tr>
                  <w:tr w:rsidR="00000000">
                    <w:trPr>
                      <w:trHeight w:val="288"/>
                      <w:jc w:val="center"/>
                    </w:trPr>
                    <w:tc>
                      <w:tcPr>
                        <w:tcW w:w="2592"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Executive Council            </w:t>
                        </w:r>
                      </w:p>
                    </w:tc>
                    <w:tc>
                      <w:tcPr>
                        <w:tcW w:w="144" w:type="dxa"/>
                        <w:tcBorders>
                          <w:bottom w:val="dashed" w:sz="4" w:space="0" w:color="auto"/>
                        </w:tcBorders>
                      </w:tcPr>
                      <w:p w:rsidR="00000000" w:rsidRDefault="00D87559">
                        <w:pPr>
                          <w:jc w:val="right"/>
                          <w:rPr>
                            <w:rFonts w:ascii="Univer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2.7</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0.2</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0.1%</w:t>
                        </w:r>
                      </w:p>
                    </w:tc>
                    <w:tc>
                      <w:tcPr>
                        <w:tcW w:w="179" w:type="dxa"/>
                        <w:tcBorders>
                          <w:bottom w:val="dashed" w:sz="4" w:space="0" w:color="auto"/>
                        </w:tcBorders>
                      </w:tcPr>
                      <w:p w:rsidR="00000000" w:rsidRDefault="00D87559">
                        <w:pPr>
                          <w:jc w:val="right"/>
                          <w:rPr>
                            <w:rFonts w:ascii="Univers" w:hAnsi="Univers"/>
                            <w:sz w:val="18"/>
                            <w:szCs w:val="18"/>
                          </w:rPr>
                        </w:pPr>
                      </w:p>
                    </w:tc>
                    <w:tc>
                      <w:tcPr>
                        <w:tcW w:w="1152"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99.8%</w:t>
                        </w:r>
                      </w:p>
                    </w:tc>
                  </w:tr>
                  <w:tr w:rsidR="00000000">
                    <w:trPr>
                      <w:trHeight w:val="288"/>
                      <w:jc w:val="center"/>
                    </w:trPr>
                    <w:tc>
                      <w:tcPr>
                        <w:tcW w:w="2592"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Governor/Lt. Governor</w:t>
                        </w:r>
                      </w:p>
                    </w:tc>
                    <w:tc>
                      <w:tcPr>
                        <w:tcW w:w="144" w:type="dxa"/>
                        <w:tcBorders>
                          <w:top w:val="dashed" w:sz="4" w:space="0" w:color="auto"/>
                        </w:tcBorders>
                      </w:tcPr>
                      <w:p w:rsidR="00000000" w:rsidRDefault="00D87559">
                        <w:pPr>
                          <w:jc w:val="right"/>
                          <w:rPr>
                            <w:rFonts w:ascii="Univer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2.2</w:t>
                        </w:r>
                      </w:p>
                    </w:tc>
                    <w:tc>
                      <w:tcPr>
                        <w:tcW w:w="148"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0.1</w:t>
                        </w:r>
                      </w:p>
                    </w:tc>
                    <w:tc>
                      <w:tcPr>
                        <w:tcW w:w="148"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0.0%</w:t>
                        </w:r>
                      </w:p>
                    </w:tc>
                    <w:tc>
                      <w:tcPr>
                        <w:tcW w:w="179" w:type="dxa"/>
                        <w:tcBorders>
                          <w:top w:val="dashed" w:sz="4" w:space="0" w:color="auto"/>
                        </w:tcBorders>
                      </w:tcPr>
                      <w:p w:rsidR="00000000" w:rsidRDefault="00D87559">
                        <w:pPr>
                          <w:jc w:val="right"/>
                          <w:rPr>
                            <w:rFonts w:ascii="Univers" w:hAnsi="Univers"/>
                            <w:sz w:val="18"/>
                            <w:szCs w:val="18"/>
                          </w:rPr>
                        </w:pPr>
                      </w:p>
                    </w:tc>
                    <w:tc>
                      <w:tcPr>
                        <w:tcW w:w="1152"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99.8%</w:t>
                        </w:r>
                      </w:p>
                    </w:tc>
                  </w:tr>
                  <w:tr w:rsidR="00000000">
                    <w:trPr>
                      <w:trHeight w:val="288"/>
                      <w:jc w:val="center"/>
                    </w:trPr>
                    <w:tc>
                      <w:tcPr>
                        <w:tcW w:w="2592"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Iowa Comm. For The Blind</w:t>
                        </w:r>
                      </w:p>
                    </w:tc>
                    <w:tc>
                      <w:tcPr>
                        <w:tcW w:w="144" w:type="dxa"/>
                      </w:tcPr>
                      <w:p w:rsidR="00000000" w:rsidRDefault="00D87559">
                        <w:pPr>
                          <w:jc w:val="right"/>
                          <w:rPr>
                            <w:rFonts w:ascii="Univer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1.9</w:t>
                        </w:r>
                      </w:p>
                    </w:tc>
                    <w:tc>
                      <w:tcPr>
                        <w:tcW w:w="148"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0.1</w:t>
                        </w:r>
                      </w:p>
                    </w:tc>
                    <w:tc>
                      <w:tcPr>
                        <w:tcW w:w="148"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0.0%</w:t>
                        </w:r>
                      </w:p>
                    </w:tc>
                    <w:tc>
                      <w:tcPr>
                        <w:tcW w:w="179" w:type="dxa"/>
                      </w:tcPr>
                      <w:p w:rsidR="00000000" w:rsidRDefault="00D87559">
                        <w:pPr>
                          <w:jc w:val="right"/>
                          <w:rPr>
                            <w:rFonts w:ascii="Univers" w:hAnsi="Univers"/>
                            <w:sz w:val="18"/>
                            <w:szCs w:val="18"/>
                          </w:rPr>
                        </w:pPr>
                      </w:p>
                    </w:tc>
                    <w:tc>
                      <w:tcPr>
                        <w:tcW w:w="1152"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99.9%</w:t>
                        </w:r>
                      </w:p>
                    </w:tc>
                  </w:tr>
                  <w:tr w:rsidR="00000000">
                    <w:trPr>
                      <w:trHeight w:val="288"/>
                      <w:jc w:val="center"/>
                    </w:trPr>
                    <w:tc>
                      <w:tcPr>
                        <w:tcW w:w="2592"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Law Enforcement Academy      </w:t>
                        </w:r>
                      </w:p>
                    </w:tc>
                    <w:tc>
                      <w:tcPr>
                        <w:tcW w:w="144" w:type="dxa"/>
                        <w:tcBorders>
                          <w:bottom w:val="dashed" w:sz="4" w:space="0" w:color="auto"/>
                        </w:tcBorders>
                      </w:tcPr>
                      <w:p w:rsidR="00000000" w:rsidRDefault="00D87559">
                        <w:pPr>
                          <w:jc w:val="right"/>
                          <w:rPr>
                            <w:rFonts w:ascii="Univer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1.4</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0.1</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0.0%</w:t>
                        </w:r>
                      </w:p>
                    </w:tc>
                    <w:tc>
                      <w:tcPr>
                        <w:tcW w:w="179" w:type="dxa"/>
                        <w:tcBorders>
                          <w:bottom w:val="dashed" w:sz="4" w:space="0" w:color="auto"/>
                        </w:tcBorders>
                      </w:tcPr>
                      <w:p w:rsidR="00000000" w:rsidRDefault="00D87559">
                        <w:pPr>
                          <w:jc w:val="right"/>
                          <w:rPr>
                            <w:rFonts w:ascii="Univers" w:hAnsi="Univers"/>
                            <w:sz w:val="18"/>
                            <w:szCs w:val="18"/>
                          </w:rPr>
                        </w:pPr>
                      </w:p>
                    </w:tc>
                    <w:tc>
                      <w:tcPr>
                        <w:tcW w:w="1152"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99.9%</w:t>
                        </w:r>
                      </w:p>
                    </w:tc>
                  </w:tr>
                  <w:tr w:rsidR="00000000">
                    <w:trPr>
                      <w:trHeight w:val="288"/>
                      <w:jc w:val="center"/>
                    </w:trPr>
                    <w:tc>
                      <w:tcPr>
                        <w:tcW w:w="2592"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Auditor of State             </w:t>
                        </w:r>
                      </w:p>
                    </w:tc>
                    <w:tc>
                      <w:tcPr>
                        <w:tcW w:w="144" w:type="dxa"/>
                        <w:tcBorders>
                          <w:top w:val="dashed" w:sz="4" w:space="0" w:color="auto"/>
                        </w:tcBorders>
                      </w:tcPr>
                      <w:p w:rsidR="00000000" w:rsidRDefault="00D87559">
                        <w:pPr>
                          <w:jc w:val="right"/>
                          <w:rPr>
                            <w:rFonts w:ascii="Univer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1.4</w:t>
                        </w:r>
                      </w:p>
                    </w:tc>
                    <w:tc>
                      <w:tcPr>
                        <w:tcW w:w="148"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0.1</w:t>
                        </w:r>
                      </w:p>
                    </w:tc>
                    <w:tc>
                      <w:tcPr>
                        <w:tcW w:w="148"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0.0%</w:t>
                        </w:r>
                      </w:p>
                    </w:tc>
                    <w:tc>
                      <w:tcPr>
                        <w:tcW w:w="179" w:type="dxa"/>
                        <w:tcBorders>
                          <w:top w:val="dashed" w:sz="4" w:space="0" w:color="auto"/>
                        </w:tcBorders>
                      </w:tcPr>
                      <w:p w:rsidR="00000000" w:rsidRDefault="00D87559">
                        <w:pPr>
                          <w:jc w:val="right"/>
                          <w:rPr>
                            <w:rFonts w:ascii="Univers" w:hAnsi="Univers"/>
                            <w:sz w:val="18"/>
                            <w:szCs w:val="18"/>
                          </w:rPr>
                        </w:pPr>
                      </w:p>
                    </w:tc>
                    <w:tc>
                      <w:tcPr>
                        <w:tcW w:w="1152"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99.9%</w:t>
                        </w:r>
                      </w:p>
                    </w:tc>
                  </w:tr>
                  <w:tr w:rsidR="00000000">
                    <w:trPr>
                      <w:trHeight w:val="288"/>
                      <w:jc w:val="center"/>
                    </w:trPr>
                    <w:tc>
                      <w:tcPr>
                        <w:tcW w:w="2592"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Civil Rights Commission      </w:t>
                        </w:r>
                      </w:p>
                    </w:tc>
                    <w:tc>
                      <w:tcPr>
                        <w:tcW w:w="144" w:type="dxa"/>
                      </w:tcPr>
                      <w:p w:rsidR="00000000" w:rsidRDefault="00D87559">
                        <w:pPr>
                          <w:jc w:val="right"/>
                          <w:rPr>
                            <w:rFonts w:ascii="Univer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1.2</w:t>
                        </w:r>
                      </w:p>
                    </w:tc>
                    <w:tc>
                      <w:tcPr>
                        <w:tcW w:w="148"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0.1</w:t>
                        </w:r>
                      </w:p>
                    </w:tc>
                    <w:tc>
                      <w:tcPr>
                        <w:tcW w:w="148"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0.0%</w:t>
                        </w:r>
                      </w:p>
                    </w:tc>
                    <w:tc>
                      <w:tcPr>
                        <w:tcW w:w="179" w:type="dxa"/>
                      </w:tcPr>
                      <w:p w:rsidR="00000000" w:rsidRDefault="00D87559">
                        <w:pPr>
                          <w:jc w:val="right"/>
                          <w:rPr>
                            <w:rFonts w:ascii="Univers" w:hAnsi="Univers"/>
                            <w:sz w:val="18"/>
                            <w:szCs w:val="18"/>
                          </w:rPr>
                        </w:pPr>
                      </w:p>
                    </w:tc>
                    <w:tc>
                      <w:tcPr>
                        <w:tcW w:w="1152"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99.9%</w:t>
                        </w:r>
                      </w:p>
                    </w:tc>
                  </w:tr>
                  <w:tr w:rsidR="00000000">
                    <w:trPr>
                      <w:trHeight w:val="288"/>
                      <w:jc w:val="center"/>
                    </w:trPr>
                    <w:tc>
                      <w:tcPr>
                        <w:tcW w:w="2592"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Parole Board              </w:t>
                        </w:r>
                      </w:p>
                    </w:tc>
                    <w:tc>
                      <w:tcPr>
                        <w:tcW w:w="144" w:type="dxa"/>
                        <w:tcBorders>
                          <w:bottom w:val="dashed" w:sz="4" w:space="0" w:color="auto"/>
                        </w:tcBorders>
                      </w:tcPr>
                      <w:p w:rsidR="00000000" w:rsidRDefault="00D87559">
                        <w:pPr>
                          <w:jc w:val="right"/>
                          <w:rPr>
                            <w:rFonts w:ascii="Univer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1.1</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0.1</w:t>
                        </w:r>
                      </w:p>
                    </w:tc>
                    <w:tc>
                      <w:tcPr>
                        <w:tcW w:w="148"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0.0%</w:t>
                        </w:r>
                      </w:p>
                    </w:tc>
                    <w:tc>
                      <w:tcPr>
                        <w:tcW w:w="179" w:type="dxa"/>
                        <w:tcBorders>
                          <w:bottom w:val="dashed" w:sz="4" w:space="0" w:color="auto"/>
                        </w:tcBorders>
                      </w:tcPr>
                      <w:p w:rsidR="00000000" w:rsidRDefault="00D87559">
                        <w:pPr>
                          <w:jc w:val="right"/>
                          <w:rPr>
                            <w:rFonts w:ascii="Univers" w:hAnsi="Univers"/>
                            <w:sz w:val="18"/>
                            <w:szCs w:val="18"/>
                          </w:rPr>
                        </w:pPr>
                      </w:p>
                    </w:tc>
                    <w:tc>
                      <w:tcPr>
                        <w:tcW w:w="1152"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100.0%</w:t>
                        </w:r>
                      </w:p>
                    </w:tc>
                  </w:tr>
                  <w:tr w:rsidR="00000000">
                    <w:trPr>
                      <w:trHeight w:val="288"/>
                      <w:jc w:val="center"/>
                    </w:trPr>
                    <w:tc>
                      <w:tcPr>
                        <w:tcW w:w="2592"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Public Employ. Relations Brd.</w:t>
                        </w:r>
                      </w:p>
                    </w:tc>
                    <w:tc>
                      <w:tcPr>
                        <w:tcW w:w="144" w:type="dxa"/>
                        <w:tcBorders>
                          <w:top w:val="dashed" w:sz="4" w:space="0" w:color="auto"/>
                        </w:tcBorders>
                      </w:tcPr>
                      <w:p w:rsidR="00000000" w:rsidRDefault="00D87559">
                        <w:pPr>
                          <w:jc w:val="right"/>
                          <w:rPr>
                            <w:rFonts w:ascii="Univer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0.9</w:t>
                        </w:r>
                      </w:p>
                    </w:tc>
                    <w:tc>
                      <w:tcPr>
                        <w:tcW w:w="148"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0.1</w:t>
                        </w:r>
                      </w:p>
                    </w:tc>
                    <w:tc>
                      <w:tcPr>
                        <w:tcW w:w="148"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0.0%</w:t>
                        </w:r>
                      </w:p>
                    </w:tc>
                    <w:tc>
                      <w:tcPr>
                        <w:tcW w:w="179" w:type="dxa"/>
                        <w:tcBorders>
                          <w:top w:val="dashed" w:sz="4" w:space="0" w:color="auto"/>
                        </w:tcBorders>
                      </w:tcPr>
                      <w:p w:rsidR="00000000" w:rsidRDefault="00D87559">
                        <w:pPr>
                          <w:jc w:val="right"/>
                          <w:rPr>
                            <w:rFonts w:ascii="Univers" w:hAnsi="Univers"/>
                            <w:sz w:val="18"/>
                            <w:szCs w:val="18"/>
                          </w:rPr>
                        </w:pPr>
                      </w:p>
                    </w:tc>
                    <w:tc>
                      <w:tcPr>
                        <w:tcW w:w="1152"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100.0%</w:t>
                        </w:r>
                      </w:p>
                    </w:tc>
                  </w:tr>
                  <w:tr w:rsidR="00000000">
                    <w:trPr>
                      <w:trHeight w:val="288"/>
                      <w:jc w:val="center"/>
                    </w:trPr>
                    <w:tc>
                      <w:tcPr>
                        <w:tcW w:w="2592"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 xml:space="preserve">Gov's Office of Drug Control </w:t>
                        </w:r>
                      </w:p>
                    </w:tc>
                    <w:tc>
                      <w:tcPr>
                        <w:tcW w:w="144" w:type="dxa"/>
                      </w:tcPr>
                      <w:p w:rsidR="00000000" w:rsidRDefault="00D87559">
                        <w:pPr>
                          <w:jc w:val="right"/>
                          <w:rPr>
                            <w:rFonts w:ascii="Univer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0.6</w:t>
                        </w:r>
                      </w:p>
                    </w:tc>
                    <w:tc>
                      <w:tcPr>
                        <w:tcW w:w="148"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0.0</w:t>
                        </w:r>
                      </w:p>
                    </w:tc>
                    <w:tc>
                      <w:tcPr>
                        <w:tcW w:w="148"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0.0%</w:t>
                        </w:r>
                      </w:p>
                    </w:tc>
                    <w:tc>
                      <w:tcPr>
                        <w:tcW w:w="179" w:type="dxa"/>
                      </w:tcPr>
                      <w:p w:rsidR="00000000" w:rsidRDefault="00D87559">
                        <w:pPr>
                          <w:jc w:val="right"/>
                          <w:rPr>
                            <w:rFonts w:ascii="Univers" w:hAnsi="Univers"/>
                            <w:sz w:val="18"/>
                            <w:szCs w:val="18"/>
                          </w:rPr>
                        </w:pPr>
                      </w:p>
                    </w:tc>
                    <w:tc>
                      <w:tcPr>
                        <w:tcW w:w="1152"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100.0%</w:t>
                        </w:r>
                      </w:p>
                    </w:tc>
                  </w:tr>
                  <w:tr w:rsidR="00000000">
                    <w:trPr>
                      <w:trHeight w:val="288"/>
                      <w:jc w:val="center"/>
                    </w:trPr>
                    <w:tc>
                      <w:tcPr>
                        <w:tcW w:w="2592"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r>
                          <w:rPr>
                            <w:rFonts w:ascii="Univers" w:hAnsi="Univers"/>
                            <w:sz w:val="18"/>
                            <w:szCs w:val="18"/>
                          </w:rPr>
                          <w:t>Ethics &amp; Campaign Disc</w:t>
                        </w:r>
                        <w:r>
                          <w:rPr>
                            <w:rFonts w:ascii="Univers" w:hAnsi="Univers"/>
                            <w:sz w:val="18"/>
                            <w:szCs w:val="18"/>
                          </w:rPr>
                          <w:t>losure</w:t>
                        </w:r>
                      </w:p>
                    </w:tc>
                    <w:tc>
                      <w:tcPr>
                        <w:tcW w:w="144" w:type="dxa"/>
                      </w:tcPr>
                      <w:p w:rsidR="00000000" w:rsidRDefault="00D87559">
                        <w:pPr>
                          <w:jc w:val="right"/>
                          <w:rPr>
                            <w:rFonts w:ascii="Univer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0.5</w:t>
                        </w:r>
                      </w:p>
                    </w:tc>
                    <w:tc>
                      <w:tcPr>
                        <w:tcW w:w="148"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0.0</w:t>
                        </w:r>
                      </w:p>
                    </w:tc>
                    <w:tc>
                      <w:tcPr>
                        <w:tcW w:w="148" w:type="dxa"/>
                        <w:noWrap/>
                        <w:tcMar>
                          <w:top w:w="17" w:type="dxa"/>
                          <w:left w:w="17" w:type="dxa"/>
                          <w:bottom w:w="0" w:type="dxa"/>
                          <w:right w:w="17" w:type="dxa"/>
                        </w:tcMar>
                        <w:vAlign w:val="bottom"/>
                      </w:tcPr>
                      <w:p w:rsidR="00000000" w:rsidRDefault="00D87559">
                        <w:pPr>
                          <w:rPr>
                            <w:rFonts w:ascii="Univers" w:eastAsia="Arial Unicode MS" w:hAnsi="Univers"/>
                            <w:sz w:val="18"/>
                            <w:szCs w:val="18"/>
                          </w:rPr>
                        </w:pPr>
                      </w:p>
                    </w:tc>
                    <w:tc>
                      <w:tcPr>
                        <w:tcW w:w="946"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0.0%</w:t>
                        </w:r>
                      </w:p>
                    </w:tc>
                    <w:tc>
                      <w:tcPr>
                        <w:tcW w:w="179" w:type="dxa"/>
                      </w:tcPr>
                      <w:p w:rsidR="00000000" w:rsidRDefault="00D87559">
                        <w:pPr>
                          <w:jc w:val="right"/>
                          <w:rPr>
                            <w:rFonts w:ascii="Univers" w:hAnsi="Univers"/>
                            <w:sz w:val="18"/>
                            <w:szCs w:val="18"/>
                          </w:rPr>
                        </w:pPr>
                      </w:p>
                    </w:tc>
                    <w:tc>
                      <w:tcPr>
                        <w:tcW w:w="1152"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100.0%</w:t>
                        </w:r>
                      </w:p>
                    </w:tc>
                  </w:tr>
                  <w:tr w:rsidR="00000000">
                    <w:trPr>
                      <w:trHeight w:val="288"/>
                      <w:jc w:val="center"/>
                    </w:trPr>
                    <w:tc>
                      <w:tcPr>
                        <w:tcW w:w="2592" w:type="dxa"/>
                        <w:noWrap/>
                        <w:tcMar>
                          <w:top w:w="17" w:type="dxa"/>
                          <w:left w:w="17" w:type="dxa"/>
                          <w:bottom w:w="0" w:type="dxa"/>
                          <w:right w:w="17" w:type="dxa"/>
                        </w:tcMar>
                        <w:vAlign w:val="bottom"/>
                      </w:tcPr>
                      <w:p w:rsidR="00000000" w:rsidRDefault="00D87559">
                        <w:pPr>
                          <w:pStyle w:val="Heading2"/>
                          <w:rPr>
                            <w:rFonts w:eastAsia="Arial Unicode MS" w:cs="Times New Roman"/>
                            <w:szCs w:val="18"/>
                          </w:rPr>
                        </w:pPr>
                        <w:r>
                          <w:rPr>
                            <w:rFonts w:cs="Times New Roman"/>
                            <w:szCs w:val="18"/>
                          </w:rPr>
                          <w:t>Total</w:t>
                        </w:r>
                      </w:p>
                    </w:tc>
                    <w:tc>
                      <w:tcPr>
                        <w:tcW w:w="144" w:type="dxa"/>
                      </w:tcPr>
                      <w:p w:rsidR="00000000" w:rsidRDefault="00D87559">
                        <w:pPr>
                          <w:jc w:val="right"/>
                          <w:rPr>
                            <w:rFonts w:ascii="Univers" w:hAnsi="Univers"/>
                            <w:sz w:val="18"/>
                            <w:szCs w:val="18"/>
                          </w:rPr>
                        </w:pPr>
                      </w:p>
                    </w:tc>
                    <w:tc>
                      <w:tcPr>
                        <w:tcW w:w="1296" w:type="dxa"/>
                        <w:tcBorders>
                          <w:bottom w:val="double"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 xml:space="preserve">$4,878.4             </w:t>
                        </w:r>
                      </w:p>
                    </w:tc>
                    <w:tc>
                      <w:tcPr>
                        <w:tcW w:w="148" w:type="dxa"/>
                        <w:tcBorders>
                          <w:left w:val="nil"/>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1296" w:type="dxa"/>
                        <w:tcBorders>
                          <w:bottom w:val="double"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 xml:space="preserve">$292.7             </w:t>
                        </w:r>
                      </w:p>
                    </w:tc>
                    <w:tc>
                      <w:tcPr>
                        <w:tcW w:w="148"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c>
                      <w:tcPr>
                        <w:tcW w:w="946" w:type="dxa"/>
                        <w:tcBorders>
                          <w:bottom w:val="double"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r>
                          <w:rPr>
                            <w:rFonts w:ascii="Univers" w:hAnsi="Univers"/>
                            <w:sz w:val="18"/>
                            <w:szCs w:val="18"/>
                          </w:rPr>
                          <w:t>100%</w:t>
                        </w:r>
                      </w:p>
                    </w:tc>
                    <w:tc>
                      <w:tcPr>
                        <w:tcW w:w="179" w:type="dxa"/>
                      </w:tcPr>
                      <w:p w:rsidR="00000000" w:rsidRDefault="00D87559">
                        <w:pPr>
                          <w:rPr>
                            <w:rFonts w:ascii="Univers" w:eastAsia="Arial Unicode MS" w:hAnsi="Univers"/>
                            <w:sz w:val="18"/>
                            <w:szCs w:val="18"/>
                          </w:rPr>
                        </w:pPr>
                      </w:p>
                    </w:tc>
                    <w:tc>
                      <w:tcPr>
                        <w:tcW w:w="1152" w:type="dxa"/>
                        <w:noWrap/>
                        <w:tcMar>
                          <w:top w:w="17" w:type="dxa"/>
                          <w:left w:w="17" w:type="dxa"/>
                          <w:bottom w:w="0" w:type="dxa"/>
                          <w:right w:w="17" w:type="dxa"/>
                        </w:tcMar>
                        <w:vAlign w:val="bottom"/>
                      </w:tcPr>
                      <w:p w:rsidR="00000000" w:rsidRDefault="00D87559">
                        <w:pPr>
                          <w:jc w:val="right"/>
                          <w:rPr>
                            <w:rFonts w:ascii="Univers" w:eastAsia="Arial Unicode MS" w:hAnsi="Univers"/>
                            <w:sz w:val="18"/>
                            <w:szCs w:val="18"/>
                          </w:rPr>
                        </w:pPr>
                      </w:p>
                    </w:tc>
                  </w:tr>
                </w:tbl>
                <w:p w:rsidR="00000000" w:rsidRDefault="00D87559">
                  <w:pPr>
                    <w:jc w:val="center"/>
                  </w:pPr>
                </w:p>
              </w:txbxContent>
            </v:textbox>
            <w10:wrap type="topAndBottom"/>
          </v:shape>
        </w:pict>
      </w:r>
    </w:p>
    <w:p w:rsidR="00000000" w:rsidRDefault="00D87559">
      <w:pPr>
        <w:pStyle w:val="textup"/>
      </w:pPr>
      <w:r>
        <w:rPr>
          <w:b/>
        </w:rPr>
        <w:lastRenderedPageBreak/>
        <w:t>Impact by Function</w:t>
      </w:r>
      <w:r>
        <w:tab/>
        <w:t>The following table shows the impact of a 6.0% reduction (dollars in millions) by functional area and the corre</w:t>
      </w:r>
      <w:r>
        <w:t>sponding percentage that reduction is of the total:</w:t>
      </w:r>
    </w:p>
    <w:tbl>
      <w:tblPr>
        <w:tblW w:w="8459" w:type="dxa"/>
        <w:tblInd w:w="-1242" w:type="dxa"/>
        <w:tblBorders>
          <w:bottom w:val="dashed" w:sz="4" w:space="0" w:color="auto"/>
        </w:tblBorders>
        <w:tblLayout w:type="fixed"/>
        <w:tblCellMar>
          <w:left w:w="0" w:type="dxa"/>
          <w:right w:w="0" w:type="dxa"/>
        </w:tblCellMar>
        <w:tblLook w:val="0000"/>
      </w:tblPr>
      <w:tblGrid>
        <w:gridCol w:w="2917"/>
        <w:gridCol w:w="1732"/>
        <w:gridCol w:w="182"/>
        <w:gridCol w:w="1367"/>
        <w:gridCol w:w="182"/>
        <w:gridCol w:w="912"/>
        <w:gridCol w:w="1167"/>
      </w:tblGrid>
      <w:tr w:rsidR="00000000">
        <w:trPr>
          <w:trHeight w:val="255"/>
        </w:trPr>
        <w:tc>
          <w:tcPr>
            <w:tcW w:w="2879" w:type="dxa"/>
            <w:noWrap/>
            <w:tcMar>
              <w:top w:w="17" w:type="dxa"/>
              <w:left w:w="17" w:type="dxa"/>
              <w:bottom w:w="0" w:type="dxa"/>
              <w:right w:w="17" w:type="dxa"/>
            </w:tcMar>
            <w:vAlign w:val="bottom"/>
          </w:tcPr>
          <w:p w:rsidR="00000000" w:rsidRDefault="00D87559">
            <w:pPr>
              <w:jc w:val="center"/>
              <w:rPr>
                <w:rFonts w:ascii="Univers" w:eastAsia="Arial Unicode MS" w:hAnsi="Univers" w:cs="Arial"/>
                <w:b/>
                <w:bCs/>
                <w:sz w:val="18"/>
              </w:rPr>
            </w:pPr>
          </w:p>
        </w:tc>
        <w:tc>
          <w:tcPr>
            <w:tcW w:w="1710" w:type="dxa"/>
            <w:noWrap/>
            <w:tcMar>
              <w:top w:w="17" w:type="dxa"/>
              <w:left w:w="17" w:type="dxa"/>
              <w:bottom w:w="0" w:type="dxa"/>
              <w:right w:w="17" w:type="dxa"/>
            </w:tcMar>
            <w:vAlign w:val="bottom"/>
          </w:tcPr>
          <w:p w:rsidR="00000000" w:rsidRDefault="00D87559">
            <w:pPr>
              <w:pStyle w:val="Heading2"/>
              <w:rPr>
                <w:rFonts w:eastAsia="Arial Unicode MS"/>
              </w:rPr>
            </w:pPr>
            <w:r>
              <w:t xml:space="preserve"> Net FY 2001 </w:t>
            </w:r>
          </w:p>
        </w:tc>
        <w:tc>
          <w:tcPr>
            <w:tcW w:w="180" w:type="dxa"/>
            <w:noWrap/>
            <w:tcMar>
              <w:top w:w="17" w:type="dxa"/>
              <w:left w:w="17" w:type="dxa"/>
              <w:bottom w:w="0" w:type="dxa"/>
              <w:right w:w="17" w:type="dxa"/>
            </w:tcMar>
            <w:vAlign w:val="bottom"/>
          </w:tcPr>
          <w:p w:rsidR="00000000" w:rsidRDefault="00D87559">
            <w:pPr>
              <w:jc w:val="center"/>
              <w:rPr>
                <w:rFonts w:ascii="Univers" w:eastAsia="Arial Unicode MS" w:hAnsi="Univers" w:cs="Arial"/>
                <w:b/>
                <w:bCs/>
                <w:sz w:val="18"/>
              </w:rPr>
            </w:pPr>
          </w:p>
        </w:tc>
        <w:tc>
          <w:tcPr>
            <w:tcW w:w="1350" w:type="dxa"/>
            <w:noWrap/>
            <w:tcMar>
              <w:top w:w="17" w:type="dxa"/>
              <w:left w:w="17" w:type="dxa"/>
              <w:bottom w:w="0" w:type="dxa"/>
              <w:right w:w="17" w:type="dxa"/>
            </w:tcMar>
            <w:vAlign w:val="bottom"/>
          </w:tcPr>
          <w:p w:rsidR="00000000" w:rsidRDefault="00D87559">
            <w:pPr>
              <w:jc w:val="center"/>
              <w:rPr>
                <w:rFonts w:ascii="Univers" w:eastAsia="Arial Unicode MS" w:hAnsi="Univers" w:cs="Arial"/>
                <w:b/>
                <w:bCs/>
                <w:sz w:val="18"/>
              </w:rPr>
            </w:pPr>
            <w:r>
              <w:rPr>
                <w:rFonts w:ascii="Univers" w:hAnsi="Univers" w:cs="Arial"/>
                <w:b/>
                <w:bCs/>
                <w:sz w:val="18"/>
              </w:rPr>
              <w:t xml:space="preserve"> 6% ACB </w:t>
            </w:r>
          </w:p>
        </w:tc>
        <w:tc>
          <w:tcPr>
            <w:tcW w:w="180" w:type="dxa"/>
            <w:noWrap/>
            <w:tcMar>
              <w:top w:w="17" w:type="dxa"/>
              <w:left w:w="17" w:type="dxa"/>
              <w:bottom w:w="0" w:type="dxa"/>
              <w:right w:w="17" w:type="dxa"/>
            </w:tcMar>
            <w:vAlign w:val="bottom"/>
          </w:tcPr>
          <w:p w:rsidR="00000000" w:rsidRDefault="00D87559">
            <w:pPr>
              <w:jc w:val="center"/>
              <w:rPr>
                <w:rFonts w:ascii="Univers" w:eastAsia="Arial Unicode MS" w:hAnsi="Univers" w:cs="Arial"/>
                <w:b/>
                <w:bCs/>
                <w:sz w:val="18"/>
              </w:rPr>
            </w:pPr>
          </w:p>
        </w:tc>
        <w:tc>
          <w:tcPr>
            <w:tcW w:w="900" w:type="dxa"/>
            <w:noWrap/>
            <w:tcMar>
              <w:top w:w="17" w:type="dxa"/>
              <w:left w:w="17" w:type="dxa"/>
              <w:bottom w:w="0" w:type="dxa"/>
              <w:right w:w="17" w:type="dxa"/>
            </w:tcMar>
            <w:vAlign w:val="bottom"/>
          </w:tcPr>
          <w:p w:rsidR="00000000" w:rsidRDefault="00D87559">
            <w:pPr>
              <w:jc w:val="center"/>
              <w:rPr>
                <w:rFonts w:ascii="Univers" w:eastAsia="Arial Unicode MS" w:hAnsi="Univers" w:cs="Arial"/>
                <w:b/>
                <w:bCs/>
                <w:sz w:val="18"/>
              </w:rPr>
            </w:pPr>
            <w:r>
              <w:rPr>
                <w:rFonts w:ascii="Univers" w:hAnsi="Univers" w:cs="Arial"/>
                <w:b/>
                <w:bCs/>
                <w:sz w:val="18"/>
              </w:rPr>
              <w:t>% of Total</w:t>
            </w:r>
          </w:p>
        </w:tc>
        <w:tc>
          <w:tcPr>
            <w:tcW w:w="1152" w:type="dxa"/>
            <w:noWrap/>
            <w:tcMar>
              <w:top w:w="17" w:type="dxa"/>
              <w:left w:w="17" w:type="dxa"/>
              <w:bottom w:w="0" w:type="dxa"/>
              <w:right w:w="17" w:type="dxa"/>
            </w:tcMar>
            <w:vAlign w:val="bottom"/>
          </w:tcPr>
          <w:p w:rsidR="00000000" w:rsidRDefault="00D87559">
            <w:pPr>
              <w:jc w:val="center"/>
              <w:rPr>
                <w:rFonts w:ascii="Univers" w:eastAsia="Arial Unicode MS" w:hAnsi="Univers" w:cs="Arial"/>
                <w:b/>
                <w:bCs/>
                <w:sz w:val="18"/>
              </w:rPr>
            </w:pPr>
            <w:r>
              <w:rPr>
                <w:rFonts w:ascii="Univers" w:hAnsi="Univers" w:cs="Arial"/>
                <w:b/>
                <w:bCs/>
                <w:sz w:val="18"/>
              </w:rPr>
              <w:t>Cumulative %</w:t>
            </w:r>
          </w:p>
        </w:tc>
      </w:tr>
      <w:tr w:rsidR="00000000">
        <w:trPr>
          <w:trHeight w:val="255"/>
        </w:trPr>
        <w:tc>
          <w:tcPr>
            <w:tcW w:w="2879" w:type="dxa"/>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Local Tax Credits &amp; Program Aids      </w:t>
            </w:r>
          </w:p>
        </w:tc>
        <w:tc>
          <w:tcPr>
            <w:tcW w:w="1710" w:type="dxa"/>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             2,437.2 </w:t>
            </w:r>
          </w:p>
        </w:tc>
        <w:tc>
          <w:tcPr>
            <w:tcW w:w="180" w:type="dxa"/>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1350" w:type="dxa"/>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        146.2 </w:t>
            </w:r>
          </w:p>
        </w:tc>
        <w:tc>
          <w:tcPr>
            <w:tcW w:w="180" w:type="dxa"/>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900" w:type="dxa"/>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50.0%</w:t>
            </w:r>
          </w:p>
        </w:tc>
        <w:tc>
          <w:tcPr>
            <w:tcW w:w="1152" w:type="dxa"/>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50.0%</w:t>
            </w:r>
          </w:p>
        </w:tc>
      </w:tr>
      <w:tr w:rsidR="00000000">
        <w:trPr>
          <w:trHeight w:val="255"/>
        </w:trPr>
        <w:tc>
          <w:tcPr>
            <w:tcW w:w="2879"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Assistance Payments &amp; Programs        </w:t>
            </w:r>
          </w:p>
        </w:tc>
        <w:tc>
          <w:tcPr>
            <w:tcW w:w="1710"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7</w:t>
            </w:r>
            <w:r>
              <w:rPr>
                <w:rFonts w:ascii="Univers" w:hAnsi="Univers" w:cs="Arial"/>
                <w:sz w:val="18"/>
              </w:rPr>
              <w:t xml:space="preserve">34.2 </w:t>
            </w:r>
          </w:p>
        </w:tc>
        <w:tc>
          <w:tcPr>
            <w:tcW w:w="180" w:type="dxa"/>
            <w:tcBorders>
              <w:bottom w:val="nil"/>
            </w:tcBorders>
            <w:noWrap/>
            <w:tcMar>
              <w:top w:w="17" w:type="dxa"/>
              <w:left w:w="17" w:type="dxa"/>
              <w:bottom w:w="0" w:type="dxa"/>
              <w:right w:w="17" w:type="dxa"/>
            </w:tcMar>
            <w:vAlign w:val="bottom"/>
          </w:tcPr>
          <w:p w:rsidR="00000000" w:rsidRDefault="00D87559">
            <w:pPr>
              <w:jc w:val="center"/>
              <w:rPr>
                <w:rFonts w:ascii="Univers" w:eastAsia="Arial Unicode MS" w:hAnsi="Univers" w:cs="Arial"/>
                <w:b/>
                <w:bCs/>
                <w:sz w:val="18"/>
              </w:rPr>
            </w:pPr>
          </w:p>
        </w:tc>
        <w:tc>
          <w:tcPr>
            <w:tcW w:w="1350"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44.1 </w:t>
            </w:r>
          </w:p>
        </w:tc>
        <w:tc>
          <w:tcPr>
            <w:tcW w:w="180"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900" w:type="dxa"/>
            <w:tcBorders>
              <w:bottom w:val="nil"/>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15.1%</w:t>
            </w:r>
          </w:p>
        </w:tc>
        <w:tc>
          <w:tcPr>
            <w:tcW w:w="1152" w:type="dxa"/>
            <w:tcBorders>
              <w:bottom w:val="nil"/>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65.0%</w:t>
            </w:r>
          </w:p>
        </w:tc>
      </w:tr>
      <w:tr w:rsidR="00000000">
        <w:trPr>
          <w:trHeight w:val="255"/>
        </w:trPr>
        <w:tc>
          <w:tcPr>
            <w:tcW w:w="2879"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Board of Regents Institutions         </w:t>
            </w:r>
          </w:p>
        </w:tc>
        <w:tc>
          <w:tcPr>
            <w:tcW w:w="1710"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721.7 </w:t>
            </w:r>
          </w:p>
        </w:tc>
        <w:tc>
          <w:tcPr>
            <w:tcW w:w="180" w:type="dxa"/>
            <w:tcBorders>
              <w:bottom w:val="dashed" w:sz="4" w:space="0" w:color="auto"/>
            </w:tcBorders>
            <w:noWrap/>
            <w:tcMar>
              <w:top w:w="17" w:type="dxa"/>
              <w:left w:w="17" w:type="dxa"/>
              <w:bottom w:w="0" w:type="dxa"/>
              <w:right w:w="17" w:type="dxa"/>
            </w:tcMar>
            <w:vAlign w:val="bottom"/>
          </w:tcPr>
          <w:p w:rsidR="00000000" w:rsidRDefault="00D87559">
            <w:pPr>
              <w:jc w:val="center"/>
              <w:rPr>
                <w:rFonts w:ascii="Univers" w:eastAsia="Arial Unicode MS" w:hAnsi="Univers" w:cs="Arial"/>
                <w:b/>
                <w:bCs/>
                <w:sz w:val="18"/>
              </w:rPr>
            </w:pPr>
          </w:p>
        </w:tc>
        <w:tc>
          <w:tcPr>
            <w:tcW w:w="1350"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43.3 </w:t>
            </w:r>
          </w:p>
        </w:tc>
        <w:tc>
          <w:tcPr>
            <w:tcW w:w="180"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900"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14.8%</w:t>
            </w:r>
          </w:p>
        </w:tc>
        <w:tc>
          <w:tcPr>
            <w:tcW w:w="1152"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79.8%</w:t>
            </w:r>
          </w:p>
        </w:tc>
      </w:tr>
      <w:tr w:rsidR="00000000">
        <w:trPr>
          <w:trHeight w:val="255"/>
        </w:trPr>
        <w:tc>
          <w:tcPr>
            <w:tcW w:w="2879"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Executive Operations &amp; Programs       </w:t>
            </w:r>
          </w:p>
        </w:tc>
        <w:tc>
          <w:tcPr>
            <w:tcW w:w="1710"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500.8 </w:t>
            </w:r>
          </w:p>
        </w:tc>
        <w:tc>
          <w:tcPr>
            <w:tcW w:w="180" w:type="dxa"/>
            <w:tcBorders>
              <w:top w:val="dashed" w:sz="4" w:space="0" w:color="auto"/>
            </w:tcBorders>
            <w:noWrap/>
            <w:tcMar>
              <w:top w:w="17" w:type="dxa"/>
              <w:left w:w="17" w:type="dxa"/>
              <w:bottom w:w="0" w:type="dxa"/>
              <w:right w:w="17" w:type="dxa"/>
            </w:tcMar>
            <w:vAlign w:val="bottom"/>
          </w:tcPr>
          <w:p w:rsidR="00000000" w:rsidRDefault="00D87559">
            <w:pPr>
              <w:jc w:val="center"/>
              <w:rPr>
                <w:rFonts w:ascii="Univers" w:eastAsia="Arial Unicode MS" w:hAnsi="Univers" w:cs="Arial"/>
                <w:b/>
                <w:bCs/>
                <w:sz w:val="18"/>
              </w:rPr>
            </w:pPr>
          </w:p>
        </w:tc>
        <w:tc>
          <w:tcPr>
            <w:tcW w:w="1350"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30.0 </w:t>
            </w:r>
          </w:p>
        </w:tc>
        <w:tc>
          <w:tcPr>
            <w:tcW w:w="180"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900"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10.3%</w:t>
            </w:r>
          </w:p>
        </w:tc>
        <w:tc>
          <w:tcPr>
            <w:tcW w:w="1152"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90.1%</w:t>
            </w:r>
          </w:p>
        </w:tc>
      </w:tr>
      <w:tr w:rsidR="00000000">
        <w:trPr>
          <w:trHeight w:val="255"/>
        </w:trPr>
        <w:tc>
          <w:tcPr>
            <w:tcW w:w="2879"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Adult Corrections Insti</w:t>
            </w:r>
            <w:r>
              <w:rPr>
                <w:rFonts w:ascii="Univers" w:hAnsi="Univers" w:cs="Arial"/>
                <w:sz w:val="18"/>
              </w:rPr>
              <w:t xml:space="preserve">tutions        </w:t>
            </w:r>
          </w:p>
        </w:tc>
        <w:tc>
          <w:tcPr>
            <w:tcW w:w="1710"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244.7 </w:t>
            </w:r>
          </w:p>
        </w:tc>
        <w:tc>
          <w:tcPr>
            <w:tcW w:w="180" w:type="dxa"/>
            <w:tcBorders>
              <w:bottom w:val="nil"/>
            </w:tcBorders>
            <w:noWrap/>
            <w:tcMar>
              <w:top w:w="17" w:type="dxa"/>
              <w:left w:w="17" w:type="dxa"/>
              <w:bottom w:w="0" w:type="dxa"/>
              <w:right w:w="17" w:type="dxa"/>
            </w:tcMar>
            <w:vAlign w:val="bottom"/>
          </w:tcPr>
          <w:p w:rsidR="00000000" w:rsidRDefault="00D87559">
            <w:pPr>
              <w:jc w:val="center"/>
              <w:rPr>
                <w:rFonts w:ascii="Univers" w:eastAsia="Arial Unicode MS" w:hAnsi="Univers" w:cs="Arial"/>
                <w:b/>
                <w:bCs/>
                <w:sz w:val="18"/>
              </w:rPr>
            </w:pPr>
          </w:p>
        </w:tc>
        <w:tc>
          <w:tcPr>
            <w:tcW w:w="1350"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14.7 </w:t>
            </w:r>
          </w:p>
        </w:tc>
        <w:tc>
          <w:tcPr>
            <w:tcW w:w="180"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900" w:type="dxa"/>
            <w:tcBorders>
              <w:bottom w:val="nil"/>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5.0%</w:t>
            </w:r>
          </w:p>
        </w:tc>
        <w:tc>
          <w:tcPr>
            <w:tcW w:w="1152" w:type="dxa"/>
            <w:tcBorders>
              <w:bottom w:val="nil"/>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95.1%</w:t>
            </w:r>
          </w:p>
        </w:tc>
      </w:tr>
      <w:tr w:rsidR="00000000">
        <w:trPr>
          <w:trHeight w:val="255"/>
        </w:trPr>
        <w:tc>
          <w:tcPr>
            <w:tcW w:w="2879"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Judicial Operations &amp; Programs         </w:t>
            </w:r>
          </w:p>
        </w:tc>
        <w:tc>
          <w:tcPr>
            <w:tcW w:w="1710"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116.4 </w:t>
            </w:r>
          </w:p>
        </w:tc>
        <w:tc>
          <w:tcPr>
            <w:tcW w:w="180" w:type="dxa"/>
            <w:tcBorders>
              <w:bottom w:val="dashed" w:sz="4" w:space="0" w:color="auto"/>
            </w:tcBorders>
            <w:noWrap/>
            <w:tcMar>
              <w:top w:w="17" w:type="dxa"/>
              <w:left w:w="17" w:type="dxa"/>
              <w:bottom w:w="0" w:type="dxa"/>
              <w:right w:w="17" w:type="dxa"/>
            </w:tcMar>
            <w:vAlign w:val="bottom"/>
          </w:tcPr>
          <w:p w:rsidR="00000000" w:rsidRDefault="00D87559">
            <w:pPr>
              <w:jc w:val="center"/>
              <w:rPr>
                <w:rFonts w:ascii="Univers" w:eastAsia="Arial Unicode MS" w:hAnsi="Univers" w:cs="Arial"/>
                <w:b/>
                <w:bCs/>
                <w:sz w:val="18"/>
              </w:rPr>
            </w:pPr>
          </w:p>
        </w:tc>
        <w:tc>
          <w:tcPr>
            <w:tcW w:w="1350"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7.0 </w:t>
            </w:r>
          </w:p>
        </w:tc>
        <w:tc>
          <w:tcPr>
            <w:tcW w:w="180"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900"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2.4%</w:t>
            </w:r>
          </w:p>
        </w:tc>
        <w:tc>
          <w:tcPr>
            <w:tcW w:w="1152"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97.5%</w:t>
            </w:r>
          </w:p>
        </w:tc>
      </w:tr>
      <w:tr w:rsidR="00000000">
        <w:trPr>
          <w:trHeight w:val="255"/>
        </w:trPr>
        <w:tc>
          <w:tcPr>
            <w:tcW w:w="2879"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Human Services Institutions           </w:t>
            </w:r>
          </w:p>
        </w:tc>
        <w:tc>
          <w:tcPr>
            <w:tcW w:w="1710"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69.4 </w:t>
            </w:r>
          </w:p>
        </w:tc>
        <w:tc>
          <w:tcPr>
            <w:tcW w:w="180" w:type="dxa"/>
            <w:tcBorders>
              <w:top w:val="dashed" w:sz="4" w:space="0" w:color="auto"/>
            </w:tcBorders>
            <w:noWrap/>
            <w:tcMar>
              <w:top w:w="17" w:type="dxa"/>
              <w:left w:w="17" w:type="dxa"/>
              <w:bottom w:w="0" w:type="dxa"/>
              <w:right w:w="17" w:type="dxa"/>
            </w:tcMar>
            <w:vAlign w:val="bottom"/>
          </w:tcPr>
          <w:p w:rsidR="00000000" w:rsidRDefault="00D87559">
            <w:pPr>
              <w:jc w:val="center"/>
              <w:rPr>
                <w:rFonts w:ascii="Univers" w:eastAsia="Arial Unicode MS" w:hAnsi="Univers" w:cs="Arial"/>
                <w:b/>
                <w:bCs/>
                <w:sz w:val="18"/>
              </w:rPr>
            </w:pPr>
          </w:p>
        </w:tc>
        <w:tc>
          <w:tcPr>
            <w:tcW w:w="1350"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4.2 </w:t>
            </w:r>
          </w:p>
        </w:tc>
        <w:tc>
          <w:tcPr>
            <w:tcW w:w="180"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900"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1.4%</w:t>
            </w:r>
          </w:p>
        </w:tc>
        <w:tc>
          <w:tcPr>
            <w:tcW w:w="1152"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98.9%</w:t>
            </w:r>
          </w:p>
        </w:tc>
      </w:tr>
      <w:tr w:rsidR="00000000">
        <w:trPr>
          <w:trHeight w:val="255"/>
        </w:trPr>
        <w:tc>
          <w:tcPr>
            <w:tcW w:w="2879"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Self Supporting Operations            </w:t>
            </w:r>
          </w:p>
        </w:tc>
        <w:tc>
          <w:tcPr>
            <w:tcW w:w="1710"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26.6 </w:t>
            </w:r>
          </w:p>
        </w:tc>
        <w:tc>
          <w:tcPr>
            <w:tcW w:w="180" w:type="dxa"/>
            <w:tcBorders>
              <w:bottom w:val="nil"/>
            </w:tcBorders>
            <w:noWrap/>
            <w:tcMar>
              <w:top w:w="17" w:type="dxa"/>
              <w:left w:w="17" w:type="dxa"/>
              <w:bottom w:w="0" w:type="dxa"/>
              <w:right w:w="17" w:type="dxa"/>
            </w:tcMar>
            <w:vAlign w:val="bottom"/>
          </w:tcPr>
          <w:p w:rsidR="00000000" w:rsidRDefault="00D87559">
            <w:pPr>
              <w:jc w:val="center"/>
              <w:rPr>
                <w:rFonts w:ascii="Univers" w:eastAsia="Arial Unicode MS" w:hAnsi="Univers" w:cs="Arial"/>
                <w:b/>
                <w:bCs/>
                <w:sz w:val="18"/>
              </w:rPr>
            </w:pPr>
          </w:p>
        </w:tc>
        <w:tc>
          <w:tcPr>
            <w:tcW w:w="1350"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1.6 </w:t>
            </w:r>
          </w:p>
        </w:tc>
        <w:tc>
          <w:tcPr>
            <w:tcW w:w="180"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900" w:type="dxa"/>
            <w:tcBorders>
              <w:bottom w:val="nil"/>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0.5%</w:t>
            </w:r>
          </w:p>
        </w:tc>
        <w:tc>
          <w:tcPr>
            <w:tcW w:w="1152" w:type="dxa"/>
            <w:tcBorders>
              <w:bottom w:val="nil"/>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99.4%</w:t>
            </w:r>
          </w:p>
        </w:tc>
      </w:tr>
      <w:tr w:rsidR="00000000">
        <w:trPr>
          <w:trHeight w:val="255"/>
        </w:trPr>
        <w:tc>
          <w:tcPr>
            <w:tcW w:w="2879"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Legislative Operations &amp; Prgms.      </w:t>
            </w:r>
          </w:p>
        </w:tc>
        <w:tc>
          <w:tcPr>
            <w:tcW w:w="1710"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26.6 </w:t>
            </w:r>
          </w:p>
        </w:tc>
        <w:tc>
          <w:tcPr>
            <w:tcW w:w="180" w:type="dxa"/>
            <w:tcBorders>
              <w:bottom w:val="dashed" w:sz="4" w:space="0" w:color="auto"/>
            </w:tcBorders>
            <w:noWrap/>
            <w:tcMar>
              <w:top w:w="17" w:type="dxa"/>
              <w:left w:w="17" w:type="dxa"/>
              <w:bottom w:w="0" w:type="dxa"/>
              <w:right w:w="17" w:type="dxa"/>
            </w:tcMar>
            <w:vAlign w:val="bottom"/>
          </w:tcPr>
          <w:p w:rsidR="00000000" w:rsidRDefault="00D87559">
            <w:pPr>
              <w:jc w:val="center"/>
              <w:rPr>
                <w:rFonts w:ascii="Univers" w:eastAsia="Arial Unicode MS" w:hAnsi="Univers" w:cs="Arial"/>
                <w:b/>
                <w:bCs/>
                <w:sz w:val="18"/>
              </w:rPr>
            </w:pPr>
          </w:p>
        </w:tc>
        <w:tc>
          <w:tcPr>
            <w:tcW w:w="1350"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1.6 </w:t>
            </w:r>
          </w:p>
        </w:tc>
        <w:tc>
          <w:tcPr>
            <w:tcW w:w="180" w:type="dxa"/>
            <w:tcBorders>
              <w:bottom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900"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0.5%</w:t>
            </w:r>
          </w:p>
        </w:tc>
        <w:tc>
          <w:tcPr>
            <w:tcW w:w="1152" w:type="dxa"/>
            <w:tcBorders>
              <w:bottom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100.0%</w:t>
            </w:r>
          </w:p>
        </w:tc>
      </w:tr>
      <w:tr w:rsidR="00000000">
        <w:trPr>
          <w:trHeight w:val="255"/>
        </w:trPr>
        <w:tc>
          <w:tcPr>
            <w:tcW w:w="2879"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Capital Programs &amp; Projects           </w:t>
            </w:r>
          </w:p>
        </w:tc>
        <w:tc>
          <w:tcPr>
            <w:tcW w:w="1710" w:type="dxa"/>
            <w:tcBorders>
              <w:top w:val="dashed" w:sz="4" w:space="0" w:color="auto"/>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w:t>
            </w:r>
            <w:r>
              <w:rPr>
                <w:rFonts w:ascii="Univers" w:hAnsi="Univers" w:cs="Arial"/>
                <w:sz w:val="18"/>
              </w:rPr>
              <w:t xml:space="preserve">              0.9 </w:t>
            </w:r>
          </w:p>
        </w:tc>
        <w:tc>
          <w:tcPr>
            <w:tcW w:w="180" w:type="dxa"/>
            <w:tcBorders>
              <w:top w:val="dashed" w:sz="4" w:space="0" w:color="auto"/>
            </w:tcBorders>
            <w:noWrap/>
            <w:tcMar>
              <w:top w:w="17" w:type="dxa"/>
              <w:left w:w="17" w:type="dxa"/>
              <w:bottom w:w="0" w:type="dxa"/>
              <w:right w:w="17" w:type="dxa"/>
            </w:tcMar>
            <w:vAlign w:val="bottom"/>
          </w:tcPr>
          <w:p w:rsidR="00000000" w:rsidRDefault="00D87559">
            <w:pPr>
              <w:jc w:val="center"/>
              <w:rPr>
                <w:rFonts w:ascii="Univers" w:eastAsia="Arial Unicode MS" w:hAnsi="Univers" w:cs="Arial"/>
                <w:b/>
                <w:bCs/>
                <w:sz w:val="18"/>
              </w:rPr>
            </w:pPr>
          </w:p>
        </w:tc>
        <w:tc>
          <w:tcPr>
            <w:tcW w:w="1350" w:type="dxa"/>
            <w:tcBorders>
              <w:top w:val="dashed" w:sz="4" w:space="0" w:color="auto"/>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0.1 </w:t>
            </w:r>
          </w:p>
        </w:tc>
        <w:tc>
          <w:tcPr>
            <w:tcW w:w="180" w:type="dxa"/>
            <w:tcBorders>
              <w:top w:val="dashed"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900" w:type="dxa"/>
            <w:tcBorders>
              <w:top w:val="dashed" w:sz="4" w:space="0" w:color="auto"/>
              <w:bottom w:val="nil"/>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0.0%</w:t>
            </w:r>
          </w:p>
        </w:tc>
        <w:tc>
          <w:tcPr>
            <w:tcW w:w="1152" w:type="dxa"/>
            <w:tcBorders>
              <w:top w:val="dashed"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100.0%</w:t>
            </w:r>
          </w:p>
        </w:tc>
      </w:tr>
      <w:tr w:rsidR="00000000">
        <w:trPr>
          <w:trHeight w:val="135"/>
        </w:trPr>
        <w:tc>
          <w:tcPr>
            <w:tcW w:w="2879"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1710" w:type="dxa"/>
            <w:tcBorders>
              <w:bottom w:val="single"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180" w:type="dxa"/>
            <w:tcBorders>
              <w:bottom w:val="nil"/>
            </w:tcBorders>
            <w:noWrap/>
            <w:tcMar>
              <w:top w:w="17" w:type="dxa"/>
              <w:left w:w="17" w:type="dxa"/>
              <w:bottom w:w="0" w:type="dxa"/>
              <w:right w:w="17" w:type="dxa"/>
            </w:tcMar>
            <w:vAlign w:val="bottom"/>
          </w:tcPr>
          <w:p w:rsidR="00000000" w:rsidRDefault="00D87559">
            <w:pPr>
              <w:jc w:val="center"/>
              <w:rPr>
                <w:rFonts w:ascii="Univers" w:eastAsia="Arial Unicode MS" w:hAnsi="Univers" w:cs="Arial"/>
                <w:b/>
                <w:bCs/>
                <w:sz w:val="18"/>
              </w:rPr>
            </w:pPr>
          </w:p>
        </w:tc>
        <w:tc>
          <w:tcPr>
            <w:tcW w:w="1350" w:type="dxa"/>
            <w:tcBorders>
              <w:bottom w:val="single"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180"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900" w:type="dxa"/>
            <w:tcBorders>
              <w:bottom w:val="single"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1152"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r>
      <w:tr w:rsidR="00000000">
        <w:trPr>
          <w:trHeight w:val="270"/>
        </w:trPr>
        <w:tc>
          <w:tcPr>
            <w:tcW w:w="2879" w:type="dxa"/>
            <w:tcBorders>
              <w:bottom w:val="nil"/>
            </w:tcBorders>
            <w:noWrap/>
            <w:tcMar>
              <w:top w:w="17" w:type="dxa"/>
              <w:left w:w="17" w:type="dxa"/>
              <w:bottom w:w="0" w:type="dxa"/>
              <w:right w:w="17" w:type="dxa"/>
            </w:tcMar>
            <w:vAlign w:val="bottom"/>
          </w:tcPr>
          <w:p w:rsidR="00000000" w:rsidRDefault="00D87559">
            <w:pPr>
              <w:jc w:val="center"/>
              <w:rPr>
                <w:rFonts w:ascii="Univers" w:eastAsia="Arial Unicode MS" w:hAnsi="Univers" w:cs="Arial"/>
                <w:b/>
                <w:bCs/>
                <w:i/>
                <w:iCs/>
                <w:sz w:val="18"/>
              </w:rPr>
            </w:pPr>
            <w:r>
              <w:rPr>
                <w:rFonts w:ascii="Univers" w:hAnsi="Univers" w:cs="Arial"/>
                <w:b/>
                <w:bCs/>
                <w:i/>
                <w:iCs/>
                <w:sz w:val="18"/>
              </w:rPr>
              <w:t>Total</w:t>
            </w:r>
          </w:p>
        </w:tc>
        <w:tc>
          <w:tcPr>
            <w:tcW w:w="1710" w:type="dxa"/>
            <w:tcBorders>
              <w:top w:val="single" w:sz="4" w:space="0" w:color="auto"/>
              <w:bottom w:val="double"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             4,878.4 </w:t>
            </w:r>
          </w:p>
        </w:tc>
        <w:tc>
          <w:tcPr>
            <w:tcW w:w="180"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1350" w:type="dxa"/>
            <w:tcBorders>
              <w:top w:val="single" w:sz="4" w:space="0" w:color="auto"/>
              <w:bottom w:val="double" w:sz="4" w:space="0" w:color="auto"/>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r>
              <w:rPr>
                <w:rFonts w:ascii="Univers" w:hAnsi="Univers" w:cs="Arial"/>
                <w:sz w:val="18"/>
              </w:rPr>
              <w:t xml:space="preserve"> $        292.7 </w:t>
            </w:r>
          </w:p>
        </w:tc>
        <w:tc>
          <w:tcPr>
            <w:tcW w:w="180"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c>
          <w:tcPr>
            <w:tcW w:w="900" w:type="dxa"/>
            <w:tcBorders>
              <w:top w:val="single" w:sz="4" w:space="0" w:color="auto"/>
              <w:bottom w:val="double" w:sz="4" w:space="0" w:color="auto"/>
            </w:tcBorders>
            <w:noWrap/>
            <w:tcMar>
              <w:top w:w="17" w:type="dxa"/>
              <w:left w:w="17" w:type="dxa"/>
              <w:bottom w:w="0" w:type="dxa"/>
              <w:right w:w="17" w:type="dxa"/>
            </w:tcMar>
            <w:vAlign w:val="bottom"/>
          </w:tcPr>
          <w:p w:rsidR="00000000" w:rsidRDefault="00D87559">
            <w:pPr>
              <w:jc w:val="right"/>
              <w:rPr>
                <w:rFonts w:ascii="Univers" w:eastAsia="Arial Unicode MS" w:hAnsi="Univers" w:cs="Arial"/>
                <w:sz w:val="18"/>
              </w:rPr>
            </w:pPr>
            <w:r>
              <w:rPr>
                <w:rFonts w:ascii="Univers" w:hAnsi="Univers" w:cs="Arial"/>
                <w:sz w:val="18"/>
              </w:rPr>
              <w:t>100%</w:t>
            </w:r>
          </w:p>
        </w:tc>
        <w:tc>
          <w:tcPr>
            <w:tcW w:w="1152" w:type="dxa"/>
            <w:tcBorders>
              <w:bottom w:val="nil"/>
            </w:tcBorders>
            <w:noWrap/>
            <w:tcMar>
              <w:top w:w="17" w:type="dxa"/>
              <w:left w:w="17" w:type="dxa"/>
              <w:bottom w:w="0" w:type="dxa"/>
              <w:right w:w="17" w:type="dxa"/>
            </w:tcMar>
            <w:vAlign w:val="bottom"/>
          </w:tcPr>
          <w:p w:rsidR="00000000" w:rsidRDefault="00D87559">
            <w:pPr>
              <w:rPr>
                <w:rFonts w:ascii="Univers" w:eastAsia="Arial Unicode MS" w:hAnsi="Univers" w:cs="Arial"/>
                <w:sz w:val="18"/>
              </w:rPr>
            </w:pPr>
          </w:p>
        </w:tc>
      </w:tr>
    </w:tbl>
    <w:p w:rsidR="00000000" w:rsidRDefault="00D87559">
      <w:pPr>
        <w:pStyle w:val="textup"/>
        <w:rPr>
          <w:sz w:val="18"/>
        </w:rPr>
      </w:pPr>
      <w:r>
        <w:tab/>
      </w:r>
      <w:r>
        <w:rPr>
          <w:sz w:val="18"/>
        </w:rPr>
        <w:t>Please note - due to coding inconsistencies, the totals may not correspond by functional area between tables.</w:t>
      </w:r>
    </w:p>
    <w:p w:rsidR="00000000" w:rsidRDefault="00D87559">
      <w:pPr>
        <w:pStyle w:val="textup"/>
      </w:pPr>
      <w:r>
        <w:rPr>
          <w:noProof/>
        </w:rPr>
        <w:pict>
          <v:shape id="_x0000_s1133" type="#_x0000_t202" style="position:absolute;margin-left:40.05pt;margin-top:259.5pt;width:90pt;height:27pt;z-index:251671552" stroked="f">
            <v:textbox>
              <w:txbxContent>
                <w:p w:rsidR="00000000" w:rsidRDefault="00D87559">
                  <w:pPr>
                    <w:rPr>
                      <w:sz w:val="24"/>
                    </w:rPr>
                  </w:pPr>
                  <w:r>
                    <w:rPr>
                      <w:sz w:val="24"/>
                    </w:rPr>
                    <w:t>$4.88 billion</w:t>
                  </w:r>
                </w:p>
              </w:txbxContent>
            </v:textbox>
          </v:shape>
        </w:pict>
      </w:r>
      <w:r>
        <w:rPr>
          <w:noProof/>
        </w:rPr>
        <w:drawing>
          <wp:anchor distT="0" distB="0" distL="114300" distR="114300" simplePos="0" relativeHeight="251659264" behindDoc="0" locked="0" layoutInCell="1" allowOverlap="1">
            <wp:simplePos x="0" y="0"/>
            <wp:positionH relativeFrom="column">
              <wp:posOffset>51435</wp:posOffset>
            </wp:positionH>
            <wp:positionV relativeFrom="paragraph">
              <wp:posOffset>892810</wp:posOffset>
            </wp:positionV>
            <wp:extent cx="4343400" cy="3216910"/>
            <wp:effectExtent l="19050" t="0" r="0" b="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5"/>
                    <a:srcRect/>
                    <a:stretch>
                      <a:fillRect/>
                    </a:stretch>
                  </pic:blipFill>
                  <pic:spPr bwMode="auto">
                    <a:xfrm>
                      <a:off x="0" y="0"/>
                      <a:ext cx="4343400" cy="3216910"/>
                    </a:xfrm>
                    <a:prstGeom prst="rect">
                      <a:avLst/>
                    </a:prstGeom>
                    <a:noFill/>
                    <a:ln w="9525">
                      <a:noFill/>
                      <a:miter lim="800000"/>
                      <a:headEnd/>
                      <a:tailEnd/>
                    </a:ln>
                  </pic:spPr>
                </pic:pic>
              </a:graphicData>
            </a:graphic>
          </wp:anchor>
        </w:drawing>
      </w:r>
      <w:r>
        <w:rPr>
          <w:b/>
        </w:rPr>
        <w:t>Gen. Fund Expenditures</w:t>
      </w:r>
      <w:r>
        <w:tab/>
        <w:t>The</w:t>
      </w:r>
      <w:r>
        <w:t xml:space="preserve"> following pie chart depicts similar information to that shown in the tables above.  Approximately 75.0% of General Fund expenditures are for education (including K-12 school finance) or human service programs (59% and 16.0%). </w:t>
      </w:r>
    </w:p>
    <w:p w:rsidR="00000000" w:rsidRDefault="00D87559">
      <w:pPr>
        <w:pStyle w:val="Contactup"/>
      </w:pPr>
      <w:r>
        <w:t>STAFF CONTACT:  Glen Dickins</w:t>
      </w:r>
      <w:r>
        <w:t>on (Ext. 14616)  David Reynolds (Ext. 16934)</w:t>
      </w:r>
    </w:p>
    <w:p w:rsidR="00000000" w:rsidRDefault="00D87559">
      <w:pPr>
        <w:pStyle w:val="Blurbtitle"/>
      </w:pPr>
      <w:bookmarkStart w:id="7" w:name="FU3DPWA"/>
      <w:r>
        <w:lastRenderedPageBreak/>
        <w:t>Historical Growth Rates in Revenues and Expenditures</w:t>
      </w:r>
    </w:p>
    <w:p w:rsidR="00000000" w:rsidRDefault="00D87559">
      <w:pPr>
        <w:pStyle w:val="textup"/>
      </w:pPr>
      <w:r>
        <w:rPr>
          <w:b/>
        </w:rPr>
        <w:t>Growth Rates</w:t>
      </w:r>
      <w:r>
        <w:tab/>
        <w:t>The table below lists the net General Fund receipts growth rate since 1991.  Net receipts are calculated after transfers and refunds.  The signif</w:t>
      </w:r>
      <w:r>
        <w:t>icant decrease in FY 1998 and FY 1999 reflect tax reductions enacted by the General Assembly.</w:t>
      </w:r>
    </w:p>
    <w:p w:rsidR="00000000" w:rsidRDefault="00D87559">
      <w:pPr>
        <w:framePr w:w="796" w:h="865" w:hSpace="180" w:wrap="around" w:vAnchor="text" w:hAnchor="page" w:x="1542" w:y="21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524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srcRect/>
                    <a:stretch>
                      <a:fillRect/>
                    </a:stretch>
                  </pic:blipFill>
                  <pic:spPr bwMode="auto">
                    <a:xfrm>
                      <a:off x="0" y="0"/>
                      <a:ext cx="495300" cy="352425"/>
                    </a:xfrm>
                    <a:prstGeom prst="rect">
                      <a:avLst/>
                    </a:prstGeom>
                    <a:noFill/>
                    <a:ln w="9525">
                      <a:noFill/>
                      <a:miter lim="800000"/>
                      <a:headEnd/>
                      <a:tailEnd/>
                    </a:ln>
                  </pic:spPr>
                </pic:pic>
              </a:graphicData>
            </a:graphic>
          </wp:inline>
        </w:drawing>
      </w:r>
    </w:p>
    <w:tbl>
      <w:tblPr>
        <w:tblW w:w="0" w:type="auto"/>
        <w:tblInd w:w="760" w:type="dxa"/>
        <w:tblLook w:val="0000"/>
      </w:tblPr>
      <w:tblGrid>
        <w:gridCol w:w="1269"/>
        <w:gridCol w:w="222"/>
        <w:gridCol w:w="1080"/>
      </w:tblGrid>
      <w:tr w:rsidR="00000000">
        <w:tblPrEx>
          <w:tblCellMar>
            <w:top w:w="0" w:type="dxa"/>
            <w:bottom w:w="0" w:type="dxa"/>
          </w:tblCellMar>
        </w:tblPrEx>
        <w:tc>
          <w:tcPr>
            <w:tcW w:w="0" w:type="auto"/>
            <w:tcBorders>
              <w:bottom w:val="single" w:sz="4" w:space="0" w:color="auto"/>
            </w:tcBorders>
            <w:vAlign w:val="bottom"/>
          </w:tcPr>
          <w:p w:rsidR="00000000" w:rsidRDefault="00D87559">
            <w:pPr>
              <w:pStyle w:val="textup"/>
              <w:spacing w:before="0" w:after="80"/>
              <w:ind w:firstLine="0"/>
              <w:rPr>
                <w:b/>
                <w:bCs/>
                <w:sz w:val="18"/>
              </w:rPr>
            </w:pPr>
            <w:r>
              <w:rPr>
                <w:b/>
                <w:bCs/>
                <w:sz w:val="18"/>
              </w:rPr>
              <w:t>Fiscal Year</w:t>
            </w:r>
          </w:p>
        </w:tc>
        <w:tc>
          <w:tcPr>
            <w:tcW w:w="0" w:type="auto"/>
            <w:vAlign w:val="bottom"/>
          </w:tcPr>
          <w:p w:rsidR="00000000" w:rsidRDefault="00D87559">
            <w:pPr>
              <w:pStyle w:val="textup"/>
              <w:spacing w:before="0" w:after="80"/>
              <w:ind w:firstLine="0"/>
              <w:rPr>
                <w:sz w:val="18"/>
              </w:rPr>
            </w:pPr>
          </w:p>
        </w:tc>
        <w:tc>
          <w:tcPr>
            <w:tcW w:w="0" w:type="auto"/>
            <w:tcBorders>
              <w:bottom w:val="single" w:sz="4" w:space="0" w:color="auto"/>
            </w:tcBorders>
            <w:vAlign w:val="bottom"/>
          </w:tcPr>
          <w:p w:rsidR="00000000" w:rsidRDefault="00D87559">
            <w:pPr>
              <w:pStyle w:val="textup"/>
              <w:spacing w:before="0" w:after="80"/>
              <w:ind w:firstLine="0"/>
              <w:rPr>
                <w:b/>
                <w:bCs/>
                <w:sz w:val="18"/>
              </w:rPr>
            </w:pPr>
            <w:r>
              <w:rPr>
                <w:b/>
                <w:bCs/>
                <w:sz w:val="18"/>
              </w:rPr>
              <w:t>% Growth</w:t>
            </w:r>
          </w:p>
        </w:tc>
      </w:tr>
      <w:tr w:rsidR="00000000">
        <w:tblPrEx>
          <w:tblCellMar>
            <w:top w:w="0" w:type="dxa"/>
            <w:bottom w:w="0" w:type="dxa"/>
          </w:tblCellMar>
        </w:tblPrEx>
        <w:trPr>
          <w:trHeight w:val="144"/>
        </w:trPr>
        <w:tc>
          <w:tcPr>
            <w:tcW w:w="0" w:type="auto"/>
            <w:tcBorders>
              <w:top w:val="single" w:sz="4" w:space="0" w:color="auto"/>
            </w:tcBorders>
            <w:vAlign w:val="bottom"/>
          </w:tcPr>
          <w:p w:rsidR="00000000" w:rsidRDefault="00D87559">
            <w:pPr>
              <w:pStyle w:val="textup"/>
              <w:spacing w:before="0" w:after="80"/>
              <w:ind w:firstLine="0"/>
              <w:rPr>
                <w:sz w:val="18"/>
              </w:rPr>
            </w:pPr>
            <w:r>
              <w:rPr>
                <w:sz w:val="18"/>
              </w:rPr>
              <w:t>FY 1991</w:t>
            </w:r>
          </w:p>
        </w:tc>
        <w:tc>
          <w:tcPr>
            <w:tcW w:w="0" w:type="auto"/>
            <w:vAlign w:val="bottom"/>
          </w:tcPr>
          <w:p w:rsidR="00000000" w:rsidRDefault="00D87559">
            <w:pPr>
              <w:pStyle w:val="textup"/>
              <w:spacing w:before="0" w:after="80"/>
              <w:ind w:firstLine="0"/>
              <w:rPr>
                <w:sz w:val="18"/>
              </w:rPr>
            </w:pPr>
          </w:p>
        </w:tc>
        <w:tc>
          <w:tcPr>
            <w:tcW w:w="0" w:type="auto"/>
            <w:tcBorders>
              <w:top w:val="single" w:sz="4" w:space="0" w:color="auto"/>
            </w:tcBorders>
            <w:vAlign w:val="bottom"/>
          </w:tcPr>
          <w:p w:rsidR="00000000" w:rsidRDefault="00D87559">
            <w:pPr>
              <w:pStyle w:val="textup"/>
              <w:spacing w:before="0" w:after="80"/>
              <w:ind w:firstLine="0"/>
              <w:rPr>
                <w:sz w:val="18"/>
              </w:rPr>
            </w:pPr>
            <w:r>
              <w:rPr>
                <w:sz w:val="18"/>
              </w:rPr>
              <w:t>7.5%</w:t>
            </w:r>
          </w:p>
        </w:tc>
      </w:tr>
      <w:tr w:rsidR="00000000">
        <w:tblPrEx>
          <w:tblCellMar>
            <w:top w:w="0" w:type="dxa"/>
            <w:bottom w:w="0" w:type="dxa"/>
          </w:tblCellMar>
        </w:tblPrEx>
        <w:trPr>
          <w:trHeight w:val="144"/>
        </w:trPr>
        <w:tc>
          <w:tcPr>
            <w:tcW w:w="0" w:type="auto"/>
            <w:vAlign w:val="bottom"/>
          </w:tcPr>
          <w:p w:rsidR="00000000" w:rsidRDefault="00D87559">
            <w:pPr>
              <w:pStyle w:val="textup"/>
              <w:spacing w:before="0" w:after="80"/>
              <w:ind w:firstLine="0"/>
              <w:rPr>
                <w:sz w:val="18"/>
              </w:rPr>
            </w:pPr>
            <w:r>
              <w:rPr>
                <w:sz w:val="18"/>
              </w:rPr>
              <w:t>FY 1992</w:t>
            </w:r>
          </w:p>
        </w:tc>
        <w:tc>
          <w:tcPr>
            <w:tcW w:w="0" w:type="auto"/>
            <w:vAlign w:val="bottom"/>
          </w:tcPr>
          <w:p w:rsidR="00000000" w:rsidRDefault="00D87559">
            <w:pPr>
              <w:pStyle w:val="textup"/>
              <w:spacing w:before="0" w:after="80"/>
              <w:ind w:firstLine="0"/>
              <w:rPr>
                <w:sz w:val="18"/>
              </w:rPr>
            </w:pPr>
          </w:p>
        </w:tc>
        <w:tc>
          <w:tcPr>
            <w:tcW w:w="0" w:type="auto"/>
            <w:vAlign w:val="bottom"/>
          </w:tcPr>
          <w:p w:rsidR="00000000" w:rsidRDefault="00D87559">
            <w:pPr>
              <w:pStyle w:val="textup"/>
              <w:spacing w:before="0" w:after="80"/>
              <w:ind w:firstLine="0"/>
              <w:rPr>
                <w:sz w:val="18"/>
              </w:rPr>
            </w:pPr>
            <w:r>
              <w:rPr>
                <w:sz w:val="18"/>
              </w:rPr>
              <w:t>5.1%</w:t>
            </w:r>
          </w:p>
        </w:tc>
      </w:tr>
      <w:tr w:rsidR="00000000">
        <w:tblPrEx>
          <w:tblCellMar>
            <w:top w:w="0" w:type="dxa"/>
            <w:bottom w:w="0" w:type="dxa"/>
          </w:tblCellMar>
        </w:tblPrEx>
        <w:trPr>
          <w:trHeight w:val="144"/>
        </w:trPr>
        <w:tc>
          <w:tcPr>
            <w:tcW w:w="0" w:type="auto"/>
            <w:vAlign w:val="bottom"/>
          </w:tcPr>
          <w:p w:rsidR="00000000" w:rsidRDefault="00D87559">
            <w:pPr>
              <w:pStyle w:val="textup"/>
              <w:spacing w:before="0" w:after="80"/>
              <w:ind w:firstLine="0"/>
              <w:rPr>
                <w:sz w:val="18"/>
              </w:rPr>
            </w:pPr>
            <w:r>
              <w:rPr>
                <w:sz w:val="18"/>
              </w:rPr>
              <w:t>FY 1993</w:t>
            </w:r>
          </w:p>
        </w:tc>
        <w:tc>
          <w:tcPr>
            <w:tcW w:w="0" w:type="auto"/>
            <w:vAlign w:val="bottom"/>
          </w:tcPr>
          <w:p w:rsidR="00000000" w:rsidRDefault="00D87559">
            <w:pPr>
              <w:pStyle w:val="textup"/>
              <w:spacing w:before="0" w:after="80"/>
              <w:ind w:firstLine="0"/>
              <w:rPr>
                <w:sz w:val="18"/>
              </w:rPr>
            </w:pPr>
          </w:p>
        </w:tc>
        <w:tc>
          <w:tcPr>
            <w:tcW w:w="0" w:type="auto"/>
            <w:vAlign w:val="bottom"/>
          </w:tcPr>
          <w:p w:rsidR="00000000" w:rsidRDefault="00D87559">
            <w:pPr>
              <w:pStyle w:val="textup"/>
              <w:spacing w:before="0" w:after="80"/>
              <w:ind w:firstLine="0"/>
              <w:rPr>
                <w:sz w:val="18"/>
              </w:rPr>
            </w:pPr>
            <w:r>
              <w:rPr>
                <w:sz w:val="18"/>
              </w:rPr>
              <w:t>8.3%</w:t>
            </w:r>
          </w:p>
        </w:tc>
      </w:tr>
      <w:tr w:rsidR="00000000">
        <w:tblPrEx>
          <w:tblCellMar>
            <w:top w:w="0" w:type="dxa"/>
            <w:bottom w:w="0" w:type="dxa"/>
          </w:tblCellMar>
        </w:tblPrEx>
        <w:trPr>
          <w:trHeight w:val="144"/>
        </w:trPr>
        <w:tc>
          <w:tcPr>
            <w:tcW w:w="0" w:type="auto"/>
            <w:vAlign w:val="bottom"/>
          </w:tcPr>
          <w:p w:rsidR="00000000" w:rsidRDefault="00D87559">
            <w:pPr>
              <w:pStyle w:val="textup"/>
              <w:spacing w:before="0" w:after="80"/>
              <w:ind w:firstLine="0"/>
              <w:rPr>
                <w:sz w:val="18"/>
              </w:rPr>
            </w:pPr>
            <w:r>
              <w:rPr>
                <w:sz w:val="18"/>
              </w:rPr>
              <w:t>FY 1994</w:t>
            </w:r>
          </w:p>
        </w:tc>
        <w:tc>
          <w:tcPr>
            <w:tcW w:w="0" w:type="auto"/>
            <w:vAlign w:val="bottom"/>
          </w:tcPr>
          <w:p w:rsidR="00000000" w:rsidRDefault="00D87559">
            <w:pPr>
              <w:pStyle w:val="textup"/>
              <w:spacing w:before="0" w:after="80"/>
              <w:ind w:firstLine="0"/>
              <w:rPr>
                <w:sz w:val="18"/>
              </w:rPr>
            </w:pPr>
          </w:p>
        </w:tc>
        <w:tc>
          <w:tcPr>
            <w:tcW w:w="0" w:type="auto"/>
            <w:vAlign w:val="bottom"/>
          </w:tcPr>
          <w:p w:rsidR="00000000" w:rsidRDefault="00D87559">
            <w:pPr>
              <w:pStyle w:val="textup"/>
              <w:spacing w:before="0" w:after="80"/>
              <w:ind w:firstLine="0"/>
              <w:rPr>
                <w:sz w:val="18"/>
              </w:rPr>
            </w:pPr>
            <w:r>
              <w:rPr>
                <w:sz w:val="18"/>
              </w:rPr>
              <w:t>6.1%</w:t>
            </w:r>
          </w:p>
        </w:tc>
      </w:tr>
      <w:tr w:rsidR="00000000">
        <w:tblPrEx>
          <w:tblCellMar>
            <w:top w:w="0" w:type="dxa"/>
            <w:bottom w:w="0" w:type="dxa"/>
          </w:tblCellMar>
        </w:tblPrEx>
        <w:trPr>
          <w:trHeight w:val="144"/>
        </w:trPr>
        <w:tc>
          <w:tcPr>
            <w:tcW w:w="0" w:type="auto"/>
            <w:vAlign w:val="bottom"/>
          </w:tcPr>
          <w:p w:rsidR="00000000" w:rsidRDefault="00D87559">
            <w:pPr>
              <w:pStyle w:val="textup"/>
              <w:spacing w:before="0" w:after="80"/>
              <w:ind w:firstLine="0"/>
              <w:rPr>
                <w:sz w:val="18"/>
              </w:rPr>
            </w:pPr>
            <w:r>
              <w:rPr>
                <w:sz w:val="18"/>
              </w:rPr>
              <w:t>FY 1995</w:t>
            </w:r>
          </w:p>
        </w:tc>
        <w:tc>
          <w:tcPr>
            <w:tcW w:w="0" w:type="auto"/>
            <w:vAlign w:val="bottom"/>
          </w:tcPr>
          <w:p w:rsidR="00000000" w:rsidRDefault="00D87559">
            <w:pPr>
              <w:pStyle w:val="textup"/>
              <w:spacing w:before="0" w:after="80"/>
              <w:ind w:firstLine="0"/>
              <w:rPr>
                <w:sz w:val="18"/>
              </w:rPr>
            </w:pPr>
          </w:p>
        </w:tc>
        <w:tc>
          <w:tcPr>
            <w:tcW w:w="0" w:type="auto"/>
            <w:vAlign w:val="bottom"/>
          </w:tcPr>
          <w:p w:rsidR="00000000" w:rsidRDefault="00D87559">
            <w:pPr>
              <w:pStyle w:val="textup"/>
              <w:spacing w:before="0" w:after="80"/>
              <w:ind w:firstLine="0"/>
              <w:rPr>
                <w:sz w:val="18"/>
              </w:rPr>
            </w:pPr>
            <w:r>
              <w:rPr>
                <w:sz w:val="18"/>
              </w:rPr>
              <w:t>6.3%</w:t>
            </w:r>
          </w:p>
        </w:tc>
      </w:tr>
      <w:tr w:rsidR="00000000">
        <w:tblPrEx>
          <w:tblCellMar>
            <w:top w:w="0" w:type="dxa"/>
            <w:bottom w:w="0" w:type="dxa"/>
          </w:tblCellMar>
        </w:tblPrEx>
        <w:trPr>
          <w:trHeight w:val="144"/>
        </w:trPr>
        <w:tc>
          <w:tcPr>
            <w:tcW w:w="0" w:type="auto"/>
            <w:vAlign w:val="bottom"/>
          </w:tcPr>
          <w:p w:rsidR="00000000" w:rsidRDefault="00D87559">
            <w:pPr>
              <w:pStyle w:val="textup"/>
              <w:spacing w:before="0" w:after="80"/>
              <w:ind w:firstLine="0"/>
              <w:rPr>
                <w:sz w:val="18"/>
              </w:rPr>
            </w:pPr>
            <w:r>
              <w:rPr>
                <w:sz w:val="18"/>
              </w:rPr>
              <w:t>FY 1996</w:t>
            </w:r>
          </w:p>
        </w:tc>
        <w:tc>
          <w:tcPr>
            <w:tcW w:w="0" w:type="auto"/>
            <w:vAlign w:val="bottom"/>
          </w:tcPr>
          <w:p w:rsidR="00000000" w:rsidRDefault="00D87559">
            <w:pPr>
              <w:pStyle w:val="textup"/>
              <w:spacing w:before="0" w:after="80"/>
              <w:ind w:firstLine="0"/>
              <w:rPr>
                <w:sz w:val="18"/>
              </w:rPr>
            </w:pPr>
          </w:p>
        </w:tc>
        <w:tc>
          <w:tcPr>
            <w:tcW w:w="0" w:type="auto"/>
            <w:vAlign w:val="bottom"/>
          </w:tcPr>
          <w:p w:rsidR="00000000" w:rsidRDefault="00D87559">
            <w:pPr>
              <w:pStyle w:val="textup"/>
              <w:spacing w:before="0" w:after="80"/>
              <w:ind w:firstLine="0"/>
              <w:rPr>
                <w:sz w:val="18"/>
              </w:rPr>
            </w:pPr>
            <w:r>
              <w:rPr>
                <w:sz w:val="18"/>
              </w:rPr>
              <w:t>5.3%</w:t>
            </w:r>
          </w:p>
        </w:tc>
      </w:tr>
      <w:tr w:rsidR="00000000">
        <w:tblPrEx>
          <w:tblCellMar>
            <w:top w:w="0" w:type="dxa"/>
            <w:bottom w:w="0" w:type="dxa"/>
          </w:tblCellMar>
        </w:tblPrEx>
        <w:trPr>
          <w:trHeight w:val="144"/>
        </w:trPr>
        <w:tc>
          <w:tcPr>
            <w:tcW w:w="0" w:type="auto"/>
            <w:vAlign w:val="bottom"/>
          </w:tcPr>
          <w:p w:rsidR="00000000" w:rsidRDefault="00D87559">
            <w:pPr>
              <w:pStyle w:val="textup"/>
              <w:spacing w:before="0" w:after="80"/>
              <w:ind w:firstLine="0"/>
              <w:rPr>
                <w:sz w:val="18"/>
              </w:rPr>
            </w:pPr>
            <w:r>
              <w:rPr>
                <w:sz w:val="18"/>
              </w:rPr>
              <w:t>FY 1997</w:t>
            </w:r>
          </w:p>
        </w:tc>
        <w:tc>
          <w:tcPr>
            <w:tcW w:w="0" w:type="auto"/>
            <w:vAlign w:val="bottom"/>
          </w:tcPr>
          <w:p w:rsidR="00000000" w:rsidRDefault="00D87559">
            <w:pPr>
              <w:pStyle w:val="textup"/>
              <w:spacing w:before="0" w:after="80"/>
              <w:ind w:firstLine="0"/>
              <w:rPr>
                <w:sz w:val="18"/>
              </w:rPr>
            </w:pPr>
          </w:p>
        </w:tc>
        <w:tc>
          <w:tcPr>
            <w:tcW w:w="0" w:type="auto"/>
            <w:vAlign w:val="bottom"/>
          </w:tcPr>
          <w:p w:rsidR="00000000" w:rsidRDefault="00D87559">
            <w:pPr>
              <w:pStyle w:val="textup"/>
              <w:spacing w:before="0" w:after="80"/>
              <w:ind w:firstLine="0"/>
              <w:rPr>
                <w:sz w:val="18"/>
              </w:rPr>
            </w:pPr>
            <w:r>
              <w:rPr>
                <w:sz w:val="18"/>
              </w:rPr>
              <w:t>5.8%</w:t>
            </w:r>
          </w:p>
        </w:tc>
      </w:tr>
      <w:tr w:rsidR="00000000">
        <w:tblPrEx>
          <w:tblCellMar>
            <w:top w:w="0" w:type="dxa"/>
            <w:bottom w:w="0" w:type="dxa"/>
          </w:tblCellMar>
        </w:tblPrEx>
        <w:trPr>
          <w:trHeight w:val="144"/>
        </w:trPr>
        <w:tc>
          <w:tcPr>
            <w:tcW w:w="0" w:type="auto"/>
            <w:vAlign w:val="bottom"/>
          </w:tcPr>
          <w:p w:rsidR="00000000" w:rsidRDefault="00D87559">
            <w:pPr>
              <w:pStyle w:val="textup"/>
              <w:spacing w:before="0" w:after="80"/>
              <w:ind w:firstLine="0"/>
              <w:rPr>
                <w:sz w:val="18"/>
              </w:rPr>
            </w:pPr>
            <w:r>
              <w:rPr>
                <w:sz w:val="18"/>
              </w:rPr>
              <w:t>FY 1998</w:t>
            </w:r>
          </w:p>
        </w:tc>
        <w:tc>
          <w:tcPr>
            <w:tcW w:w="0" w:type="auto"/>
            <w:vAlign w:val="bottom"/>
          </w:tcPr>
          <w:p w:rsidR="00000000" w:rsidRDefault="00D87559">
            <w:pPr>
              <w:pStyle w:val="textup"/>
              <w:spacing w:before="0" w:after="80"/>
              <w:ind w:firstLine="0"/>
              <w:rPr>
                <w:sz w:val="18"/>
              </w:rPr>
            </w:pPr>
          </w:p>
        </w:tc>
        <w:tc>
          <w:tcPr>
            <w:tcW w:w="0" w:type="auto"/>
            <w:vAlign w:val="bottom"/>
          </w:tcPr>
          <w:p w:rsidR="00000000" w:rsidRDefault="00D87559">
            <w:pPr>
              <w:pStyle w:val="textup"/>
              <w:spacing w:before="0" w:after="80"/>
              <w:ind w:firstLine="0"/>
              <w:rPr>
                <w:sz w:val="18"/>
              </w:rPr>
            </w:pPr>
            <w:r>
              <w:rPr>
                <w:sz w:val="18"/>
              </w:rPr>
              <w:t>2.6%</w:t>
            </w:r>
          </w:p>
        </w:tc>
      </w:tr>
      <w:tr w:rsidR="00000000">
        <w:tblPrEx>
          <w:tblCellMar>
            <w:top w:w="0" w:type="dxa"/>
            <w:bottom w:w="0" w:type="dxa"/>
          </w:tblCellMar>
        </w:tblPrEx>
        <w:trPr>
          <w:trHeight w:val="144"/>
        </w:trPr>
        <w:tc>
          <w:tcPr>
            <w:tcW w:w="0" w:type="auto"/>
            <w:vAlign w:val="bottom"/>
          </w:tcPr>
          <w:p w:rsidR="00000000" w:rsidRDefault="00D87559">
            <w:pPr>
              <w:pStyle w:val="textup"/>
              <w:spacing w:before="0" w:after="80"/>
              <w:ind w:firstLine="0"/>
              <w:rPr>
                <w:sz w:val="18"/>
              </w:rPr>
            </w:pPr>
            <w:r>
              <w:rPr>
                <w:sz w:val="18"/>
              </w:rPr>
              <w:t>FY 1999</w:t>
            </w:r>
          </w:p>
        </w:tc>
        <w:tc>
          <w:tcPr>
            <w:tcW w:w="0" w:type="auto"/>
            <w:vAlign w:val="bottom"/>
          </w:tcPr>
          <w:p w:rsidR="00000000" w:rsidRDefault="00D87559">
            <w:pPr>
              <w:pStyle w:val="textup"/>
              <w:spacing w:before="0" w:after="80"/>
              <w:ind w:firstLine="0"/>
              <w:rPr>
                <w:sz w:val="18"/>
              </w:rPr>
            </w:pPr>
          </w:p>
        </w:tc>
        <w:tc>
          <w:tcPr>
            <w:tcW w:w="0" w:type="auto"/>
            <w:vAlign w:val="bottom"/>
          </w:tcPr>
          <w:p w:rsidR="00000000" w:rsidRDefault="00D87559">
            <w:pPr>
              <w:pStyle w:val="textup"/>
              <w:spacing w:before="0" w:after="80"/>
              <w:ind w:firstLine="0"/>
              <w:rPr>
                <w:sz w:val="18"/>
                <w:lang w:val="fr-FR"/>
              </w:rPr>
            </w:pPr>
            <w:r>
              <w:rPr>
                <w:sz w:val="18"/>
                <w:lang w:val="fr-FR"/>
              </w:rPr>
              <w:t>-0.2%</w:t>
            </w:r>
          </w:p>
        </w:tc>
      </w:tr>
      <w:tr w:rsidR="00000000">
        <w:tblPrEx>
          <w:tblCellMar>
            <w:top w:w="0" w:type="dxa"/>
            <w:bottom w:w="0" w:type="dxa"/>
          </w:tblCellMar>
        </w:tblPrEx>
        <w:trPr>
          <w:trHeight w:val="144"/>
        </w:trPr>
        <w:tc>
          <w:tcPr>
            <w:tcW w:w="0" w:type="auto"/>
            <w:vAlign w:val="bottom"/>
          </w:tcPr>
          <w:p w:rsidR="00000000" w:rsidRDefault="00D87559">
            <w:pPr>
              <w:pStyle w:val="textup"/>
              <w:spacing w:before="0" w:after="80"/>
              <w:ind w:firstLine="0"/>
              <w:rPr>
                <w:sz w:val="18"/>
                <w:lang w:val="fr-FR"/>
              </w:rPr>
            </w:pPr>
            <w:r>
              <w:rPr>
                <w:sz w:val="18"/>
                <w:lang w:val="fr-FR"/>
              </w:rPr>
              <w:t>F</w:t>
            </w:r>
            <w:r>
              <w:rPr>
                <w:sz w:val="18"/>
                <w:lang w:val="fr-FR"/>
              </w:rPr>
              <w:t>Y 2000</w:t>
            </w:r>
          </w:p>
        </w:tc>
        <w:tc>
          <w:tcPr>
            <w:tcW w:w="0" w:type="auto"/>
            <w:vAlign w:val="bottom"/>
          </w:tcPr>
          <w:p w:rsidR="00000000" w:rsidRDefault="00D87559">
            <w:pPr>
              <w:pStyle w:val="textup"/>
              <w:spacing w:before="0" w:after="80"/>
              <w:ind w:firstLine="0"/>
              <w:rPr>
                <w:sz w:val="18"/>
                <w:lang w:val="fr-FR"/>
              </w:rPr>
            </w:pPr>
          </w:p>
        </w:tc>
        <w:tc>
          <w:tcPr>
            <w:tcW w:w="0" w:type="auto"/>
            <w:vAlign w:val="bottom"/>
          </w:tcPr>
          <w:p w:rsidR="00000000" w:rsidRDefault="00D87559">
            <w:pPr>
              <w:pStyle w:val="textup"/>
              <w:spacing w:before="0" w:after="80"/>
              <w:ind w:firstLine="0"/>
              <w:rPr>
                <w:sz w:val="18"/>
                <w:lang w:val="fr-FR"/>
              </w:rPr>
            </w:pPr>
            <w:r>
              <w:rPr>
                <w:sz w:val="18"/>
                <w:lang w:val="fr-FR"/>
              </w:rPr>
              <w:t>4.8%</w:t>
            </w:r>
          </w:p>
        </w:tc>
      </w:tr>
      <w:tr w:rsidR="00000000">
        <w:tblPrEx>
          <w:tblCellMar>
            <w:top w:w="0" w:type="dxa"/>
            <w:bottom w:w="0" w:type="dxa"/>
          </w:tblCellMar>
        </w:tblPrEx>
        <w:trPr>
          <w:trHeight w:val="144"/>
        </w:trPr>
        <w:tc>
          <w:tcPr>
            <w:tcW w:w="0" w:type="auto"/>
            <w:vAlign w:val="bottom"/>
          </w:tcPr>
          <w:p w:rsidR="00000000" w:rsidRDefault="00D87559">
            <w:pPr>
              <w:pStyle w:val="textup"/>
              <w:spacing w:before="0" w:after="80"/>
              <w:ind w:firstLine="0"/>
              <w:rPr>
                <w:sz w:val="18"/>
                <w:lang w:val="fr-FR"/>
              </w:rPr>
            </w:pPr>
            <w:r>
              <w:rPr>
                <w:sz w:val="18"/>
                <w:lang w:val="fr-FR"/>
              </w:rPr>
              <w:t>FY 2001Est.</w:t>
            </w:r>
          </w:p>
        </w:tc>
        <w:tc>
          <w:tcPr>
            <w:tcW w:w="0" w:type="auto"/>
            <w:vAlign w:val="bottom"/>
          </w:tcPr>
          <w:p w:rsidR="00000000" w:rsidRDefault="00D87559">
            <w:pPr>
              <w:pStyle w:val="textup"/>
              <w:spacing w:before="0" w:after="80"/>
              <w:ind w:firstLine="0"/>
              <w:rPr>
                <w:sz w:val="18"/>
                <w:lang w:val="fr-FR"/>
              </w:rPr>
            </w:pPr>
          </w:p>
        </w:tc>
        <w:tc>
          <w:tcPr>
            <w:tcW w:w="0" w:type="auto"/>
            <w:vAlign w:val="bottom"/>
          </w:tcPr>
          <w:p w:rsidR="00000000" w:rsidRDefault="00D87559">
            <w:pPr>
              <w:pStyle w:val="textup"/>
              <w:spacing w:before="0" w:after="80"/>
              <w:ind w:firstLine="0"/>
              <w:rPr>
                <w:sz w:val="18"/>
                <w:lang w:val="fr-FR"/>
              </w:rPr>
            </w:pPr>
            <w:r>
              <w:rPr>
                <w:sz w:val="18"/>
                <w:lang w:val="fr-FR"/>
              </w:rPr>
              <w:t>1.3%</w:t>
            </w:r>
          </w:p>
        </w:tc>
      </w:tr>
      <w:tr w:rsidR="00000000">
        <w:tblPrEx>
          <w:tblCellMar>
            <w:top w:w="0" w:type="dxa"/>
            <w:bottom w:w="0" w:type="dxa"/>
          </w:tblCellMar>
        </w:tblPrEx>
        <w:tc>
          <w:tcPr>
            <w:tcW w:w="0" w:type="auto"/>
            <w:vAlign w:val="bottom"/>
          </w:tcPr>
          <w:p w:rsidR="00000000" w:rsidRDefault="00D87559">
            <w:pPr>
              <w:pStyle w:val="textup"/>
              <w:spacing w:before="0" w:after="80"/>
              <w:ind w:firstLine="0"/>
              <w:rPr>
                <w:sz w:val="18"/>
                <w:lang w:val="fr-FR"/>
              </w:rPr>
            </w:pPr>
            <w:r>
              <w:rPr>
                <w:sz w:val="18"/>
                <w:lang w:val="fr-FR"/>
              </w:rPr>
              <w:t>FY 2002Est.</w:t>
            </w:r>
          </w:p>
        </w:tc>
        <w:tc>
          <w:tcPr>
            <w:tcW w:w="0" w:type="auto"/>
            <w:vAlign w:val="bottom"/>
          </w:tcPr>
          <w:p w:rsidR="00000000" w:rsidRDefault="00D87559">
            <w:pPr>
              <w:pStyle w:val="textup"/>
              <w:spacing w:before="0" w:after="80"/>
              <w:ind w:firstLine="0"/>
              <w:rPr>
                <w:sz w:val="18"/>
                <w:lang w:val="fr-FR"/>
              </w:rPr>
            </w:pPr>
          </w:p>
        </w:tc>
        <w:tc>
          <w:tcPr>
            <w:tcW w:w="0" w:type="auto"/>
            <w:vAlign w:val="bottom"/>
          </w:tcPr>
          <w:p w:rsidR="00000000" w:rsidRDefault="00D87559">
            <w:pPr>
              <w:pStyle w:val="textup"/>
              <w:spacing w:before="0" w:after="80"/>
              <w:ind w:firstLine="0"/>
              <w:rPr>
                <w:sz w:val="18"/>
                <w:lang w:val="fr-FR"/>
              </w:rPr>
            </w:pPr>
            <w:r>
              <w:rPr>
                <w:sz w:val="18"/>
                <w:lang w:val="fr-FR"/>
              </w:rPr>
              <w:t>3.1%</w:t>
            </w:r>
          </w:p>
        </w:tc>
      </w:tr>
    </w:tbl>
    <w:p w:rsidR="00000000" w:rsidRDefault="00D87559">
      <w:pPr>
        <w:pStyle w:val="textup"/>
      </w:pPr>
      <w:r>
        <w:rPr>
          <w:noProof/>
        </w:rPr>
        <w:pict>
          <v:shape id="_x0000_s1125" type="#_x0000_t202" style="position:absolute;margin-left:-193.95pt;margin-top:329.05pt;width:585pt;height:45pt;z-index:251665408;mso-position-horizontal-relative:text;mso-position-vertical-relative:text" stroked="f">
            <v:textbox>
              <w:txbxContent>
                <w:p w:rsidR="00000000" w:rsidRDefault="00D87559">
                  <w:pPr>
                    <w:pStyle w:val="Contactup"/>
                  </w:pPr>
                  <w:r>
                    <w:t xml:space="preserve">                                   STAFF CONTACT:  Jeff Robinson (Ext. 14614)  Holly Lyons (Ext. 17845)</w:t>
                  </w:r>
                </w:p>
                <w:p w:rsidR="00000000" w:rsidRDefault="00D87559"/>
              </w:txbxContent>
            </v:textbox>
          </v:shape>
        </w:pict>
      </w:r>
      <w:r>
        <w:rPr>
          <w:noProof/>
        </w:rPr>
        <w:pict>
          <v:shape id="_x0000_s1124" type="#_x0000_t202" style="position:absolute;margin-left:-130.95pt;margin-top:38.4pt;width:526.7pt;height:301.9pt;z-index:251664384;mso-position-horizontal-relative:text;mso-position-vertical-relative:text" stroked="f">
            <v:textbox>
              <w:txbxContent>
                <w:p w:rsidR="00000000" w:rsidRDefault="00D87559">
                  <w:r>
                    <w:rPr>
                      <w:noProof/>
                    </w:rPr>
                    <w:drawing>
                      <wp:inline distT="0" distB="0" distL="0" distR="0">
                        <wp:extent cx="6505575" cy="3743325"/>
                        <wp:effectExtent l="0" t="0" r="0" b="0"/>
                        <wp:docPr id="30" name="Objec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xbxContent>
            </v:textbox>
            <w10:wrap type="topAndBottom"/>
          </v:shape>
        </w:pict>
      </w:r>
      <w:r>
        <w:rPr>
          <w:b/>
          <w:lang w:val="fr-FR"/>
        </w:rPr>
        <w:t>Revenue &amp; Approps.</w:t>
      </w:r>
      <w:r>
        <w:rPr>
          <w:lang w:val="fr-FR"/>
        </w:rPr>
        <w:tab/>
      </w:r>
      <w:r>
        <w:t>The following chart reflects the annual percentage increases in General Fund revenue and appropriations since 1974.</w:t>
      </w:r>
    </w:p>
    <w:p w:rsidR="00000000" w:rsidRDefault="00D87559">
      <w:pPr>
        <w:pStyle w:val="Blurbtitle"/>
      </w:pPr>
      <w:r>
        <w:lastRenderedPageBreak/>
        <w:t>Technology Funding Through the Reversion Technology Initiatives Acc</w:t>
      </w:r>
      <w:r>
        <w:t>ount and the Pooled Technology Account</w:t>
      </w:r>
      <w:bookmarkEnd w:id="7"/>
    </w:p>
    <w:p w:rsidR="00000000" w:rsidRDefault="00D87559">
      <w:pPr>
        <w:pStyle w:val="textup"/>
      </w:pPr>
      <w:r>
        <w:rPr>
          <w:b/>
        </w:rPr>
        <w:t>Statutory Requirement</w:t>
      </w:r>
      <w:r>
        <w:tab/>
        <w:t xml:space="preserve">As provided in Section 8.33, </w:t>
      </w:r>
      <w:r>
        <w:rPr>
          <w:u w:val="single"/>
        </w:rPr>
        <w:t>Code of Iowa</w:t>
      </w:r>
      <w:r>
        <w:t>, “On August 31, or as otherwise provided in an appropriations Act, following the close of each fiscal year, all unencumbered or unobligated balances of a</w:t>
      </w:r>
      <w:r>
        <w:t>ppropriations made for that fiscal term revert to the state treasury and to the credit of the funds from which the appropriations were made…”</w:t>
      </w:r>
    </w:p>
    <w:p w:rsidR="00000000" w:rsidRDefault="00D87559">
      <w:pPr>
        <w:framePr w:w="787" w:h="949" w:hSpace="180" w:wrap="around" w:vAnchor="text" w:hAnchor="page" w:x="1542" w:y="755"/>
        <w:pBdr>
          <w:top w:val="single" w:sz="12" w:space="5" w:color="auto" w:shadow="1"/>
          <w:left w:val="single" w:sz="12" w:space="5" w:color="auto" w:shadow="1"/>
          <w:bottom w:val="single" w:sz="12" w:space="5" w:color="auto" w:shadow="1"/>
          <w:right w:val="single" w:sz="12" w:space="5" w:color="auto" w:shadow="1"/>
        </w:pBdr>
      </w:pPr>
      <w:r>
        <w:object w:dxaOrig="842" w:dyaOrig="763">
          <v:shape id="_x0000_i1046" type="#_x0000_t75" style="width:39pt;height:36pt" o:ole="">
            <v:imagedata r:id="rId48" o:title=""/>
          </v:shape>
          <o:OLEObject Type="Embed" ProgID="Word.Document.8" ShapeID="_x0000_i1046" DrawAspect="Content" ObjectID="_1315218463" r:id="rId49"/>
        </w:object>
      </w:r>
    </w:p>
    <w:p w:rsidR="00000000" w:rsidRDefault="00D87559">
      <w:pPr>
        <w:pStyle w:val="textup"/>
      </w:pPr>
      <w:r>
        <w:rPr>
          <w:b/>
        </w:rPr>
        <w:t>Training/Technology</w:t>
      </w:r>
      <w:r>
        <w:tab/>
        <w:t xml:space="preserve">Additionally, Section 8.62, </w:t>
      </w:r>
      <w:r>
        <w:rPr>
          <w:u w:val="single"/>
        </w:rPr>
        <w:t>Code of Iowa</w:t>
      </w:r>
      <w:r>
        <w:t>, notwithstands Section 8.</w:t>
      </w:r>
      <w:r>
        <w:t>33, and allows that not more than 50.0% of the unexpended and unobligated balance in an operational appropriation may be encumbered by the agency to which the operational appropriation was made.  The use of these funds is restricted to employee training, t</w:t>
      </w:r>
      <w:r>
        <w:t>echnology enhancement, or purchase of goods and services from Iowa Prison industries.  Any funds encumbered under this Section remaining on June 30 of the following fiscal year shall be deposited in the cash reserve fund on June 30.  Non-operational approp</w:t>
      </w:r>
      <w:r>
        <w:t>riations were not exempted from the reversion requirement of Section 8.33.</w:t>
      </w:r>
    </w:p>
    <w:p w:rsidR="00000000" w:rsidRDefault="00D87559">
      <w:pPr>
        <w:framePr w:w="501" w:h="1159" w:hSpace="180" w:wrap="around" w:vAnchor="text" w:hAnchor="page" w:x="1722" w:y="96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D87559">
      <w:pPr>
        <w:pStyle w:val="textup"/>
      </w:pPr>
      <w:r>
        <w:rPr>
          <w:b/>
        </w:rPr>
        <w:t>Accounts Created</w:t>
      </w:r>
      <w:r>
        <w:tab/>
        <w:t xml:space="preserve">The Reversion Technology Initiatives Account and the Pooled Technology Fund were created to provide a funding source to support various technology projects.  The </w:t>
      </w:r>
      <w:r>
        <w:t>language that created both accounts notwithstood Section 8.62 for operational appropriations, and Section 8.33 for non-operational appropriations and deposited the funds into these accounts.  The differences are explained below.</w:t>
      </w:r>
    </w:p>
    <w:p w:rsidR="00000000" w:rsidRDefault="00D87559">
      <w:pPr>
        <w:pStyle w:val="Bulletup"/>
      </w:pPr>
      <w:r>
        <w:t>For the Reversion Technolog</w:t>
      </w:r>
      <w:r>
        <w:t>y Initiatives Account, Section 5.1 of HF 762 (FY 2000 Oversight and Communications Appropriations Act) provided that 75.0% of funds unexpended or unencumbered for FY 1999 that would have otherwise reverted to the General Fund from operational appropriation</w:t>
      </w:r>
      <w:r>
        <w:t>s were appropriated to the Account.  The remaining funds remained with the entity to which the operational appropriation was made to be used as specified in Section 8.62.  Additionally, 100% of unexpended and unencumbered funds for FY 1999 that would other</w:t>
      </w:r>
      <w:r>
        <w:t>wise have reverted to the General Fund from non-operational appropriations were appropriated to the Account.</w:t>
      </w:r>
    </w:p>
    <w:p w:rsidR="00000000" w:rsidRDefault="00D87559">
      <w:pPr>
        <w:pStyle w:val="Bulletup"/>
      </w:pPr>
      <w:r>
        <w:t>For the Pooled Technology Account, Section 5.1 of SF 2433 (FY 2001 Oversight and Communications Appropriations Act) provided for the same notwithst</w:t>
      </w:r>
      <w:r>
        <w:t xml:space="preserve">anding language for unexpended and unencumbered funds remaining at the end of FY 2000, with the exception that the first $7.5 million subject to reversion and appropriation to the Account were required to be deposited into the General Fund.  Additionally, </w:t>
      </w:r>
      <w:r>
        <w:t>funds remaining in several other accounts on the effective date of the Act were transferred to the Account.</w:t>
      </w:r>
    </w:p>
    <w:p w:rsidR="00000000" w:rsidRDefault="00D87559">
      <w:pPr>
        <w:pStyle w:val="textup"/>
      </w:pPr>
      <w:r>
        <w:rPr>
          <w:b/>
        </w:rPr>
        <w:t>Priorities Established</w:t>
      </w:r>
      <w:r>
        <w:tab/>
        <w:t>The General Assembly specified how the funds would be used, but again there was a difference between the funds being expended</w:t>
      </w:r>
      <w:r>
        <w:t xml:space="preserve"> from the Account.</w:t>
      </w:r>
    </w:p>
    <w:p w:rsidR="00000000" w:rsidRDefault="00D87559">
      <w:pPr>
        <w:pStyle w:val="Bulletup"/>
      </w:pPr>
      <w:r>
        <w:t xml:space="preserve">For the Reversion Technology Initiatives Account, the specific projects and the amount of funding that could be expended on each project were enumerated in priority order in the Act.  A total of $11.0 million was </w:t>
      </w:r>
      <w:r>
        <w:lastRenderedPageBreak/>
        <w:t>allocated from the Accou</w:t>
      </w:r>
      <w:r>
        <w:t>nt for 14 different projects.  The funds were allocated directly to the department that had requested and been approved for funding.  There were sufficient reversions to fully fund the allocations.</w:t>
      </w:r>
    </w:p>
    <w:p w:rsidR="00000000" w:rsidRDefault="00D87559">
      <w:pPr>
        <w:pStyle w:val="Bulletup"/>
      </w:pPr>
      <w:r>
        <w:t>For the Pooled Technology Account, four specific allocatio</w:t>
      </w:r>
      <w:r>
        <w:t>ns were made in priority order and one was vetoed.  For those, the funding was allocated directly to the departments that had requested the funds.  Additionally, a list of 24 other projects were specified as projects that could be funded by up to $21.0 mil</w:t>
      </w:r>
      <w:r>
        <w:t>lion from the Account and the funds were allocated to the new Information Technology Department, specifying that the funds could only be used on the projects listed in the Act.  A total of $19.0 million was received by the Account from the transfers and re</w:t>
      </w:r>
      <w:r>
        <w:t>versions.  The first $6.0 million went for the three specified projects and the remaining $13.0 million is being used by the Department to complete as many projects as possible from the list of projects in the Act.  Some projects have received no allocatio</w:t>
      </w:r>
      <w:r>
        <w:t>n by Information Technology Department and some have received allocations less than they had requested.</w:t>
      </w:r>
    </w:p>
    <w:p w:rsidR="00000000" w:rsidRDefault="00D87559">
      <w:pPr>
        <w:pStyle w:val="textup"/>
      </w:pPr>
      <w:r>
        <w:rPr>
          <w:b/>
        </w:rPr>
        <w:t>FY 2002 Recommendations</w:t>
      </w:r>
      <w:r>
        <w:tab/>
        <w:t>For FY 2002, there has been $79.3 million in projects that have been recommended from the Pooled Technology Account by the Infor</w:t>
      </w:r>
      <w:r>
        <w:t>mation Technology Council.</w:t>
      </w:r>
    </w:p>
    <w:p w:rsidR="00000000" w:rsidRDefault="00D87559">
      <w:pPr>
        <w:pStyle w:val="Contactup"/>
      </w:pPr>
      <w:r>
        <w:t>STAFF CONTACT:  Douglas Wulf (Ext. 13250)  Glen Dickinson (Ext. 14616)</w:t>
      </w:r>
    </w:p>
    <w:p w:rsidR="00000000" w:rsidRDefault="00D87559">
      <w:pPr>
        <w:pStyle w:val="Blurbtitle"/>
      </w:pPr>
      <w:bookmarkStart w:id="8" w:name="FU3HMLB"/>
      <w:r>
        <w:t>Balancing the Budget - Across-the-board Reductions 1980-2001</w:t>
      </w:r>
      <w:bookmarkEnd w:id="8"/>
    </w:p>
    <w:p w:rsidR="00000000" w:rsidRDefault="00D87559">
      <w:pPr>
        <w:pStyle w:val="textup"/>
      </w:pPr>
      <w:r>
        <w:rPr>
          <w:noProof/>
        </w:rPr>
        <w:pict>
          <v:shape id="_x0000_s1048" type="#_x0000_t202" style="position:absolute;margin-left:-140.4pt;margin-top:54.05pt;width:85.95pt;height:74.65pt;z-index:251651072" o:allowincell="f">
            <v:textbox>
              <w:txbxContent>
                <w:p w:rsidR="00000000" w:rsidRDefault="00D87559">
                  <w:r>
                    <w:rPr>
                      <w:noProof/>
                    </w:rPr>
                    <w:drawing>
                      <wp:inline distT="0" distB="0" distL="0" distR="0">
                        <wp:extent cx="895350" cy="84772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a:srcRect/>
                                <a:stretch>
                                  <a:fillRect/>
                                </a:stretch>
                              </pic:blipFill>
                              <pic:spPr bwMode="auto">
                                <a:xfrm>
                                  <a:off x="0" y="0"/>
                                  <a:ext cx="895350" cy="847725"/>
                                </a:xfrm>
                                <a:prstGeom prst="rect">
                                  <a:avLst/>
                                </a:prstGeom>
                                <a:noFill/>
                                <a:ln w="9525">
                                  <a:noFill/>
                                  <a:miter lim="800000"/>
                                  <a:headEnd/>
                                  <a:tailEnd/>
                                </a:ln>
                              </pic:spPr>
                            </pic:pic>
                          </a:graphicData>
                        </a:graphic>
                      </wp:inline>
                    </w:drawing>
                  </w:r>
                </w:p>
              </w:txbxContent>
            </v:textbox>
            <w10:wrap type="square"/>
          </v:shape>
        </w:pict>
      </w:r>
      <w:r>
        <w:rPr>
          <w:b/>
        </w:rPr>
        <w:t>Governor’s Power</w:t>
      </w:r>
      <w:r>
        <w:tab/>
        <w:t xml:space="preserve">The Governor and the General Assembly have statutory responsibility to balance </w:t>
      </w:r>
      <w:r>
        <w:t>the budget.  However, once the General Assembly has exercised its power and appropriated funds in legislation, the Governor’s ability to restrict spending is limited.  The Governor may do so in only one of four ways:</w:t>
      </w:r>
    </w:p>
    <w:p w:rsidR="00000000" w:rsidRDefault="00D87559">
      <w:pPr>
        <w:pStyle w:val="Bulletup"/>
      </w:pPr>
      <w:r>
        <w:t>Through the item veto power under the I</w:t>
      </w:r>
      <w:r>
        <w:t>owa Constitution Article III, Section 16.</w:t>
      </w:r>
    </w:p>
    <w:p w:rsidR="00000000" w:rsidRDefault="00D87559">
      <w:pPr>
        <w:pStyle w:val="Bulletup"/>
      </w:pPr>
      <w:r>
        <w:t xml:space="preserve">Through transfers within and among departments under Chapter 8.39, </w:t>
      </w:r>
      <w:r>
        <w:rPr>
          <w:u w:val="single"/>
        </w:rPr>
        <w:t>Code of Iowa</w:t>
      </w:r>
      <w:r>
        <w:t>.</w:t>
      </w:r>
    </w:p>
    <w:p w:rsidR="00000000" w:rsidRDefault="00D87559">
      <w:pPr>
        <w:pStyle w:val="Bulletup"/>
      </w:pPr>
      <w:r>
        <w:t xml:space="preserve">Through reductions in force under Chapter 19A. 9(14), </w:t>
      </w:r>
      <w:r>
        <w:rPr>
          <w:u w:val="single"/>
        </w:rPr>
        <w:t>Code of Iowa</w:t>
      </w:r>
      <w:r>
        <w:t>.</w:t>
      </w:r>
    </w:p>
    <w:p w:rsidR="00000000" w:rsidRDefault="00D87559">
      <w:pPr>
        <w:pStyle w:val="Bulletup"/>
      </w:pPr>
      <w:r>
        <w:t>Through an across-the-board reduction in spending under Chapter 8</w:t>
      </w:r>
      <w:r>
        <w:t xml:space="preserve">.31, </w:t>
      </w:r>
      <w:r>
        <w:rPr>
          <w:u w:val="single"/>
        </w:rPr>
        <w:t>Code of Iowa</w:t>
      </w:r>
      <w:r>
        <w:t>.</w:t>
      </w:r>
    </w:p>
    <w:p w:rsidR="00000000" w:rsidRDefault="00D87559">
      <w:pPr>
        <w:pStyle w:val="textup"/>
      </w:pPr>
      <w:r>
        <w:rPr>
          <w:b/>
        </w:rPr>
        <w:t>Across-the-Board Reductions</w:t>
      </w:r>
      <w:r>
        <w:tab/>
        <w:t xml:space="preserve">The Governor, through Executive Order, has enacted across-the-board reductions six times since 1980.  Governor Ray issued two of these Orders and Governor Branstad issued four.  Section 8.31, </w:t>
      </w:r>
      <w:r>
        <w:rPr>
          <w:u w:val="single"/>
        </w:rPr>
        <w:t>Code of Iowa,</w:t>
      </w:r>
      <w:r>
        <w:t xml:space="preserve"> aut</w:t>
      </w:r>
      <w:r>
        <w:t>horizes the Governor to reduce quarterly allotments of appropriations in amounts sufficient to avoid an overdraft or deficit.  While the actual appropriation amount will remain unchanged, the reduction in allotments will reduce spending and will increase r</w:t>
      </w:r>
      <w:r>
        <w:t xml:space="preserve">eversions.   </w:t>
      </w:r>
    </w:p>
    <w:p w:rsidR="00000000" w:rsidRDefault="00D87559">
      <w:pPr>
        <w:pStyle w:val="textup"/>
      </w:pPr>
      <w:r>
        <w:rPr>
          <w:b/>
        </w:rPr>
        <w:t>Exemptions</w:t>
      </w:r>
      <w:r>
        <w:tab/>
        <w:t xml:space="preserve">The statute specifically exempts the Legislative Branch and the Judicial Branch from across-the-board reductions made by the Governor under Executive Order.  The Governor cannot exempt any appropriations from </w:t>
      </w:r>
      <w:r>
        <w:lastRenderedPageBreak/>
        <w:t>across-the-board reduc</w:t>
      </w:r>
      <w:r>
        <w:t>tions; the reduction must be applied across-the-board uniformly and “prorated between all departments, agencies and establishments upon the basis of their respective appropriation”.  Attorney General opinions in 1980 and 1989 stated that the Governor may n</w:t>
      </w:r>
      <w:r>
        <w:t>ot make selective mandatory reductions in appropriations through the practice of “targeted reversions”.</w:t>
      </w:r>
    </w:p>
    <w:p w:rsidR="00000000" w:rsidRDefault="00D87559">
      <w:pPr>
        <w:framePr w:w="797" w:h="865" w:hSpace="180" w:wrap="around" w:vAnchor="text" w:hAnchor="page" w:x="1542" w:y="92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495300"/>
            <wp:effectExtent l="19050" t="0" r="9525" b="0"/>
            <wp:docPr id="24" name="Picture 24"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lipart\Regional\Govt\LAWEN012.WMF"/>
                    <pic:cNvPicPr>
                      <a:picLocks noChangeAspect="1" noChangeArrowheads="1"/>
                    </pic:cNvPicPr>
                  </pic:nvPicPr>
                  <pic:blipFill>
                    <a:blip r:embed="rId51"/>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000000" w:rsidRDefault="00D87559">
      <w:pPr>
        <w:pStyle w:val="textup"/>
      </w:pPr>
      <w:r>
        <w:rPr>
          <w:b/>
        </w:rPr>
        <w:t>General Assembly Power</w:t>
      </w:r>
      <w:r>
        <w:tab/>
        <w:t>The General Assembly reduces enacted appropriations through “reduction in appropriations bills”, more commonly referred to as d</w:t>
      </w:r>
      <w:r>
        <w:t>eappropriation bills.  Reductions are usually made selectively to appropriations, but across-the-board reductions have been made to appropriations already enacted by the General Assembly.  The General Assembly has the authority to selectively exempt certai</w:t>
      </w:r>
      <w:r>
        <w:t>n appropriations from the across-the-board reductions or to apply different percentages to different appropriations.  This type of across-the-board reduction occurred during the Second Extraordinary Session in 1992, when the General Assembly reduced some a</w:t>
      </w:r>
      <w:r>
        <w:t>ppropriations by 5%, others by 2%, and exempted others such as school aid and human services programs.  In the 1987 Session, all appropriations were reduced by .1% by the General Assembly prior to enactment by the Governor.</w:t>
      </w:r>
    </w:p>
    <w:p w:rsidR="00000000" w:rsidRDefault="00D87559">
      <w:pPr>
        <w:pStyle w:val="textup"/>
      </w:pPr>
      <w:r>
        <w:rPr>
          <w:b/>
        </w:rPr>
        <w:t>1980-2001</w:t>
      </w:r>
      <w:r>
        <w:tab/>
        <w:t>The following table re</w:t>
      </w:r>
      <w:r>
        <w:t>flects the across-the-board reductions made through Executive Order during the period 1980-2001.</w:t>
      </w:r>
    </w:p>
    <w:p w:rsidR="00000000" w:rsidRDefault="00D87559">
      <w:pPr>
        <w:pStyle w:val="textup"/>
        <w:spacing w:after="0"/>
        <w:rPr>
          <w:b/>
          <w:sz w:val="22"/>
        </w:rPr>
      </w:pPr>
      <w:r>
        <w:rPr>
          <w:b/>
          <w:sz w:val="24"/>
        </w:rPr>
        <w:t xml:space="preserve">                                                 </w:t>
      </w:r>
      <w:r>
        <w:rPr>
          <w:b/>
          <w:sz w:val="22"/>
        </w:rPr>
        <w:t>Across-the-Board Reductions 1980-2001</w:t>
      </w:r>
    </w:p>
    <w:tbl>
      <w:tblPr>
        <w:tblpPr w:leftFromText="180" w:rightFromText="180" w:vertAnchor="text" w:horzAnchor="page" w:tblpX="1954" w:tblpY="25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810"/>
        <w:gridCol w:w="810"/>
        <w:gridCol w:w="990"/>
        <w:gridCol w:w="1170"/>
        <w:gridCol w:w="1080"/>
        <w:gridCol w:w="3510"/>
      </w:tblGrid>
      <w:tr w:rsidR="00000000">
        <w:tblPrEx>
          <w:tblCellMar>
            <w:top w:w="0" w:type="dxa"/>
            <w:bottom w:w="0" w:type="dxa"/>
          </w:tblCellMar>
        </w:tblPrEx>
        <w:trPr>
          <w:tblHeader/>
        </w:trPr>
        <w:tc>
          <w:tcPr>
            <w:tcW w:w="1278" w:type="dxa"/>
          </w:tcPr>
          <w:p w:rsidR="00000000" w:rsidRDefault="00D87559">
            <w:pPr>
              <w:jc w:val="center"/>
              <w:rPr>
                <w:rFonts w:ascii="Univers" w:hAnsi="Univers"/>
                <w:sz w:val="18"/>
              </w:rPr>
            </w:pPr>
          </w:p>
          <w:p w:rsidR="00000000" w:rsidRDefault="00D87559">
            <w:pPr>
              <w:jc w:val="center"/>
              <w:rPr>
                <w:rFonts w:ascii="Univers" w:hAnsi="Univers"/>
                <w:sz w:val="18"/>
              </w:rPr>
            </w:pPr>
            <w:r>
              <w:rPr>
                <w:rFonts w:ascii="Univers" w:hAnsi="Univers"/>
                <w:sz w:val="18"/>
              </w:rPr>
              <w:t>Date</w:t>
            </w:r>
          </w:p>
        </w:tc>
        <w:tc>
          <w:tcPr>
            <w:tcW w:w="810" w:type="dxa"/>
          </w:tcPr>
          <w:p w:rsidR="00000000" w:rsidRDefault="00D87559">
            <w:pPr>
              <w:jc w:val="center"/>
              <w:rPr>
                <w:rFonts w:ascii="Univers" w:hAnsi="Univers"/>
                <w:sz w:val="18"/>
              </w:rPr>
            </w:pPr>
            <w:r>
              <w:rPr>
                <w:rFonts w:ascii="Univers" w:hAnsi="Univers"/>
                <w:sz w:val="18"/>
              </w:rPr>
              <w:t>Fiscal Year</w:t>
            </w:r>
          </w:p>
        </w:tc>
        <w:tc>
          <w:tcPr>
            <w:tcW w:w="810" w:type="dxa"/>
          </w:tcPr>
          <w:p w:rsidR="00000000" w:rsidRDefault="00D87559">
            <w:pPr>
              <w:jc w:val="center"/>
              <w:rPr>
                <w:rFonts w:ascii="Univers" w:hAnsi="Univers"/>
                <w:sz w:val="18"/>
              </w:rPr>
            </w:pPr>
            <w:r>
              <w:rPr>
                <w:rFonts w:ascii="Univers" w:hAnsi="Univers"/>
                <w:sz w:val="18"/>
              </w:rPr>
              <w:t>Exec. Order</w:t>
            </w:r>
          </w:p>
        </w:tc>
        <w:tc>
          <w:tcPr>
            <w:tcW w:w="990" w:type="dxa"/>
          </w:tcPr>
          <w:p w:rsidR="00000000" w:rsidRDefault="00D87559">
            <w:pPr>
              <w:jc w:val="center"/>
              <w:rPr>
                <w:rFonts w:ascii="Univers" w:hAnsi="Univers"/>
                <w:sz w:val="18"/>
              </w:rPr>
            </w:pPr>
          </w:p>
          <w:p w:rsidR="00000000" w:rsidRDefault="00D87559">
            <w:pPr>
              <w:jc w:val="center"/>
              <w:rPr>
                <w:rFonts w:ascii="Univers" w:hAnsi="Univers"/>
                <w:sz w:val="18"/>
              </w:rPr>
            </w:pPr>
            <w:r>
              <w:rPr>
                <w:rFonts w:ascii="Univers" w:hAnsi="Univers"/>
                <w:sz w:val="18"/>
              </w:rPr>
              <w:t>Governor</w:t>
            </w:r>
          </w:p>
        </w:tc>
        <w:tc>
          <w:tcPr>
            <w:tcW w:w="1170" w:type="dxa"/>
          </w:tcPr>
          <w:p w:rsidR="00000000" w:rsidRDefault="00D87559">
            <w:pPr>
              <w:jc w:val="center"/>
              <w:rPr>
                <w:rFonts w:ascii="Univers" w:hAnsi="Univers"/>
                <w:sz w:val="18"/>
              </w:rPr>
            </w:pPr>
            <w:r>
              <w:rPr>
                <w:rFonts w:ascii="Univers" w:hAnsi="Univers"/>
                <w:sz w:val="18"/>
              </w:rPr>
              <w:t>Budget Shortfall</w:t>
            </w:r>
          </w:p>
        </w:tc>
        <w:tc>
          <w:tcPr>
            <w:tcW w:w="1080" w:type="dxa"/>
          </w:tcPr>
          <w:p w:rsidR="00000000" w:rsidRDefault="00D87559">
            <w:pPr>
              <w:jc w:val="center"/>
              <w:rPr>
                <w:rFonts w:ascii="Univers" w:hAnsi="Univers"/>
                <w:sz w:val="18"/>
              </w:rPr>
            </w:pPr>
            <w:r>
              <w:rPr>
                <w:rFonts w:ascii="Univers" w:hAnsi="Univers"/>
                <w:sz w:val="18"/>
              </w:rPr>
              <w:t>% Reduction</w:t>
            </w:r>
          </w:p>
        </w:tc>
        <w:tc>
          <w:tcPr>
            <w:tcW w:w="3510" w:type="dxa"/>
          </w:tcPr>
          <w:p w:rsidR="00000000" w:rsidRDefault="00D87559">
            <w:pPr>
              <w:jc w:val="center"/>
              <w:rPr>
                <w:rFonts w:ascii="Univers" w:hAnsi="Univers"/>
                <w:sz w:val="18"/>
              </w:rPr>
            </w:pPr>
          </w:p>
          <w:p w:rsidR="00000000" w:rsidRDefault="00D87559">
            <w:pPr>
              <w:jc w:val="center"/>
              <w:rPr>
                <w:rFonts w:ascii="Univers" w:hAnsi="Univers"/>
                <w:sz w:val="18"/>
              </w:rPr>
            </w:pPr>
            <w:r>
              <w:rPr>
                <w:rFonts w:ascii="Univers" w:hAnsi="Univers"/>
                <w:sz w:val="18"/>
              </w:rPr>
              <w:t>Co</w:t>
            </w:r>
            <w:r>
              <w:rPr>
                <w:rFonts w:ascii="Univers" w:hAnsi="Univers"/>
                <w:sz w:val="18"/>
              </w:rPr>
              <w:t>mments</w:t>
            </w:r>
          </w:p>
        </w:tc>
      </w:tr>
      <w:tr w:rsidR="00000000">
        <w:tblPrEx>
          <w:tblCellMar>
            <w:top w:w="0" w:type="dxa"/>
            <w:bottom w:w="0" w:type="dxa"/>
          </w:tblCellMar>
        </w:tblPrEx>
        <w:tc>
          <w:tcPr>
            <w:tcW w:w="1278" w:type="dxa"/>
          </w:tcPr>
          <w:p w:rsidR="00000000" w:rsidRDefault="00D87559">
            <w:pPr>
              <w:rPr>
                <w:rFonts w:ascii="Univers" w:hAnsi="Univers"/>
                <w:sz w:val="18"/>
              </w:rPr>
            </w:pPr>
            <w:r>
              <w:rPr>
                <w:rFonts w:ascii="Univers" w:hAnsi="Univers"/>
                <w:sz w:val="18"/>
              </w:rPr>
              <w:t>8/12/1980</w:t>
            </w:r>
          </w:p>
        </w:tc>
        <w:tc>
          <w:tcPr>
            <w:tcW w:w="810" w:type="dxa"/>
          </w:tcPr>
          <w:p w:rsidR="00000000" w:rsidRDefault="00D87559">
            <w:pPr>
              <w:rPr>
                <w:rFonts w:ascii="Univers" w:hAnsi="Univers"/>
                <w:sz w:val="18"/>
              </w:rPr>
            </w:pPr>
            <w:r>
              <w:rPr>
                <w:rFonts w:ascii="Univers" w:hAnsi="Univers"/>
                <w:sz w:val="18"/>
              </w:rPr>
              <w:t>1981</w:t>
            </w:r>
          </w:p>
        </w:tc>
        <w:tc>
          <w:tcPr>
            <w:tcW w:w="810" w:type="dxa"/>
          </w:tcPr>
          <w:p w:rsidR="00000000" w:rsidRDefault="00D87559">
            <w:pPr>
              <w:rPr>
                <w:rFonts w:ascii="Univers" w:hAnsi="Univers"/>
                <w:sz w:val="18"/>
              </w:rPr>
            </w:pPr>
            <w:r>
              <w:rPr>
                <w:rFonts w:ascii="Univers" w:hAnsi="Univers"/>
                <w:sz w:val="18"/>
              </w:rPr>
              <w:t>#38</w:t>
            </w:r>
          </w:p>
        </w:tc>
        <w:tc>
          <w:tcPr>
            <w:tcW w:w="990" w:type="dxa"/>
          </w:tcPr>
          <w:p w:rsidR="00000000" w:rsidRDefault="00D87559">
            <w:pPr>
              <w:rPr>
                <w:rFonts w:ascii="Univers" w:hAnsi="Univers"/>
                <w:sz w:val="18"/>
              </w:rPr>
            </w:pPr>
            <w:r>
              <w:rPr>
                <w:rFonts w:ascii="Univers" w:hAnsi="Univers"/>
                <w:sz w:val="18"/>
              </w:rPr>
              <w:t>Ray</w:t>
            </w:r>
          </w:p>
        </w:tc>
        <w:tc>
          <w:tcPr>
            <w:tcW w:w="1170" w:type="dxa"/>
          </w:tcPr>
          <w:p w:rsidR="00000000" w:rsidRDefault="00D87559">
            <w:pPr>
              <w:rPr>
                <w:rFonts w:ascii="Univers" w:hAnsi="Univers"/>
                <w:sz w:val="18"/>
              </w:rPr>
            </w:pPr>
            <w:r>
              <w:rPr>
                <w:rFonts w:ascii="Univers" w:hAnsi="Univers"/>
                <w:sz w:val="18"/>
              </w:rPr>
              <w:t xml:space="preserve">$63.0 mil </w:t>
            </w:r>
          </w:p>
        </w:tc>
        <w:tc>
          <w:tcPr>
            <w:tcW w:w="1080" w:type="dxa"/>
          </w:tcPr>
          <w:p w:rsidR="00000000" w:rsidRDefault="00D87559">
            <w:pPr>
              <w:jc w:val="center"/>
              <w:rPr>
                <w:rFonts w:ascii="Univers" w:hAnsi="Univers"/>
                <w:sz w:val="18"/>
              </w:rPr>
            </w:pPr>
            <w:r>
              <w:rPr>
                <w:rFonts w:ascii="Univers" w:hAnsi="Univers"/>
                <w:sz w:val="18"/>
              </w:rPr>
              <w:t>3.6%</w:t>
            </w:r>
          </w:p>
        </w:tc>
        <w:tc>
          <w:tcPr>
            <w:tcW w:w="3510" w:type="dxa"/>
          </w:tcPr>
          <w:p w:rsidR="00000000" w:rsidRDefault="00D87559">
            <w:pPr>
              <w:rPr>
                <w:rFonts w:ascii="Univers" w:hAnsi="Univers"/>
                <w:sz w:val="18"/>
              </w:rPr>
            </w:pPr>
            <w:r>
              <w:rPr>
                <w:rFonts w:ascii="Univers" w:hAnsi="Univers"/>
                <w:sz w:val="18"/>
              </w:rPr>
              <w:t>General Assembly also passed $8.0 million in deappropriations.</w:t>
            </w:r>
          </w:p>
        </w:tc>
      </w:tr>
      <w:tr w:rsidR="00000000">
        <w:tblPrEx>
          <w:tblCellMar>
            <w:top w:w="0" w:type="dxa"/>
            <w:bottom w:w="0" w:type="dxa"/>
          </w:tblCellMar>
        </w:tblPrEx>
        <w:tc>
          <w:tcPr>
            <w:tcW w:w="1278" w:type="dxa"/>
          </w:tcPr>
          <w:p w:rsidR="00000000" w:rsidRDefault="00D87559">
            <w:pPr>
              <w:rPr>
                <w:rFonts w:ascii="Univers" w:hAnsi="Univers"/>
                <w:sz w:val="18"/>
              </w:rPr>
            </w:pPr>
            <w:r>
              <w:rPr>
                <w:rFonts w:ascii="Univers" w:hAnsi="Univers"/>
                <w:sz w:val="18"/>
              </w:rPr>
              <w:t>12/15/1980</w:t>
            </w:r>
          </w:p>
        </w:tc>
        <w:tc>
          <w:tcPr>
            <w:tcW w:w="810" w:type="dxa"/>
          </w:tcPr>
          <w:p w:rsidR="00000000" w:rsidRDefault="00D87559">
            <w:pPr>
              <w:rPr>
                <w:rFonts w:ascii="Univers" w:hAnsi="Univers"/>
                <w:sz w:val="18"/>
              </w:rPr>
            </w:pPr>
            <w:r>
              <w:rPr>
                <w:rFonts w:ascii="Univers" w:hAnsi="Univers"/>
                <w:sz w:val="18"/>
              </w:rPr>
              <w:t>1981</w:t>
            </w:r>
          </w:p>
        </w:tc>
        <w:tc>
          <w:tcPr>
            <w:tcW w:w="810" w:type="dxa"/>
          </w:tcPr>
          <w:p w:rsidR="00000000" w:rsidRDefault="00D87559">
            <w:pPr>
              <w:rPr>
                <w:rFonts w:ascii="Univers" w:hAnsi="Univers"/>
                <w:sz w:val="18"/>
              </w:rPr>
            </w:pPr>
            <w:r>
              <w:rPr>
                <w:rFonts w:ascii="Univers" w:hAnsi="Univers"/>
                <w:sz w:val="18"/>
              </w:rPr>
              <w:t>#40</w:t>
            </w:r>
          </w:p>
        </w:tc>
        <w:tc>
          <w:tcPr>
            <w:tcW w:w="990" w:type="dxa"/>
          </w:tcPr>
          <w:p w:rsidR="00000000" w:rsidRDefault="00D87559">
            <w:pPr>
              <w:rPr>
                <w:rFonts w:ascii="Univers" w:hAnsi="Univers"/>
                <w:sz w:val="18"/>
              </w:rPr>
            </w:pPr>
            <w:r>
              <w:rPr>
                <w:rFonts w:ascii="Univers" w:hAnsi="Univers"/>
                <w:sz w:val="18"/>
              </w:rPr>
              <w:t>Ray</w:t>
            </w:r>
          </w:p>
        </w:tc>
        <w:tc>
          <w:tcPr>
            <w:tcW w:w="1170" w:type="dxa"/>
          </w:tcPr>
          <w:p w:rsidR="00000000" w:rsidRDefault="00D87559">
            <w:pPr>
              <w:rPr>
                <w:rFonts w:ascii="Univers" w:hAnsi="Univers"/>
                <w:sz w:val="18"/>
              </w:rPr>
            </w:pPr>
            <w:r>
              <w:rPr>
                <w:rFonts w:ascii="Univers" w:hAnsi="Univers"/>
                <w:sz w:val="18"/>
              </w:rPr>
              <w:t xml:space="preserve">$46.1 mil </w:t>
            </w:r>
          </w:p>
        </w:tc>
        <w:tc>
          <w:tcPr>
            <w:tcW w:w="1080" w:type="dxa"/>
          </w:tcPr>
          <w:p w:rsidR="00000000" w:rsidRDefault="00D87559">
            <w:pPr>
              <w:jc w:val="center"/>
              <w:rPr>
                <w:rFonts w:ascii="Univers" w:hAnsi="Univers"/>
                <w:sz w:val="18"/>
              </w:rPr>
            </w:pPr>
            <w:r>
              <w:rPr>
                <w:rFonts w:ascii="Univers" w:hAnsi="Univers"/>
                <w:sz w:val="18"/>
              </w:rPr>
              <w:t>1.0%</w:t>
            </w:r>
          </w:p>
        </w:tc>
        <w:tc>
          <w:tcPr>
            <w:tcW w:w="3510" w:type="dxa"/>
          </w:tcPr>
          <w:p w:rsidR="00000000" w:rsidRDefault="00D87559">
            <w:pPr>
              <w:rPr>
                <w:rFonts w:ascii="Univers" w:hAnsi="Univers"/>
                <w:sz w:val="18"/>
              </w:rPr>
            </w:pPr>
            <w:r>
              <w:rPr>
                <w:rFonts w:ascii="Univers" w:hAnsi="Univers"/>
                <w:sz w:val="18"/>
              </w:rPr>
              <w:t>Second across-the-board reduction for FY 1981, making total reduction of 4.6% or $78.4 million.  Total im</w:t>
            </w:r>
            <w:r>
              <w:rPr>
                <w:rFonts w:ascii="Univers" w:hAnsi="Univers"/>
                <w:sz w:val="18"/>
              </w:rPr>
              <w:t>pact of across-the-board and other adjustments was $100.0 million.</w:t>
            </w:r>
          </w:p>
        </w:tc>
      </w:tr>
      <w:tr w:rsidR="00000000">
        <w:tblPrEx>
          <w:tblCellMar>
            <w:top w:w="0" w:type="dxa"/>
            <w:bottom w:w="0" w:type="dxa"/>
          </w:tblCellMar>
        </w:tblPrEx>
        <w:tc>
          <w:tcPr>
            <w:tcW w:w="1278" w:type="dxa"/>
          </w:tcPr>
          <w:p w:rsidR="00000000" w:rsidRDefault="00D87559">
            <w:pPr>
              <w:rPr>
                <w:rFonts w:ascii="Univers" w:hAnsi="Univers"/>
                <w:sz w:val="18"/>
              </w:rPr>
            </w:pPr>
            <w:r>
              <w:rPr>
                <w:rFonts w:ascii="Univers" w:hAnsi="Univers"/>
                <w:sz w:val="18"/>
              </w:rPr>
              <w:t>9/3/1983</w:t>
            </w:r>
          </w:p>
        </w:tc>
        <w:tc>
          <w:tcPr>
            <w:tcW w:w="810" w:type="dxa"/>
          </w:tcPr>
          <w:p w:rsidR="00000000" w:rsidRDefault="00D87559">
            <w:pPr>
              <w:rPr>
                <w:rFonts w:ascii="Univers" w:hAnsi="Univers"/>
                <w:sz w:val="18"/>
              </w:rPr>
            </w:pPr>
            <w:r>
              <w:rPr>
                <w:rFonts w:ascii="Univers" w:hAnsi="Univers"/>
                <w:sz w:val="18"/>
              </w:rPr>
              <w:t>1984</w:t>
            </w:r>
          </w:p>
        </w:tc>
        <w:tc>
          <w:tcPr>
            <w:tcW w:w="810" w:type="dxa"/>
          </w:tcPr>
          <w:p w:rsidR="00000000" w:rsidRDefault="00D87559">
            <w:pPr>
              <w:rPr>
                <w:rFonts w:ascii="Univers" w:hAnsi="Univers"/>
                <w:sz w:val="18"/>
              </w:rPr>
            </w:pPr>
            <w:r>
              <w:rPr>
                <w:rFonts w:ascii="Univers" w:hAnsi="Univers"/>
                <w:sz w:val="18"/>
              </w:rPr>
              <w:t>#4</w:t>
            </w:r>
          </w:p>
        </w:tc>
        <w:tc>
          <w:tcPr>
            <w:tcW w:w="990" w:type="dxa"/>
          </w:tcPr>
          <w:p w:rsidR="00000000" w:rsidRDefault="00D87559">
            <w:pPr>
              <w:rPr>
                <w:rFonts w:ascii="Univers" w:hAnsi="Univers"/>
                <w:sz w:val="18"/>
              </w:rPr>
            </w:pPr>
            <w:r>
              <w:rPr>
                <w:rFonts w:ascii="Univers" w:hAnsi="Univers"/>
                <w:sz w:val="18"/>
              </w:rPr>
              <w:t>Branstad</w:t>
            </w:r>
          </w:p>
        </w:tc>
        <w:tc>
          <w:tcPr>
            <w:tcW w:w="1170" w:type="dxa"/>
          </w:tcPr>
          <w:p w:rsidR="00000000" w:rsidRDefault="00D87559">
            <w:pPr>
              <w:rPr>
                <w:rFonts w:ascii="Univers" w:hAnsi="Univers"/>
                <w:sz w:val="18"/>
              </w:rPr>
            </w:pPr>
            <w:r>
              <w:rPr>
                <w:rFonts w:ascii="Univers" w:hAnsi="Univers"/>
                <w:sz w:val="18"/>
              </w:rPr>
              <w:t xml:space="preserve">$91.0 mil </w:t>
            </w:r>
          </w:p>
        </w:tc>
        <w:tc>
          <w:tcPr>
            <w:tcW w:w="1080" w:type="dxa"/>
          </w:tcPr>
          <w:p w:rsidR="00000000" w:rsidRDefault="00D87559">
            <w:pPr>
              <w:jc w:val="center"/>
              <w:rPr>
                <w:rFonts w:ascii="Univers" w:hAnsi="Univers"/>
                <w:sz w:val="18"/>
              </w:rPr>
            </w:pPr>
            <w:r>
              <w:rPr>
                <w:rFonts w:ascii="Univers" w:hAnsi="Univers"/>
                <w:sz w:val="18"/>
              </w:rPr>
              <w:t>2.8%</w:t>
            </w:r>
          </w:p>
        </w:tc>
        <w:tc>
          <w:tcPr>
            <w:tcW w:w="3510" w:type="dxa"/>
          </w:tcPr>
          <w:p w:rsidR="00000000" w:rsidRDefault="00D87559">
            <w:pPr>
              <w:rPr>
                <w:rFonts w:ascii="Univers" w:hAnsi="Univers"/>
                <w:sz w:val="18"/>
              </w:rPr>
            </w:pPr>
            <w:r>
              <w:rPr>
                <w:rFonts w:ascii="Univers" w:hAnsi="Univers"/>
                <w:sz w:val="18"/>
              </w:rPr>
              <w:t>$2.8% reduction amounted to $55.1 million.  There were additional deappropriations of $17.6 million.</w:t>
            </w:r>
          </w:p>
        </w:tc>
      </w:tr>
      <w:tr w:rsidR="00000000">
        <w:tblPrEx>
          <w:tblCellMar>
            <w:top w:w="0" w:type="dxa"/>
            <w:bottom w:w="0" w:type="dxa"/>
          </w:tblCellMar>
        </w:tblPrEx>
        <w:tc>
          <w:tcPr>
            <w:tcW w:w="1278" w:type="dxa"/>
          </w:tcPr>
          <w:p w:rsidR="00000000" w:rsidRDefault="00D87559">
            <w:pPr>
              <w:rPr>
                <w:rFonts w:ascii="Univers" w:hAnsi="Univers"/>
                <w:sz w:val="18"/>
              </w:rPr>
            </w:pPr>
            <w:r>
              <w:rPr>
                <w:rFonts w:ascii="Univers" w:hAnsi="Univers"/>
                <w:sz w:val="18"/>
              </w:rPr>
              <w:t>9/18/1985</w:t>
            </w:r>
          </w:p>
        </w:tc>
        <w:tc>
          <w:tcPr>
            <w:tcW w:w="810" w:type="dxa"/>
          </w:tcPr>
          <w:p w:rsidR="00000000" w:rsidRDefault="00D87559">
            <w:pPr>
              <w:rPr>
                <w:rFonts w:ascii="Univers" w:hAnsi="Univers"/>
                <w:sz w:val="18"/>
              </w:rPr>
            </w:pPr>
            <w:r>
              <w:rPr>
                <w:rFonts w:ascii="Univers" w:hAnsi="Univers"/>
                <w:sz w:val="18"/>
              </w:rPr>
              <w:t>1986</w:t>
            </w:r>
          </w:p>
        </w:tc>
        <w:tc>
          <w:tcPr>
            <w:tcW w:w="810" w:type="dxa"/>
          </w:tcPr>
          <w:p w:rsidR="00000000" w:rsidRDefault="00D87559">
            <w:pPr>
              <w:rPr>
                <w:rFonts w:ascii="Univers" w:hAnsi="Univers"/>
                <w:sz w:val="18"/>
              </w:rPr>
            </w:pPr>
            <w:r>
              <w:rPr>
                <w:rFonts w:ascii="Univers" w:hAnsi="Univers"/>
                <w:sz w:val="18"/>
              </w:rPr>
              <w:t>#19</w:t>
            </w:r>
          </w:p>
        </w:tc>
        <w:tc>
          <w:tcPr>
            <w:tcW w:w="990" w:type="dxa"/>
          </w:tcPr>
          <w:p w:rsidR="00000000" w:rsidRDefault="00D87559">
            <w:pPr>
              <w:rPr>
                <w:rFonts w:ascii="Univers" w:hAnsi="Univers"/>
                <w:sz w:val="18"/>
              </w:rPr>
            </w:pPr>
            <w:r>
              <w:rPr>
                <w:rFonts w:ascii="Univers" w:hAnsi="Univers"/>
                <w:sz w:val="18"/>
              </w:rPr>
              <w:t>Branstad</w:t>
            </w:r>
          </w:p>
        </w:tc>
        <w:tc>
          <w:tcPr>
            <w:tcW w:w="1170" w:type="dxa"/>
          </w:tcPr>
          <w:p w:rsidR="00000000" w:rsidRDefault="00D87559">
            <w:pPr>
              <w:rPr>
                <w:rFonts w:ascii="Univers" w:hAnsi="Univers"/>
                <w:sz w:val="18"/>
              </w:rPr>
            </w:pPr>
            <w:r>
              <w:rPr>
                <w:rFonts w:ascii="Univers" w:hAnsi="Univers"/>
                <w:sz w:val="18"/>
              </w:rPr>
              <w:t xml:space="preserve">$91.1 mil </w:t>
            </w:r>
          </w:p>
        </w:tc>
        <w:tc>
          <w:tcPr>
            <w:tcW w:w="1080" w:type="dxa"/>
          </w:tcPr>
          <w:p w:rsidR="00000000" w:rsidRDefault="00D87559">
            <w:pPr>
              <w:jc w:val="center"/>
              <w:rPr>
                <w:rFonts w:ascii="Univers" w:hAnsi="Univers"/>
                <w:sz w:val="18"/>
              </w:rPr>
            </w:pPr>
            <w:r>
              <w:rPr>
                <w:rFonts w:ascii="Univers" w:hAnsi="Univers"/>
                <w:sz w:val="18"/>
              </w:rPr>
              <w:t>3.85%</w:t>
            </w:r>
          </w:p>
        </w:tc>
        <w:tc>
          <w:tcPr>
            <w:tcW w:w="3510" w:type="dxa"/>
          </w:tcPr>
          <w:p w:rsidR="00000000" w:rsidRDefault="00D87559">
            <w:pPr>
              <w:rPr>
                <w:rFonts w:ascii="Univers" w:hAnsi="Univers"/>
                <w:sz w:val="18"/>
              </w:rPr>
            </w:pPr>
            <w:r>
              <w:rPr>
                <w:rFonts w:ascii="Univers" w:hAnsi="Univers"/>
                <w:sz w:val="18"/>
              </w:rPr>
              <w:t>3.85% reduction amounted to $81.4 million.  A 1.0% Legislative reduction realized another $10.8 million.</w:t>
            </w:r>
          </w:p>
        </w:tc>
      </w:tr>
      <w:tr w:rsidR="00000000">
        <w:tblPrEx>
          <w:tblCellMar>
            <w:top w:w="0" w:type="dxa"/>
            <w:bottom w:w="0" w:type="dxa"/>
          </w:tblCellMar>
        </w:tblPrEx>
        <w:tc>
          <w:tcPr>
            <w:tcW w:w="1278" w:type="dxa"/>
          </w:tcPr>
          <w:p w:rsidR="00000000" w:rsidRDefault="00D87559">
            <w:pPr>
              <w:rPr>
                <w:rFonts w:ascii="Univers" w:hAnsi="Univers"/>
                <w:sz w:val="18"/>
              </w:rPr>
            </w:pPr>
            <w:r>
              <w:rPr>
                <w:rFonts w:ascii="Univers" w:hAnsi="Univers"/>
                <w:sz w:val="18"/>
              </w:rPr>
              <w:t>7/1/1991</w:t>
            </w:r>
          </w:p>
        </w:tc>
        <w:tc>
          <w:tcPr>
            <w:tcW w:w="810" w:type="dxa"/>
          </w:tcPr>
          <w:p w:rsidR="00000000" w:rsidRDefault="00D87559">
            <w:pPr>
              <w:rPr>
                <w:rFonts w:ascii="Univers" w:hAnsi="Univers"/>
                <w:sz w:val="18"/>
              </w:rPr>
            </w:pPr>
            <w:r>
              <w:rPr>
                <w:rFonts w:ascii="Univers" w:hAnsi="Univers"/>
                <w:sz w:val="18"/>
              </w:rPr>
              <w:t>1992</w:t>
            </w:r>
          </w:p>
        </w:tc>
        <w:tc>
          <w:tcPr>
            <w:tcW w:w="810" w:type="dxa"/>
          </w:tcPr>
          <w:p w:rsidR="00000000" w:rsidRDefault="00D87559">
            <w:pPr>
              <w:rPr>
                <w:rFonts w:ascii="Univers" w:hAnsi="Univers"/>
                <w:sz w:val="18"/>
              </w:rPr>
            </w:pPr>
            <w:r>
              <w:rPr>
                <w:rFonts w:ascii="Univers" w:hAnsi="Univers"/>
                <w:sz w:val="18"/>
              </w:rPr>
              <w:t>#42</w:t>
            </w:r>
          </w:p>
        </w:tc>
        <w:tc>
          <w:tcPr>
            <w:tcW w:w="990" w:type="dxa"/>
          </w:tcPr>
          <w:p w:rsidR="00000000" w:rsidRDefault="00D87559">
            <w:pPr>
              <w:rPr>
                <w:rFonts w:ascii="Univers" w:hAnsi="Univers"/>
                <w:sz w:val="18"/>
              </w:rPr>
            </w:pPr>
            <w:r>
              <w:rPr>
                <w:rFonts w:ascii="Univers" w:hAnsi="Univers"/>
                <w:sz w:val="18"/>
              </w:rPr>
              <w:t>Branstad</w:t>
            </w:r>
          </w:p>
        </w:tc>
        <w:tc>
          <w:tcPr>
            <w:tcW w:w="1170" w:type="dxa"/>
          </w:tcPr>
          <w:p w:rsidR="00000000" w:rsidRDefault="00D87559">
            <w:pPr>
              <w:rPr>
                <w:rFonts w:ascii="Univers" w:hAnsi="Univers"/>
                <w:sz w:val="18"/>
              </w:rPr>
            </w:pPr>
            <w:r>
              <w:rPr>
                <w:rFonts w:ascii="Univers" w:hAnsi="Univers"/>
                <w:sz w:val="18"/>
              </w:rPr>
              <w:t xml:space="preserve">$92.7 mil </w:t>
            </w:r>
          </w:p>
        </w:tc>
        <w:tc>
          <w:tcPr>
            <w:tcW w:w="1080" w:type="dxa"/>
          </w:tcPr>
          <w:p w:rsidR="00000000" w:rsidRDefault="00D87559">
            <w:pPr>
              <w:jc w:val="center"/>
              <w:rPr>
                <w:rFonts w:ascii="Univers" w:hAnsi="Univers"/>
                <w:sz w:val="18"/>
              </w:rPr>
            </w:pPr>
            <w:r>
              <w:rPr>
                <w:rFonts w:ascii="Univers" w:hAnsi="Univers"/>
                <w:sz w:val="18"/>
              </w:rPr>
              <w:t>3.25%</w:t>
            </w:r>
          </w:p>
        </w:tc>
        <w:tc>
          <w:tcPr>
            <w:tcW w:w="3510" w:type="dxa"/>
          </w:tcPr>
          <w:p w:rsidR="00000000" w:rsidRDefault="00D87559">
            <w:pPr>
              <w:rPr>
                <w:rFonts w:ascii="Univers" w:hAnsi="Univers"/>
                <w:sz w:val="18"/>
              </w:rPr>
            </w:pPr>
            <w:r>
              <w:rPr>
                <w:rFonts w:ascii="Univers" w:hAnsi="Univers"/>
                <w:sz w:val="18"/>
              </w:rPr>
              <w:t>3.25% across-the-board reduction amounted to $105.0 million.  The Governor implemented a two-phase “reduc</w:t>
            </w:r>
            <w:r>
              <w:rPr>
                <w:rFonts w:ascii="Univers" w:hAnsi="Univers"/>
                <w:sz w:val="18"/>
              </w:rPr>
              <w:t>tion in force” which resulted in 1,400 layoffs.</w:t>
            </w:r>
          </w:p>
        </w:tc>
      </w:tr>
      <w:tr w:rsidR="00000000">
        <w:tblPrEx>
          <w:tblCellMar>
            <w:top w:w="0" w:type="dxa"/>
            <w:bottom w:w="0" w:type="dxa"/>
          </w:tblCellMar>
        </w:tblPrEx>
        <w:tc>
          <w:tcPr>
            <w:tcW w:w="1278" w:type="dxa"/>
          </w:tcPr>
          <w:p w:rsidR="00000000" w:rsidRDefault="00D87559">
            <w:pPr>
              <w:rPr>
                <w:rFonts w:ascii="Univers" w:hAnsi="Univers"/>
                <w:sz w:val="18"/>
              </w:rPr>
            </w:pPr>
            <w:r>
              <w:rPr>
                <w:rFonts w:ascii="Univers" w:hAnsi="Univers"/>
                <w:sz w:val="18"/>
              </w:rPr>
              <w:t>4/8/1991</w:t>
            </w:r>
          </w:p>
        </w:tc>
        <w:tc>
          <w:tcPr>
            <w:tcW w:w="810" w:type="dxa"/>
          </w:tcPr>
          <w:p w:rsidR="00000000" w:rsidRDefault="00D87559">
            <w:pPr>
              <w:rPr>
                <w:rFonts w:ascii="Univers" w:hAnsi="Univers"/>
                <w:sz w:val="18"/>
              </w:rPr>
            </w:pPr>
            <w:r>
              <w:rPr>
                <w:rFonts w:ascii="Univers" w:hAnsi="Univers"/>
                <w:sz w:val="18"/>
              </w:rPr>
              <w:t>1992</w:t>
            </w:r>
          </w:p>
        </w:tc>
        <w:tc>
          <w:tcPr>
            <w:tcW w:w="810" w:type="dxa"/>
          </w:tcPr>
          <w:p w:rsidR="00000000" w:rsidRDefault="00D87559">
            <w:pPr>
              <w:rPr>
                <w:rFonts w:ascii="Univers" w:hAnsi="Univers"/>
                <w:sz w:val="18"/>
              </w:rPr>
            </w:pPr>
            <w:r>
              <w:rPr>
                <w:rFonts w:ascii="Univers" w:hAnsi="Univers"/>
                <w:sz w:val="18"/>
              </w:rPr>
              <w:t>#43</w:t>
            </w:r>
          </w:p>
        </w:tc>
        <w:tc>
          <w:tcPr>
            <w:tcW w:w="990" w:type="dxa"/>
          </w:tcPr>
          <w:p w:rsidR="00000000" w:rsidRDefault="00D87559">
            <w:pPr>
              <w:rPr>
                <w:rFonts w:ascii="Univers" w:hAnsi="Univers"/>
                <w:sz w:val="18"/>
              </w:rPr>
            </w:pPr>
            <w:r>
              <w:rPr>
                <w:rFonts w:ascii="Univers" w:hAnsi="Univers"/>
                <w:sz w:val="18"/>
              </w:rPr>
              <w:t>Branstad</w:t>
            </w:r>
          </w:p>
        </w:tc>
        <w:tc>
          <w:tcPr>
            <w:tcW w:w="1170" w:type="dxa"/>
          </w:tcPr>
          <w:p w:rsidR="00000000" w:rsidRDefault="00D87559">
            <w:pPr>
              <w:rPr>
                <w:rFonts w:ascii="Univers" w:hAnsi="Univers"/>
                <w:sz w:val="18"/>
              </w:rPr>
            </w:pPr>
            <w:r>
              <w:rPr>
                <w:rFonts w:ascii="Univers" w:hAnsi="Univers"/>
                <w:sz w:val="18"/>
              </w:rPr>
              <w:t xml:space="preserve">$15.7 mil </w:t>
            </w:r>
          </w:p>
        </w:tc>
        <w:tc>
          <w:tcPr>
            <w:tcW w:w="1080" w:type="dxa"/>
          </w:tcPr>
          <w:p w:rsidR="00000000" w:rsidRDefault="00D87559">
            <w:pPr>
              <w:jc w:val="center"/>
              <w:rPr>
                <w:rFonts w:ascii="Univers" w:hAnsi="Univers"/>
                <w:sz w:val="18"/>
              </w:rPr>
            </w:pPr>
            <w:r>
              <w:rPr>
                <w:rFonts w:ascii="Univers" w:hAnsi="Univers"/>
                <w:sz w:val="18"/>
              </w:rPr>
              <w:t>.62%</w:t>
            </w:r>
          </w:p>
        </w:tc>
        <w:tc>
          <w:tcPr>
            <w:tcW w:w="3510" w:type="dxa"/>
          </w:tcPr>
          <w:p w:rsidR="00000000" w:rsidRDefault="00D87559">
            <w:pPr>
              <w:rPr>
                <w:rFonts w:ascii="Univers" w:hAnsi="Univers"/>
                <w:sz w:val="18"/>
              </w:rPr>
            </w:pPr>
            <w:r>
              <w:rPr>
                <w:rFonts w:ascii="Univers" w:hAnsi="Univers"/>
                <w:sz w:val="18"/>
              </w:rPr>
              <w:t>The second across-the-board reduction for FY 1992, amounted to $19.1 million.  The General Assembly restored approximately $14.9 million of the reductions.</w:t>
            </w:r>
          </w:p>
        </w:tc>
      </w:tr>
    </w:tbl>
    <w:p w:rsidR="00000000" w:rsidRDefault="00D87559">
      <w:pPr>
        <w:pStyle w:val="Header"/>
        <w:tabs>
          <w:tab w:val="clear" w:pos="4320"/>
          <w:tab w:val="clear" w:pos="8640"/>
        </w:tabs>
      </w:pPr>
      <w:r>
        <w:rPr>
          <w:noProof/>
          <w:color w:val="FFFFFF"/>
        </w:rPr>
        <w:pict>
          <v:shape id="_x0000_s1137" type="#_x0000_t202" style="position:absolute;margin-left:13.05pt;margin-top:342.05pt;width:342pt;height:54pt;z-index:251673600;mso-position-horizontal-relative:text;mso-position-vertical-relative:text" stroked="f">
            <v:textbox>
              <w:txbxContent>
                <w:p w:rsidR="00000000" w:rsidRDefault="00D87559">
                  <w:pPr>
                    <w:tabs>
                      <w:tab w:val="left" w:pos="6660"/>
                    </w:tabs>
                  </w:pPr>
                  <w:r>
                    <w:t xml:space="preserve">This document can be found on the LFB web site: </w:t>
                  </w:r>
                  <w:r>
                    <w:t xml:space="preserve"> </w:t>
                  </w:r>
                  <w:hyperlink r:id="rId52" w:history="1">
                    <w:r>
                      <w:rPr>
                        <w:rStyle w:val="Hyperlink"/>
                      </w:rPr>
                      <w:t>http://staffweb.legis.state.ia.u</w:t>
                    </w:r>
                    <w:r>
                      <w:rPr>
                        <w:rStyle w:val="Hyperlink"/>
                      </w:rPr>
                      <w:t>s</w:t>
                    </w:r>
                    <w:r>
                      <w:rPr>
                        <w:rStyle w:val="Hyperlink"/>
                      </w:rPr>
                      <w:t>/lf</w:t>
                    </w:r>
                    <w:r>
                      <w:rPr>
                        <w:rStyle w:val="Hyperlink"/>
                      </w:rPr>
                      <w:t>b</w:t>
                    </w:r>
                    <w:r>
                      <w:rPr>
                        <w:rStyle w:val="Hyperlink"/>
                      </w:rPr>
                      <w:t>/fupdate/fupdate.htm</w:t>
                    </w:r>
                  </w:hyperlink>
                </w:p>
                <w:p w:rsidR="00000000" w:rsidRDefault="00D87559"/>
              </w:txbxContent>
            </v:textbox>
          </v:shape>
        </w:pict>
      </w:r>
      <w:r>
        <w:rPr>
          <w:noProof/>
          <w:color w:val="FFFFFF"/>
        </w:rPr>
        <w:pict>
          <v:shape id="_x0000_s1136" type="#_x0000_t202" style="position:absolute;margin-left:-139.95pt;margin-top:297.05pt;width:513pt;height:36pt;z-index:251672576;mso-position-horizontal-relative:text;mso-position-vertical-relative:text" stroked="f">
            <v:textbox style="mso-next-textbox:#_x0000_s1136">
              <w:txbxContent>
                <w:p w:rsidR="00000000" w:rsidRDefault="00D87559">
                  <w:pPr>
                    <w:pStyle w:val="Contactup"/>
                  </w:pPr>
                  <w:r>
                    <w:t xml:space="preserve">                                                STAFF CONTACT:  Holly Lyons (Ext. 17845)</w:t>
                  </w:r>
                </w:p>
              </w:txbxContent>
            </v:textbox>
          </v:shape>
        </w:pict>
      </w:r>
    </w:p>
    <w:sectPr w:rsidR="00000000">
      <w:headerReference w:type="even" r:id="rId53"/>
      <w:headerReference w:type="default" r:id="rId54"/>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87559">
      <w:r>
        <w:separator/>
      </w:r>
    </w:p>
  </w:endnote>
  <w:endnote w:type="continuationSeparator" w:id="1">
    <w:p w:rsidR="00000000" w:rsidRDefault="00D87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87559">
      <w:r>
        <w:separator/>
      </w:r>
    </w:p>
  </w:footnote>
  <w:footnote w:type="continuationSeparator" w:id="1">
    <w:p w:rsidR="00000000" w:rsidRDefault="00D87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7559">
    <w:pPr>
      <w:pStyle w:val="PageE"/>
    </w:pPr>
    <w:r>
      <w:t>FISC</w:t>
    </w:r>
    <w:r>
      <w:t>AL UPDATE</w:t>
    </w:r>
  </w:p>
  <w:p w:rsidR="00000000" w:rsidRDefault="00D87559">
    <w:pPr>
      <w:pStyle w:val="PageE"/>
    </w:pPr>
    <w:bookmarkStart w:id="9" w:name="HeaderEvenLockDate"/>
    <w:r>
      <w:rPr>
        <w:noProof/>
      </w:rPr>
      <w:pict>
        <v:line id="_x0000_s2049" style="position:absolute;left:0;text-align:left;z-index:251657216" from="-2in,21.4pt" to="345.6pt,21.4pt" o:allowincell="f" strokeweight="2pt"/>
      </w:pict>
    </w:r>
    <w:r>
      <w:rPr>
        <w:noProof/>
      </w:rPr>
      <w:t>March 22, 2001</w:t>
    </w:r>
    <w:bookmarkEnd w:id="9"/>
    <w:r>
      <w:tab/>
    </w:r>
    <w:r>
      <w:rPr>
        <w:b w:val="0"/>
      </w:rPr>
      <w:fldChar w:fldCharType="begin"/>
    </w:r>
    <w:r>
      <w:rPr>
        <w:b w:val="0"/>
      </w:rPr>
      <w:instrText xml:space="preserve"> PAGE </w:instrText>
    </w:r>
    <w:r>
      <w:rPr>
        <w:b w:val="0"/>
      </w:rPr>
      <w:fldChar w:fldCharType="separate"/>
    </w:r>
    <w:r>
      <w:rPr>
        <w:b w:val="0"/>
        <w:noProof/>
      </w:rPr>
      <w:t>22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7559">
    <w:pPr>
      <w:pStyle w:val="PageO"/>
      <w:rPr>
        <w:b/>
      </w:rPr>
    </w:pPr>
    <w:r>
      <w:rPr>
        <w:b/>
      </w:rPr>
      <w:t>FISCAL UPDATE</w:t>
    </w:r>
  </w:p>
  <w:p w:rsidR="00000000" w:rsidRDefault="00D87559">
    <w:pPr>
      <w:pStyle w:val="PageO"/>
      <w:tabs>
        <w:tab w:val="left" w:pos="2160"/>
      </w:tabs>
      <w:rPr>
        <w:b/>
      </w:rPr>
    </w:pPr>
    <w:r>
      <w:rPr>
        <w:b/>
        <w:noProof/>
      </w:rPr>
      <w:pict>
        <v:line id="_x0000_s2050" style="position:absolute;left:0;text-align:left;z-index:251658240" from="-140.4pt,21.4pt" to="349.2pt,21.4pt" o:allowincell="f" strokeweight="2pt"/>
      </w:pict>
    </w:r>
    <w:r>
      <w:rPr>
        <w:b/>
      </w:rPr>
      <w:tab/>
    </w:r>
    <w:r>
      <w:fldChar w:fldCharType="begin"/>
    </w:r>
    <w:r>
      <w:instrText xml:space="preserve"> PAGE </w:instrText>
    </w:r>
    <w:r>
      <w:fldChar w:fldCharType="separate"/>
    </w:r>
    <w:r>
      <w:rPr>
        <w:noProof/>
      </w:rPr>
      <w:t>21</w:t>
    </w:r>
    <w:r>
      <w:fldChar w:fldCharType="end"/>
    </w:r>
    <w:r>
      <w:t xml:space="preserve">  </w:t>
    </w:r>
    <w:r>
      <w:rPr>
        <w:b/>
      </w:rPr>
      <w:tab/>
      <w:t xml:space="preserve">                                   </w:t>
    </w:r>
    <w:r>
      <w:rPr>
        <w:b/>
        <w:noProof/>
      </w:rPr>
      <w:t>March 22,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050B175E"/>
    <w:multiLevelType w:val="hybridMultilevel"/>
    <w:tmpl w:val="93E2DB5E"/>
    <w:lvl w:ilvl="0">
      <w:start w:val="1"/>
      <w:numFmt w:val="decimal"/>
      <w:lvlText w:val="%1."/>
      <w:lvlJc w:val="left"/>
      <w:pPr>
        <w:tabs>
          <w:tab w:val="num" w:pos="780"/>
        </w:tabs>
        <w:ind w:left="780" w:hanging="78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AD94A23"/>
    <w:multiLevelType w:val="singleLevel"/>
    <w:tmpl w:val="352E6BE2"/>
    <w:lvl w:ilvl="0">
      <w:start w:val="1"/>
      <w:numFmt w:val="bullet"/>
      <w:lvlText w:val=""/>
      <w:lvlJc w:val="left"/>
      <w:pPr>
        <w:tabs>
          <w:tab w:val="num" w:pos="360"/>
        </w:tabs>
        <w:ind w:left="360" w:hanging="360"/>
      </w:pPr>
      <w:rPr>
        <w:rFonts w:ascii="Symbol" w:hAnsi="Symbol" w:hint="default"/>
        <w:sz w:val="18"/>
      </w:rPr>
    </w:lvl>
  </w:abstractNum>
  <w:abstractNum w:abstractNumId="3">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4">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5">
    <w:nsid w:val="182C7DD4"/>
    <w:multiLevelType w:val="singleLevel"/>
    <w:tmpl w:val="223259B8"/>
    <w:lvl w:ilvl="0">
      <w:start w:val="1"/>
      <w:numFmt w:val="decimal"/>
      <w:lvlText w:val="%1."/>
      <w:lvlJc w:val="left"/>
      <w:pPr>
        <w:tabs>
          <w:tab w:val="num" w:pos="360"/>
        </w:tabs>
        <w:ind w:left="360" w:hanging="360"/>
      </w:pPr>
    </w:lvl>
  </w:abstractNum>
  <w:abstractNum w:abstractNumId="6">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7">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8">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9">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10">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1">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2">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3">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4">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6"/>
  </w:num>
  <w:num w:numId="2">
    <w:abstractNumId w:val="7"/>
  </w:num>
  <w:num w:numId="3">
    <w:abstractNumId w:val="7"/>
  </w:num>
  <w:num w:numId="4">
    <w:abstractNumId w:val="7"/>
  </w:num>
  <w:num w:numId="5">
    <w:abstractNumId w:val="7"/>
  </w:num>
  <w:num w:numId="6">
    <w:abstractNumId w:val="4"/>
  </w:num>
  <w:num w:numId="7">
    <w:abstractNumId w:val="7"/>
  </w:num>
  <w:num w:numId="8">
    <w:abstractNumId w:val="7"/>
  </w:num>
  <w:num w:numId="9">
    <w:abstractNumId w:val="11"/>
  </w:num>
  <w:num w:numId="10">
    <w:abstractNumId w:val="8"/>
  </w:num>
  <w:num w:numId="11">
    <w:abstractNumId w:val="3"/>
  </w:num>
  <w:num w:numId="12">
    <w:abstractNumId w:val="13"/>
  </w:num>
  <w:num w:numId="13">
    <w:abstractNumId w:val="14"/>
  </w:num>
  <w:num w:numId="14">
    <w:abstractNumId w:val="12"/>
  </w:num>
  <w:num w:numId="15">
    <w:abstractNumId w:val="1"/>
  </w:num>
  <w:num w:numId="16">
    <w:abstractNumId w:val="10"/>
  </w:num>
  <w:num w:numId="17">
    <w:abstractNumId w:val="2"/>
  </w:num>
  <w:num w:numId="18">
    <w:abstractNumId w:val="5"/>
  </w:num>
  <w:num w:numId="19">
    <w:abstractNumId w:val="9"/>
  </w:num>
  <w:num w:numId="20">
    <w:abstractNumId w:val="0"/>
  </w:num>
  <w:num w:numId="21">
    <w:abstractNumId w:val="14"/>
    <w:lvlOverride w:ilvl="0"/>
  </w:num>
  <w:num w:numId="22">
    <w:abstractNumId w:val="7"/>
    <w:lvlOverride w:ilvl="0"/>
  </w:num>
  <w:num w:numId="23">
    <w:abstractNumId w:val="4"/>
    <w:lvlOverride w:ilvl="0"/>
  </w:num>
  <w:num w:numId="24">
    <w:abstractNumId w:val="12"/>
    <w:lvlOverride w:ilvl="0"/>
  </w:num>
  <w:num w:numId="25">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87559"/>
    <w:rsid w:val="00D87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Univers" w:hAnsi="Univers" w:cs="Arial"/>
      <w:b/>
      <w:b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20"/>
      </w:numPr>
      <w:tabs>
        <w:tab w:val="clear" w:pos="792"/>
        <w:tab w:val="num" w:pos="720"/>
      </w:tabs>
      <w:ind w:left="720" w:hanging="360"/>
    </w:pPr>
  </w:style>
  <w:style w:type="paragraph" w:customStyle="1" w:styleId="DEPTOBJ">
    <w:name w:val="DEPTOBJ"/>
    <w:pPr>
      <w:spacing w:after="240"/>
    </w:pPr>
    <w:rPr>
      <w:rFonts w:ascii="Univers" w:hAnsi="Univers"/>
      <w:b/>
      <w:sz w:val="26"/>
      <w:u w:val="single"/>
    </w:rPr>
  </w:style>
  <w:style w:type="character" w:styleId="Hyperlink">
    <w:name w:val="Hyperlink"/>
    <w:basedOn w:val="DefaultParagraphFont"/>
    <w:semiHidden/>
    <w:rPr>
      <w:color w:val="0000FF"/>
      <w:u w:val="single"/>
    </w:rPr>
  </w:style>
  <w:style w:type="paragraph" w:styleId="BodyText">
    <w:name w:val="Body Text"/>
    <w:basedOn w:val="Normal"/>
    <w:semiHidden/>
    <w:pPr>
      <w:framePr w:w="511" w:h="1003" w:hSpace="180" w:wrap="around" w:vAnchor="text" w:hAnchor="page" w:x="1497" w:y="376"/>
      <w:pBdr>
        <w:top w:val="single" w:sz="12" w:space="5" w:color="auto" w:shadow="1"/>
        <w:left w:val="single" w:sz="12" w:space="5" w:color="auto" w:shadow="1"/>
        <w:bottom w:val="single" w:sz="12" w:space="5" w:color="auto" w:shadow="1"/>
        <w:right w:val="single" w:sz="12" w:space="5" w:color="auto" w:shadow="1"/>
      </w:pBdr>
    </w:pPr>
    <w:rPr>
      <w:sz w:val="16"/>
    </w:rPr>
  </w:style>
  <w:style w:type="character" w:styleId="FollowedHyperlink">
    <w:name w:val="FollowedHyperlink"/>
    <w:basedOn w:val="DefaultParagraphFont"/>
    <w:semiHidden/>
    <w:rPr>
      <w:color w:val="800080"/>
      <w:u w:val="single"/>
    </w:rPr>
  </w:style>
  <w:style w:type="paragraph" w:styleId="Caption">
    <w:name w:val="caption"/>
    <w:basedOn w:val="Normal"/>
    <w:next w:val="Normal"/>
    <w:qFormat/>
    <w:pPr>
      <w:framePr w:w="508" w:h="1009" w:hSpace="180" w:wrap="around" w:vAnchor="text" w:hAnchor="page" w:x="9441" w:y="3720"/>
      <w:pBdr>
        <w:top w:val="single" w:sz="12" w:space="5" w:color="auto" w:shadow="1"/>
        <w:left w:val="single" w:sz="12" w:space="5" w:color="auto" w:shadow="1"/>
        <w:bottom w:val="single" w:sz="12" w:space="5" w:color="auto" w:shadow="1"/>
        <w:right w:val="single" w:sz="12" w:space="5" w:color="auto" w:shadow="1"/>
      </w:pBdr>
    </w:pPr>
    <w:rPr>
      <w:rFonts w:ascii="Tahoma" w:hAnsi="Tahoma"/>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oleObject" Target="embeddings/Microsoft_Office_Excel_97-2003_Worksheet4.xls"/><Relationship Id="rId39" Type="http://schemas.openxmlformats.org/officeDocument/2006/relationships/image" Target="media/image25.wmf"/><Relationship Id="rId21" Type="http://schemas.openxmlformats.org/officeDocument/2006/relationships/oleObject" Target="embeddings/Microsoft_Office_Excel_97-2003_Worksheet3.xls"/><Relationship Id="rId34" Type="http://schemas.openxmlformats.org/officeDocument/2006/relationships/oleObject" Target="embeddings/oleObject3.bin"/><Relationship Id="rId42" Type="http://schemas.openxmlformats.org/officeDocument/2006/relationships/image" Target="media/image26.wmf"/><Relationship Id="rId47" Type="http://schemas.openxmlformats.org/officeDocument/2006/relationships/chart" Target="charts/chart1.xml"/><Relationship Id="rId50" Type="http://schemas.openxmlformats.org/officeDocument/2006/relationships/image" Target="media/image32.wmf"/><Relationship Id="rId55" Type="http://schemas.openxmlformats.org/officeDocument/2006/relationships/fontTable" Target="fontTable.xml"/><Relationship Id="rId7" Type="http://schemas.openxmlformats.org/officeDocument/2006/relationships/hyperlink" Target="http://staffweb.legis.state.ia.us/lfb/" TargetMode="External"/><Relationship Id="rId12" Type="http://schemas.openxmlformats.org/officeDocument/2006/relationships/oleObject" Target="embeddings/Microsoft_Office_Excel_97-2003_Worksheet1.xls"/><Relationship Id="rId17" Type="http://schemas.openxmlformats.org/officeDocument/2006/relationships/oleObject" Target="embeddings/Microsoft_Office_Excel_97-2003_Worksheet2.xls"/><Relationship Id="rId25" Type="http://schemas.openxmlformats.org/officeDocument/2006/relationships/image" Target="media/image14.wmf"/><Relationship Id="rId33" Type="http://schemas.openxmlformats.org/officeDocument/2006/relationships/image" Target="media/image20.wmf"/><Relationship Id="rId38" Type="http://schemas.openxmlformats.org/officeDocument/2006/relationships/image" Target="media/image24.wmf"/><Relationship Id="rId46"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image" Target="media/image17.wmf"/><Relationship Id="rId41" Type="http://schemas.openxmlformats.org/officeDocument/2006/relationships/hyperlink" Target="http://www.rockinst.org/publications/fiscal_studies/RR_43.PDF"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image" Target="media/image23.wmf"/><Relationship Id="rId40" Type="http://schemas.openxmlformats.org/officeDocument/2006/relationships/hyperlink" Target="http://www.ncsl.org/programs/fiscal/upsfo2001.htm" TargetMode="External"/><Relationship Id="rId45" Type="http://schemas.openxmlformats.org/officeDocument/2006/relationships/image" Target="media/image29.wmf"/><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image" Target="media/image16.wmf"/><Relationship Id="rId36" Type="http://schemas.openxmlformats.org/officeDocument/2006/relationships/image" Target="media/image22.wmf"/><Relationship Id="rId49"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image" Target="media/image18.wmf"/><Relationship Id="rId44" Type="http://schemas.openxmlformats.org/officeDocument/2006/relationships/image" Target="media/image28.wmf"/><Relationship Id="rId52" Type="http://schemas.openxmlformats.org/officeDocument/2006/relationships/hyperlink" Target="http://staffweb.legis.state.ia.us/lfb/fupdate/fupdate.htm"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1.wmf"/><Relationship Id="rId27" Type="http://schemas.openxmlformats.org/officeDocument/2006/relationships/image" Target="media/image15.wmf"/><Relationship Id="rId30" Type="http://schemas.openxmlformats.org/officeDocument/2006/relationships/oleObject" Target="embeddings/oleObject2.bin"/><Relationship Id="rId35" Type="http://schemas.openxmlformats.org/officeDocument/2006/relationships/image" Target="media/image21.wmf"/><Relationship Id="rId43" Type="http://schemas.openxmlformats.org/officeDocument/2006/relationships/image" Target="media/image27.wmf"/><Relationship Id="rId48" Type="http://schemas.openxmlformats.org/officeDocument/2006/relationships/image" Target="media/image31.wmf"/><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33.wmf"/><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t>General Fund Revenue and Appropriation Annual Percentage Increases</a:t>
            </a:r>
          </a:p>
        </c:rich>
      </c:tx>
      <c:layout>
        <c:manualLayout>
          <c:xMode val="edge"/>
          <c:yMode val="edge"/>
          <c:x val="0.11067193675889328"/>
          <c:y val="2.1126760563380278E-2"/>
        </c:manualLayout>
      </c:layout>
      <c:spPr>
        <a:noFill/>
        <a:ln w="25400">
          <a:noFill/>
        </a:ln>
      </c:spPr>
    </c:title>
    <c:plotArea>
      <c:layout>
        <c:manualLayout>
          <c:layoutTarget val="inner"/>
          <c:xMode val="edge"/>
          <c:yMode val="edge"/>
          <c:x val="5.5335968379446654E-2"/>
          <c:y val="0.12676056338028169"/>
          <c:w val="0.91699604743083019"/>
          <c:h val="0.70070422535211263"/>
        </c:manualLayout>
      </c:layout>
      <c:lineChart>
        <c:grouping val="standard"/>
        <c:ser>
          <c:idx val="0"/>
          <c:order val="0"/>
          <c:tx>
            <c:strRef>
              <c:f>'Revenues v Expend.'!$G$1</c:f>
              <c:strCache>
                <c:ptCount val="1"/>
                <c:pt idx="0">
                  <c:v>Percentage Revenue Growth</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'Revenues v Expend.'!$A$2:$A$32</c:f>
              <c:strCache>
                <c:ptCount val="29"/>
                <c:pt idx="0">
                  <c:v> FY 1974</c:v>
                </c:pt>
                <c:pt idx="1">
                  <c:v> FY 1975</c:v>
                </c:pt>
                <c:pt idx="2">
                  <c:v> FY 1976</c:v>
                </c:pt>
                <c:pt idx="3">
                  <c:v> FY 1977</c:v>
                </c:pt>
                <c:pt idx="4">
                  <c:v> FY 1978</c:v>
                </c:pt>
                <c:pt idx="5">
                  <c:v> FY 1979</c:v>
                </c:pt>
                <c:pt idx="6">
                  <c:v> FY 1980</c:v>
                </c:pt>
                <c:pt idx="7">
                  <c:v> FY 1981</c:v>
                </c:pt>
                <c:pt idx="8">
                  <c:v> FY 1982</c:v>
                </c:pt>
                <c:pt idx="9">
                  <c:v> FY 1983</c:v>
                </c:pt>
                <c:pt idx="10">
                  <c:v> FY 1984</c:v>
                </c:pt>
                <c:pt idx="11">
                  <c:v> FY 1985</c:v>
                </c:pt>
                <c:pt idx="12">
                  <c:v> FY 1986</c:v>
                </c:pt>
                <c:pt idx="13">
                  <c:v> FY 1987</c:v>
                </c:pt>
                <c:pt idx="14">
                  <c:v> FY 1988</c:v>
                </c:pt>
                <c:pt idx="15">
                  <c:v> FY 1989</c:v>
                </c:pt>
                <c:pt idx="16">
                  <c:v> FY 1990</c:v>
                </c:pt>
                <c:pt idx="17">
                  <c:v> FY 1991</c:v>
                </c:pt>
                <c:pt idx="18">
                  <c:v> FY 1992</c:v>
                </c:pt>
                <c:pt idx="19">
                  <c:v> FY 1993</c:v>
                </c:pt>
                <c:pt idx="20">
                  <c:v> FY 1994</c:v>
                </c:pt>
                <c:pt idx="21">
                  <c:v> FY 1995</c:v>
                </c:pt>
                <c:pt idx="22">
                  <c:v> FY 1996</c:v>
                </c:pt>
                <c:pt idx="23">
                  <c:v> FY 1997</c:v>
                </c:pt>
                <c:pt idx="24">
                  <c:v> FY 1998</c:v>
                </c:pt>
                <c:pt idx="25">
                  <c:v> FY 1999</c:v>
                </c:pt>
                <c:pt idx="26">
                  <c:v> FY 2000</c:v>
                </c:pt>
                <c:pt idx="27">
                  <c:v> Est. FY 2001</c:v>
                </c:pt>
                <c:pt idx="28">
                  <c:v> Est. FY 2002</c:v>
                </c:pt>
              </c:strCache>
            </c:strRef>
          </c:cat>
          <c:val>
            <c:numRef>
              <c:f>'Revenues v Expend.'!$G$2:$G$32</c:f>
              <c:numCache>
                <c:formatCode>0.0%</c:formatCode>
                <c:ptCount val="29"/>
                <c:pt idx="0">
                  <c:v>0.21939743770237935</c:v>
                </c:pt>
                <c:pt idx="1">
                  <c:v>6.6931597505247367E-2</c:v>
                </c:pt>
                <c:pt idx="2">
                  <c:v>0.10770903896722241</c:v>
                </c:pt>
                <c:pt idx="3">
                  <c:v>0.11778790498659221</c:v>
                </c:pt>
                <c:pt idx="4">
                  <c:v>9.178583102171077E-2</c:v>
                </c:pt>
                <c:pt idx="5">
                  <c:v>0.14650335683827234</c:v>
                </c:pt>
                <c:pt idx="6">
                  <c:v>8.6589785785950779E-2</c:v>
                </c:pt>
                <c:pt idx="7">
                  <c:v>6.4572653471937524E-2</c:v>
                </c:pt>
                <c:pt idx="8">
                  <c:v>5.8877780936532634E-2</c:v>
                </c:pt>
                <c:pt idx="9">
                  <c:v>1.5095324792882449E-2</c:v>
                </c:pt>
                <c:pt idx="10">
                  <c:v>3.9813566936208522E-2</c:v>
                </c:pt>
                <c:pt idx="11">
                  <c:v>0.11859372468542408</c:v>
                </c:pt>
                <c:pt idx="12">
                  <c:v>3.8816202384975636E-2</c:v>
                </c:pt>
                <c:pt idx="13">
                  <c:v>5.800065064832461E-2</c:v>
                </c:pt>
                <c:pt idx="14">
                  <c:v>5.4293872172194169E-2</c:v>
                </c:pt>
                <c:pt idx="15">
                  <c:v>0.11412024498979224</c:v>
                </c:pt>
                <c:pt idx="16">
                  <c:v>4.7270007479431671E-2</c:v>
                </c:pt>
                <c:pt idx="17">
                  <c:v>7.4667904585059355E-2</c:v>
                </c:pt>
                <c:pt idx="18">
                  <c:v>5.1005150357202211E-2</c:v>
                </c:pt>
                <c:pt idx="19">
                  <c:v>8.3496680366740531E-2</c:v>
                </c:pt>
                <c:pt idx="20">
                  <c:v>6.0809430714014796E-2</c:v>
                </c:pt>
                <c:pt idx="21">
                  <c:v>6.2824920918718177E-2</c:v>
                </c:pt>
                <c:pt idx="22">
                  <c:v>5.2744636248350137E-2</c:v>
                </c:pt>
                <c:pt idx="23">
                  <c:v>5.7649285837205307E-2</c:v>
                </c:pt>
                <c:pt idx="24">
                  <c:v>2.6428338989354046E-2</c:v>
                </c:pt>
                <c:pt idx="25">
                  <c:v>-1.7663443465658626E-3</c:v>
                </c:pt>
                <c:pt idx="26">
                  <c:v>4.7662258115741554E-2</c:v>
                </c:pt>
                <c:pt idx="27">
                  <c:v>1.3403490537438724E-2</c:v>
                </c:pt>
                <c:pt idx="28">
                  <c:v>3.1024978098758815E-2</c:v>
                </c:pt>
              </c:numCache>
            </c:numRef>
          </c:val>
        </c:ser>
        <c:ser>
          <c:idx val="1"/>
          <c:order val="1"/>
          <c:tx>
            <c:strRef>
              <c:f>'Revenues v Expend.'!$K$1</c:f>
              <c:strCache>
                <c:ptCount val="1"/>
                <c:pt idx="0">
                  <c:v>Percentage Appropriations Growth</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'Revenues v Expend.'!$A$2:$A$32</c:f>
              <c:strCache>
                <c:ptCount val="29"/>
                <c:pt idx="0">
                  <c:v> FY 1974</c:v>
                </c:pt>
                <c:pt idx="1">
                  <c:v> FY 1975</c:v>
                </c:pt>
                <c:pt idx="2">
                  <c:v> FY 1976</c:v>
                </c:pt>
                <c:pt idx="3">
                  <c:v> FY 1977</c:v>
                </c:pt>
                <c:pt idx="4">
                  <c:v> FY 1978</c:v>
                </c:pt>
                <c:pt idx="5">
                  <c:v> FY 1979</c:v>
                </c:pt>
                <c:pt idx="6">
                  <c:v> FY 1980</c:v>
                </c:pt>
                <c:pt idx="7">
                  <c:v> FY 1981</c:v>
                </c:pt>
                <c:pt idx="8">
                  <c:v> FY 1982</c:v>
                </c:pt>
                <c:pt idx="9">
                  <c:v> FY 1983</c:v>
                </c:pt>
                <c:pt idx="10">
                  <c:v> FY 1984</c:v>
                </c:pt>
                <c:pt idx="11">
                  <c:v> FY 1985</c:v>
                </c:pt>
                <c:pt idx="12">
                  <c:v> FY 1986</c:v>
                </c:pt>
                <c:pt idx="13">
                  <c:v> FY 1987</c:v>
                </c:pt>
                <c:pt idx="14">
                  <c:v> FY 1988</c:v>
                </c:pt>
                <c:pt idx="15">
                  <c:v> FY 1989</c:v>
                </c:pt>
                <c:pt idx="16">
                  <c:v> FY 1990</c:v>
                </c:pt>
                <c:pt idx="17">
                  <c:v> FY 1991</c:v>
                </c:pt>
                <c:pt idx="18">
                  <c:v> FY 1992</c:v>
                </c:pt>
                <c:pt idx="19">
                  <c:v> FY 1993</c:v>
                </c:pt>
                <c:pt idx="20">
                  <c:v> FY 1994</c:v>
                </c:pt>
                <c:pt idx="21">
                  <c:v> FY 1995</c:v>
                </c:pt>
                <c:pt idx="22">
                  <c:v> FY 1996</c:v>
                </c:pt>
                <c:pt idx="23">
                  <c:v> FY 1997</c:v>
                </c:pt>
                <c:pt idx="24">
                  <c:v> FY 1998</c:v>
                </c:pt>
                <c:pt idx="25">
                  <c:v> FY 1999</c:v>
                </c:pt>
                <c:pt idx="26">
                  <c:v> FY 2000</c:v>
                </c:pt>
                <c:pt idx="27">
                  <c:v> Est. FY 2001</c:v>
                </c:pt>
                <c:pt idx="28">
                  <c:v> Est. FY 2002</c:v>
                </c:pt>
              </c:strCache>
            </c:strRef>
          </c:cat>
          <c:val>
            <c:numRef>
              <c:f>'Revenues v Expend.'!$K$2:$K$32</c:f>
              <c:numCache>
                <c:formatCode>0.0%</c:formatCode>
                <c:ptCount val="29"/>
                <c:pt idx="1">
                  <c:v>0.12885662431941911</c:v>
                </c:pt>
                <c:pt idx="2">
                  <c:v>0.23690858980248058</c:v>
                </c:pt>
                <c:pt idx="3">
                  <c:v>0.12979296258471851</c:v>
                </c:pt>
                <c:pt idx="4">
                  <c:v>7.1739666365354449E-2</c:v>
                </c:pt>
                <c:pt idx="5">
                  <c:v>8.2579358994019386E-2</c:v>
                </c:pt>
                <c:pt idx="6">
                  <c:v>0.2283447836249024</c:v>
                </c:pt>
                <c:pt idx="7">
                  <c:v>-5.8755693939918113E-2</c:v>
                </c:pt>
                <c:pt idx="8">
                  <c:v>7.9759862778730595E-2</c:v>
                </c:pt>
                <c:pt idx="9">
                  <c:v>6.1443322364688635E-2</c:v>
                </c:pt>
                <c:pt idx="10">
                  <c:v>5.649687316264896E-2</c:v>
                </c:pt>
                <c:pt idx="11">
                  <c:v>5.6662956592127944E-2</c:v>
                </c:pt>
                <c:pt idx="12">
                  <c:v>5.6688690989179502E-2</c:v>
                </c:pt>
                <c:pt idx="13">
                  <c:v>-7.6121431807885118E-3</c:v>
                </c:pt>
                <c:pt idx="14">
                  <c:v>0.10597205734636117</c:v>
                </c:pt>
                <c:pt idx="15">
                  <c:v>0.10122610741856899</c:v>
                </c:pt>
                <c:pt idx="16">
                  <c:v>6.9690721649484658E-2</c:v>
                </c:pt>
                <c:pt idx="17">
                  <c:v>9.725240064484475E-2</c:v>
                </c:pt>
                <c:pt idx="18">
                  <c:v>1.5299115270369645E-2</c:v>
                </c:pt>
                <c:pt idx="19">
                  <c:v>6.7792877815527924E-2</c:v>
                </c:pt>
                <c:pt idx="20">
                  <c:v>2.2802934331084272E-2</c:v>
                </c:pt>
                <c:pt idx="21">
                  <c:v>4.1449433994872782E-2</c:v>
                </c:pt>
                <c:pt idx="22">
                  <c:v>6.261754618873773E-2</c:v>
                </c:pt>
                <c:pt idx="23">
                  <c:v>7.3060905778240537E-2</c:v>
                </c:pt>
                <c:pt idx="24">
                  <c:v>5.6055497610789214E-2</c:v>
                </c:pt>
                <c:pt idx="25">
                  <c:v>3.950571914189905E-2</c:v>
                </c:pt>
                <c:pt idx="26">
                  <c:v>5.2366432453930821E-2</c:v>
                </c:pt>
                <c:pt idx="27">
                  <c:v>2.3116654069034841E-2</c:v>
                </c:pt>
                <c:pt idx="28">
                  <c:v>3.0000000000000034E-2</c:v>
                </c:pt>
              </c:numCache>
            </c:numRef>
          </c:val>
        </c:ser>
        <c:marker val="1"/>
        <c:axId val="109295872"/>
        <c:axId val="109306240"/>
      </c:lineChart>
      <c:catAx>
        <c:axId val="109295872"/>
        <c:scaling>
          <c:orientation val="minMax"/>
        </c:scaling>
        <c:axPos val="b"/>
        <c:numFmt formatCode="General" sourceLinked="1"/>
        <c:tickLblPos val="nextTo"/>
        <c:spPr>
          <a:ln w="3175">
            <a:solidFill>
              <a:srgbClr val="000000"/>
            </a:solidFill>
            <a:prstDash val="solid"/>
          </a:ln>
        </c:spPr>
        <c:txPr>
          <a:bodyPr rot="-5400000" vert="horz"/>
          <a:lstStyle/>
          <a:p>
            <a:pPr>
              <a:defRPr sz="475" b="0" i="0" u="none" strike="noStrike" baseline="0">
                <a:solidFill>
                  <a:srgbClr val="000000"/>
                </a:solidFill>
                <a:latin typeface="Arial"/>
                <a:ea typeface="Arial"/>
                <a:cs typeface="Arial"/>
              </a:defRPr>
            </a:pPr>
            <a:endParaRPr lang="en-US"/>
          </a:p>
        </c:txPr>
        <c:crossAx val="109306240"/>
        <c:crossesAt val="-0.5"/>
        <c:auto val="1"/>
        <c:lblAlgn val="ctr"/>
        <c:lblOffset val="100"/>
        <c:tickLblSkip val="1"/>
        <c:tickMarkSkip val="1"/>
      </c:catAx>
      <c:valAx>
        <c:axId val="109306240"/>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475" b="0" i="0" u="none" strike="noStrike" baseline="0">
                <a:solidFill>
                  <a:srgbClr val="000000"/>
                </a:solidFill>
                <a:latin typeface="Arial"/>
                <a:ea typeface="Arial"/>
                <a:cs typeface="Arial"/>
              </a:defRPr>
            </a:pPr>
            <a:endParaRPr lang="en-US"/>
          </a:p>
        </c:txPr>
        <c:crossAx val="109295872"/>
        <c:crosses val="autoZero"/>
        <c:crossBetween val="between"/>
      </c:valAx>
      <c:spPr>
        <a:noFill/>
        <a:ln w="12700">
          <a:solidFill>
            <a:srgbClr val="808080"/>
          </a:solidFill>
          <a:prstDash val="solid"/>
        </a:ln>
      </c:spPr>
    </c:plotArea>
    <c:legend>
      <c:legendPos val="r"/>
      <c:layout>
        <c:manualLayout>
          <c:xMode val="edge"/>
          <c:yMode val="edge"/>
          <c:x val="0.25494071146245068"/>
          <c:y val="9.8591549295774669E-2"/>
          <c:w val="0.57707509881422925"/>
          <c:h val="0.1549295774647887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4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22</Pages>
  <Words>6112</Words>
  <Characters>34844</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40875</CharactersWithSpaces>
  <SharedDoc>false</SharedDoc>
  <HLinks>
    <vt:vector size="78" baseType="variant">
      <vt:variant>
        <vt:i4>3932256</vt:i4>
      </vt:variant>
      <vt:variant>
        <vt:i4>15</vt:i4>
      </vt:variant>
      <vt:variant>
        <vt:i4>0</vt:i4>
      </vt:variant>
      <vt:variant>
        <vt:i4>5</vt:i4>
      </vt:variant>
      <vt:variant>
        <vt:lpwstr>http://www.rockinst.org/publications/fiscal_studies/RR_43.PDF</vt:lpwstr>
      </vt:variant>
      <vt:variant>
        <vt:lpwstr/>
      </vt:variant>
      <vt:variant>
        <vt:i4>5701662</vt:i4>
      </vt:variant>
      <vt:variant>
        <vt:i4>12</vt:i4>
      </vt:variant>
      <vt:variant>
        <vt:i4>0</vt:i4>
      </vt:variant>
      <vt:variant>
        <vt:i4>5</vt:i4>
      </vt:variant>
      <vt:variant>
        <vt:lpwstr>http://www.ncsl.org/programs/fiscal/upsfo2001.htm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2031699</vt:i4>
      </vt:variant>
      <vt:variant>
        <vt:i4>15</vt:i4>
      </vt:variant>
      <vt:variant>
        <vt:i4>0</vt:i4>
      </vt:variant>
      <vt:variant>
        <vt:i4>5</vt:i4>
      </vt:variant>
      <vt:variant>
        <vt:lpwstr>http://staffweb.legis.state.ia.us/lfb/fupdate/fupdate.htm</vt:lpwstr>
      </vt:variant>
      <vt:variant>
        <vt:lpwstr/>
      </vt:variant>
      <vt:variant>
        <vt:i4>2883614</vt:i4>
      </vt:variant>
      <vt:variant>
        <vt:i4>9402</vt:i4>
      </vt:variant>
      <vt:variant>
        <vt:i4>1025</vt:i4>
      </vt:variant>
      <vt:variant>
        <vt:i4>1</vt:i4>
      </vt:variant>
      <vt:variant>
        <vt:lpwstr>C:\lotterylogo.bmp</vt:lpwstr>
      </vt:variant>
      <vt:variant>
        <vt:lpwstr/>
      </vt:variant>
      <vt:variant>
        <vt:i4>8257583</vt:i4>
      </vt:variant>
      <vt:variant>
        <vt:i4>39784</vt:i4>
      </vt:variant>
      <vt:variant>
        <vt:i4>1026</vt:i4>
      </vt:variant>
      <vt:variant>
        <vt:i4>1</vt:i4>
      </vt:variant>
      <vt:variant>
        <vt:lpwstr>S:\Clipart\Regional\Govt\LAWEN012.WMF</vt:lpwstr>
      </vt:variant>
      <vt:variant>
        <vt:lpwstr/>
      </vt:variant>
      <vt:variant>
        <vt:i4>4063324</vt:i4>
      </vt:variant>
      <vt:variant>
        <vt:i4>42261</vt:i4>
      </vt:variant>
      <vt:variant>
        <vt:i4>1027</vt:i4>
      </vt:variant>
      <vt:variant>
        <vt:i4>1</vt:i4>
      </vt:variant>
      <vt:variant>
        <vt:lpwstr>I:\CLIPART\CGM\B&amp;W\INDUSTRY\BUILD.CGM</vt:lpwstr>
      </vt:variant>
      <vt:variant>
        <vt:lpwstr/>
      </vt:variant>
      <vt:variant>
        <vt:i4>3801117</vt:i4>
      </vt:variant>
      <vt:variant>
        <vt:i4>44515</vt:i4>
      </vt:variant>
      <vt:variant>
        <vt:i4>1028</vt:i4>
      </vt:variant>
      <vt:variant>
        <vt:i4>1</vt:i4>
      </vt:variant>
      <vt:variant>
        <vt:lpwstr>E:\Clipart\MISC\Finance\_DOLLS.WMF</vt:lpwstr>
      </vt:variant>
      <vt:variant>
        <vt:lpwstr/>
      </vt:variant>
      <vt:variant>
        <vt:i4>7864435</vt:i4>
      </vt:variant>
      <vt:variant>
        <vt:i4>-1</vt:i4>
      </vt:variant>
      <vt:variant>
        <vt:i4>1102</vt:i4>
      </vt:variant>
      <vt:variant>
        <vt:i4>1</vt:i4>
      </vt:variant>
      <vt:variant>
        <vt:lpwstr>E:\Clipart\MISC\Finance\MNYBAGS.WMF</vt:lpwstr>
      </vt:variant>
      <vt:variant>
        <vt:lpwstr/>
      </vt:variant>
      <vt:variant>
        <vt:i4>4718673</vt:i4>
      </vt:variant>
      <vt:variant>
        <vt:i4>-1</vt:i4>
      </vt:variant>
      <vt:variant>
        <vt:i4>1103</vt:i4>
      </vt:variant>
      <vt:variant>
        <vt:i4>1</vt:i4>
      </vt:variant>
      <vt:variant>
        <vt:lpwstr>E:\Clipart\MISC\Finance\CASH.WMF</vt:lpwstr>
      </vt:variant>
      <vt:variant>
        <vt:lpwstr/>
      </vt:variant>
      <vt:variant>
        <vt:i4>5111826</vt:i4>
      </vt:variant>
      <vt:variant>
        <vt:i4>-1</vt:i4>
      </vt:variant>
      <vt:variant>
        <vt:i4>1111</vt:i4>
      </vt:variant>
      <vt:variant>
        <vt:i4>1</vt:i4>
      </vt:variant>
      <vt:variant>
        <vt:lpwstr>E:\Clipart\MISC\Finance\FINAN057.WMF</vt:lpwstr>
      </vt:variant>
      <vt:variant>
        <vt:lpwstr/>
      </vt:variant>
      <vt:variant>
        <vt:i4>5111826</vt:i4>
      </vt:variant>
      <vt:variant>
        <vt:i4>-1</vt:i4>
      </vt:variant>
      <vt:variant>
        <vt:i4>1112</vt:i4>
      </vt:variant>
      <vt:variant>
        <vt:i4>1</vt:i4>
      </vt:variant>
      <vt:variant>
        <vt:lpwstr>E:\Clipart\MISC\Finance\FINAN057.WMF</vt:lpwstr>
      </vt:variant>
      <vt:variant>
        <vt:lpwstr/>
      </vt:variant>
      <vt:variant>
        <vt:i4>851987</vt:i4>
      </vt:variant>
      <vt:variant>
        <vt:i4>-1</vt:i4>
      </vt:variant>
      <vt:variant>
        <vt:i4>1126</vt:i4>
      </vt:variant>
      <vt:variant>
        <vt:i4>1</vt:i4>
      </vt:variant>
      <vt:variant>
        <vt:lpwstr>E:\Clipart\MISC\Finance\CS000916.WMF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2001-03-22T16:00:00Z</cp:lastPrinted>
  <dcterms:created xsi:type="dcterms:W3CDTF">2009-09-23T18:41:00Z</dcterms:created>
  <dcterms:modified xsi:type="dcterms:W3CDTF">2009-09-23T18:41:00Z</dcterms:modified>
</cp:coreProperties>
</file>