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5329">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rPr>
          <w:sz w:val="36"/>
        </w:rPr>
        <w:t>February 21, 2000</w:t>
      </w:r>
    </w:p>
    <w:p w:rsidR="00000000" w:rsidRDefault="002D5329">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2D5329">
      <w:pPr>
        <w:framePr w:w="534" w:h="1384" w:hRule="exact" w:hSpace="187" w:wrap="auto" w:vAnchor="text" w:hAnchor="page" w:x="1634" w:y="89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50pt" o:ole="" fillcolor="window">
            <v:imagedata r:id="rId7" o:title=""/>
          </v:shape>
          <o:OLEObject Type="Embed" ProgID="Word.Document.8" ShapeID="_x0000_i1025" DrawAspect="Content" ObjectID="_1315206435" r:id="rId8"/>
        </w:object>
      </w:r>
    </w:p>
    <w:p w:rsidR="00000000" w:rsidRDefault="002D5329">
      <w:pPr>
        <w:pStyle w:val="textup"/>
      </w:pPr>
    </w:p>
    <w:p w:rsidR="00000000" w:rsidRDefault="002D5329">
      <w:pPr>
        <w:pStyle w:val="textup"/>
      </w:pPr>
    </w:p>
    <w:p w:rsidR="00000000" w:rsidRDefault="002D5329">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rPr>
                <w:b/>
              </w:rPr>
            </w:pPr>
          </w:p>
        </w:tc>
        <w:tc>
          <w:tcPr>
            <w:tcW w:w="4230" w:type="dxa"/>
          </w:tcPr>
          <w:p w:rsidR="00000000" w:rsidRDefault="002D5329">
            <w:pPr>
              <w:pStyle w:val="ISSUE"/>
              <w:framePr w:w="0" w:hRule="auto" w:hSpace="187" w:wrap="around" w:x="1122" w:y="9473" w:anchorLock="1"/>
              <w:ind w:left="342" w:hanging="342"/>
            </w:pPr>
          </w:p>
        </w:tc>
        <w:tc>
          <w:tcPr>
            <w:tcW w:w="4680" w:type="dxa"/>
            <w:tcBorders>
              <w:top w:val="single" w:sz="6" w:space="0" w:color="auto"/>
              <w:bottom w:val="nil"/>
              <w:right w:val="single" w:sz="6" w:space="0" w:color="auto"/>
            </w:tcBorders>
          </w:tcPr>
          <w:p w:rsidR="00000000" w:rsidRDefault="002D5329">
            <w:pPr>
              <w:pStyle w:val="ISSUE"/>
              <w:framePr w:w="0" w:hRule="auto" w:hSpace="187" w:wrap="around" w:x="1122" w:y="9473" w:anchorLock="1"/>
              <w:ind w:left="342" w:hanging="342"/>
            </w:pP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rPr>
                <w:b/>
                <w:u w:val="single"/>
              </w:rPr>
            </w:pPr>
            <w:r>
              <w:rPr>
                <w:b/>
                <w:u w:val="single"/>
              </w:rPr>
              <w:t>IN THIS ISSUE:</w:t>
            </w:r>
          </w:p>
        </w:tc>
        <w:tc>
          <w:tcPr>
            <w:tcW w:w="4230" w:type="dxa"/>
          </w:tcPr>
          <w:p w:rsidR="00000000" w:rsidRDefault="002D5329">
            <w:pPr>
              <w:pStyle w:val="ISSUE"/>
              <w:framePr w:w="0" w:hRule="auto" w:hSpace="187" w:wrap="around" w:x="1122" w:y="9473" w:anchorLock="1"/>
              <w:ind w:left="342" w:hanging="342"/>
            </w:pPr>
            <w:r>
              <w:rPr>
                <w:b/>
              </w:rPr>
              <w:t>Appropriations Subcommittees</w:t>
            </w:r>
            <w:r>
              <w:t>:</w:t>
            </w:r>
          </w:p>
        </w:tc>
        <w:tc>
          <w:tcPr>
            <w:tcW w:w="4680" w:type="dxa"/>
            <w:tcBorders>
              <w:top w:val="nil"/>
              <w:bottom w:val="nil"/>
              <w:right w:val="single" w:sz="6" w:space="0" w:color="auto"/>
            </w:tcBorders>
          </w:tcPr>
          <w:p w:rsidR="00000000" w:rsidRDefault="002D5329">
            <w:pPr>
              <w:pStyle w:val="ISSUE"/>
              <w:framePr w:w="0" w:hRule="auto" w:hSpace="187" w:wrap="around" w:x="1122" w:y="9473" w:anchorLock="1"/>
              <w:ind w:left="342" w:hanging="342"/>
            </w:pPr>
            <w:r>
              <w:t>HF 2293 – Budget Guarantee, pg. 9</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rPr>
                <w:u w:val="single"/>
              </w:rPr>
            </w:pPr>
          </w:p>
        </w:tc>
        <w:tc>
          <w:tcPr>
            <w:tcW w:w="4230" w:type="dxa"/>
          </w:tcPr>
          <w:p w:rsidR="00000000" w:rsidRDefault="002D5329">
            <w:pPr>
              <w:pStyle w:val="ISSUE"/>
              <w:framePr w:w="0" w:hRule="auto" w:hSpace="187" w:wrap="around" w:x="1122" w:y="9473" w:anchorLock="1"/>
              <w:ind w:left="342" w:hanging="342"/>
            </w:pPr>
            <w:r>
              <w:t xml:space="preserve">  Admin./Regulation, pg. 1 </w:t>
            </w:r>
          </w:p>
        </w:tc>
        <w:tc>
          <w:tcPr>
            <w:tcW w:w="4680" w:type="dxa"/>
            <w:tcBorders>
              <w:top w:val="nil"/>
            </w:tcBorders>
          </w:tcPr>
          <w:p w:rsidR="00000000" w:rsidRDefault="002D5329">
            <w:pPr>
              <w:pStyle w:val="ISSUE"/>
              <w:framePr w:w="0" w:hRule="auto" w:hSpace="187" w:wrap="around" w:x="1122" w:y="9473" w:anchorLock="1"/>
              <w:ind w:left="342" w:hanging="342"/>
            </w:pPr>
            <w:r>
              <w:t>Legislative Oversight C</w:t>
            </w:r>
            <w:r>
              <w:t>ommittee, pg. 10</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Agric./ Natural Resources, pg. 1</w:t>
            </w:r>
          </w:p>
        </w:tc>
        <w:tc>
          <w:tcPr>
            <w:tcW w:w="4680" w:type="dxa"/>
          </w:tcPr>
          <w:p w:rsidR="00000000" w:rsidRDefault="002D5329">
            <w:pPr>
              <w:pStyle w:val="ISSUE"/>
              <w:framePr w:w="0" w:hRule="auto" w:hSpace="187" w:wrap="around" w:x="1122" w:y="9473" w:anchorLock="1"/>
              <w:ind w:left="342" w:hanging="342"/>
            </w:pPr>
            <w:r>
              <w:t>Lottery Revenue &amp; Expenditures – January, pg. 10</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Economic Development, pg. 2</w:t>
            </w:r>
          </w:p>
        </w:tc>
        <w:tc>
          <w:tcPr>
            <w:tcW w:w="4680" w:type="dxa"/>
          </w:tcPr>
          <w:p w:rsidR="00000000" w:rsidRDefault="002D5329">
            <w:pPr>
              <w:pStyle w:val="ISSUE"/>
              <w:framePr w:w="0" w:hRule="auto" w:hSpace="187" w:wrap="around" w:x="1122" w:y="9473" w:anchorLock="1"/>
              <w:ind w:left="342" w:hanging="342"/>
            </w:pPr>
            <w:r>
              <w:t>Housing Enterprise Zones, pg. 11</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Education, pg. 3</w:t>
            </w:r>
          </w:p>
        </w:tc>
        <w:tc>
          <w:tcPr>
            <w:tcW w:w="4680" w:type="dxa"/>
          </w:tcPr>
          <w:p w:rsidR="00000000" w:rsidRDefault="002D5329">
            <w:pPr>
              <w:pStyle w:val="ISSUE"/>
              <w:framePr w:w="0" w:hRule="auto" w:hSpace="187" w:wrap="around" w:x="1122" w:y="9473" w:anchorLock="1"/>
              <w:ind w:left="342" w:hanging="342"/>
            </w:pPr>
            <w:r>
              <w:t>2000 Federal Poverty Guidelines Issued, pg. 12</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Human Services, </w:t>
            </w:r>
            <w:r>
              <w:t>pg. 3</w:t>
            </w:r>
          </w:p>
        </w:tc>
        <w:tc>
          <w:tcPr>
            <w:tcW w:w="4680" w:type="dxa"/>
          </w:tcPr>
          <w:p w:rsidR="00000000" w:rsidRDefault="002D5329">
            <w:pPr>
              <w:pStyle w:val="ISSUE"/>
              <w:framePr w:w="0" w:hRule="auto" w:hSpace="187" w:wrap="around" w:x="1122" w:y="9473" w:anchorLock="1"/>
              <w:ind w:left="342" w:hanging="342"/>
            </w:pPr>
            <w:r>
              <w:t>Midwife Scope of Practice Review Comm., pg. 12</w:t>
            </w: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Justice System, pg. 4</w:t>
            </w:r>
          </w:p>
        </w:tc>
        <w:tc>
          <w:tcPr>
            <w:tcW w:w="4680" w:type="dxa"/>
          </w:tcPr>
          <w:p w:rsidR="00000000" w:rsidRDefault="002D5329">
            <w:pPr>
              <w:pStyle w:val="ISSUE"/>
              <w:framePr w:w="0" w:hRule="auto" w:hSpace="187" w:wrap="around" w:x="1122" w:y="9473" w:anchorLock="1"/>
              <w:ind w:left="342" w:hanging="342"/>
            </w:pP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Oversight &amp; Communications, pg. 5</w:t>
            </w:r>
          </w:p>
        </w:tc>
        <w:tc>
          <w:tcPr>
            <w:tcW w:w="4680" w:type="dxa"/>
          </w:tcPr>
          <w:p w:rsidR="00000000" w:rsidRDefault="002D5329">
            <w:pPr>
              <w:pStyle w:val="ISSUE"/>
              <w:framePr w:w="0" w:hRule="auto" w:hSpace="187" w:wrap="around" w:x="1122" w:y="9473" w:anchorLock="1"/>
              <w:ind w:left="342" w:hanging="342"/>
            </w:pP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Transportation, Infra., &amp; Capitals, pg. 5</w:t>
            </w:r>
          </w:p>
        </w:tc>
        <w:tc>
          <w:tcPr>
            <w:tcW w:w="4680" w:type="dxa"/>
          </w:tcPr>
          <w:p w:rsidR="00000000" w:rsidRDefault="002D5329">
            <w:pPr>
              <w:pStyle w:val="ISSUE"/>
              <w:framePr w:w="0" w:hRule="auto" w:hSpace="187" w:wrap="around" w:x="1122" w:y="9473" w:anchorLock="1"/>
              <w:ind w:left="342" w:hanging="342"/>
            </w:pPr>
          </w:p>
        </w:tc>
      </w:tr>
      <w:tr w:rsidR="00000000">
        <w:tblPrEx>
          <w:tblCellMar>
            <w:top w:w="0" w:type="dxa"/>
            <w:bottom w:w="0" w:type="dxa"/>
          </w:tblCellMar>
        </w:tblPrEx>
        <w:trPr>
          <w:jc w:val="right"/>
        </w:trPr>
        <w:tc>
          <w:tcPr>
            <w:tcW w:w="1548" w:type="dxa"/>
          </w:tcPr>
          <w:p w:rsidR="00000000" w:rsidRDefault="002D5329">
            <w:pPr>
              <w:pStyle w:val="ISSUE"/>
              <w:framePr w:w="0" w:hRule="auto" w:hSpace="187" w:wrap="around" w:x="1122" w:y="9473" w:anchorLock="1"/>
              <w:ind w:left="342" w:hanging="342"/>
            </w:pPr>
          </w:p>
        </w:tc>
        <w:tc>
          <w:tcPr>
            <w:tcW w:w="4230" w:type="dxa"/>
          </w:tcPr>
          <w:p w:rsidR="00000000" w:rsidRDefault="002D5329">
            <w:pPr>
              <w:pStyle w:val="ISSUE"/>
              <w:framePr w:w="0" w:hRule="auto" w:hSpace="187" w:wrap="around" w:x="1122" w:y="9473" w:anchorLock="1"/>
              <w:ind w:left="342" w:hanging="342"/>
            </w:pPr>
            <w:r>
              <w:t xml:space="preserve"> </w:t>
            </w:r>
          </w:p>
        </w:tc>
        <w:tc>
          <w:tcPr>
            <w:tcW w:w="4680" w:type="dxa"/>
          </w:tcPr>
          <w:p w:rsidR="00000000" w:rsidRDefault="002D5329">
            <w:pPr>
              <w:pStyle w:val="ISSUE"/>
              <w:framePr w:w="0" w:hRule="auto" w:hSpace="187" w:wrap="around" w:x="1122" w:y="9473" w:anchorLock="1"/>
              <w:ind w:left="342" w:hanging="342"/>
            </w:pPr>
          </w:p>
        </w:tc>
      </w:tr>
    </w:tbl>
    <w:p w:rsidR="00000000" w:rsidRDefault="002D5329">
      <w:pPr>
        <w:pStyle w:val="Blurbtitle"/>
      </w:pPr>
      <w:r>
        <w:t>Administration and Regulation Appropriations Subcommittee</w:t>
      </w:r>
    </w:p>
    <w:p w:rsidR="00000000" w:rsidRDefault="002D5329">
      <w:pPr>
        <w:pStyle w:val="textup"/>
      </w:pPr>
      <w:r>
        <w:rPr>
          <w:b/>
        </w:rPr>
        <w:t>Admin./Regulation Sub.</w:t>
      </w:r>
      <w:r>
        <w:tab/>
        <w:t>The</w:t>
      </w:r>
      <w:r>
        <w:t xml:space="preserve"> Administration and Regulation Appropriations Subcommittee met February 16 and 17 and conducted the following business:</w:t>
      </w:r>
    </w:p>
    <w:p w:rsidR="00000000" w:rsidRDefault="002D5329">
      <w:pPr>
        <w:pStyle w:val="textup"/>
      </w:pPr>
      <w:r>
        <w:rPr>
          <w:b/>
        </w:rPr>
        <w:t>Other Fund Requests</w:t>
      </w:r>
      <w:r>
        <w:tab/>
        <w:t>On February 16, the Committee reviewed Other Funds and Technology Initiatives funding requests with the following ag</w:t>
      </w:r>
      <w:r>
        <w:t>encies:  Information Technology Services, Department of General Services, Department of Management, Department of Personnel (and IPERS), Department of Revenue and Finance, and the Iowa Lottery.</w:t>
      </w:r>
    </w:p>
    <w:p w:rsidR="00000000" w:rsidRDefault="002D5329">
      <w:pPr>
        <w:pStyle w:val="textup"/>
      </w:pPr>
      <w:r>
        <w:rPr>
          <w:b/>
        </w:rPr>
        <w:t>Secretary of State</w:t>
      </w:r>
      <w:r>
        <w:tab/>
        <w:t xml:space="preserve">On February 17, Dean Lerner, Office of the </w:t>
      </w:r>
      <w:r>
        <w:t>Secretary of State, spoke on the Technology Initiative funding request for electronic filings of corporation and UCC data.</w:t>
      </w:r>
    </w:p>
    <w:p w:rsidR="00000000" w:rsidRDefault="002D5329">
      <w:pPr>
        <w:pStyle w:val="textup"/>
      </w:pPr>
      <w:r>
        <w:rPr>
          <w:b/>
        </w:rPr>
        <w:t>Dept. of Management</w:t>
      </w:r>
      <w:r>
        <w:tab/>
        <w:t>Randy Bauer, Department of Management, answered questions regarding the State Appeal Board, pay grade review, and</w:t>
      </w:r>
      <w:r>
        <w:t xml:space="preserve"> salary adjustment.</w:t>
      </w:r>
    </w:p>
    <w:p w:rsidR="00000000" w:rsidRDefault="002D5329">
      <w:pPr>
        <w:pStyle w:val="textup"/>
      </w:pPr>
      <w:r>
        <w:rPr>
          <w:b/>
        </w:rPr>
        <w:t>Revenue &amp; Finance</w:t>
      </w:r>
      <w:r>
        <w:tab/>
        <w:t>Mike Flaherty, State Financial Management Division Administrator,  Department of Revenue and Finance, gave a presentation concerning statewide property tax administration, collection cost and fees for tax liens, and an</w:t>
      </w:r>
      <w:r>
        <w:t>swered questions on pay grade review and salary adjustment.</w:t>
      </w:r>
    </w:p>
    <w:p w:rsidR="00000000" w:rsidRDefault="002D5329">
      <w:pPr>
        <w:pStyle w:val="Contactup"/>
      </w:pPr>
      <w:r>
        <w:t>STAFF CONTACT:  Christina Schaefer (Ext. 16765)  Ron Robinson (Ext. 16256)</w:t>
      </w:r>
    </w:p>
    <w:p w:rsidR="00000000" w:rsidRDefault="002D5329">
      <w:pPr>
        <w:pStyle w:val="Blurbtitle"/>
      </w:pPr>
      <w:bookmarkStart w:id="0" w:name="FU2SKWB"/>
      <w:r>
        <w:t>Agriculture and Natural Resources Appropriations Subcommittee</w:t>
      </w:r>
      <w:bookmarkEnd w:id="0"/>
    </w:p>
    <w:p w:rsidR="00000000" w:rsidRDefault="002D5329">
      <w:pPr>
        <w:pStyle w:val="textup"/>
      </w:pPr>
      <w:r>
        <w:rPr>
          <w:b/>
        </w:rPr>
        <w:t>Agric./Natural Resources</w:t>
      </w:r>
      <w:r>
        <w:tab/>
        <w:t>The Agriculture and Natural Resour</w:t>
      </w:r>
      <w:r>
        <w:t>ces Appropriations Subcommittee met on February 15, 16, and 17.</w:t>
      </w:r>
    </w:p>
    <w:p w:rsidR="00000000" w:rsidRDefault="002D5329">
      <w:pPr>
        <w:framePr w:hSpace="180" w:wrap="around" w:vAnchor="text" w:hAnchor="page" w:x="1297" w:y="608"/>
      </w:pPr>
      <w:r>
        <w:rPr>
          <w:noProof/>
        </w:rPr>
        <w:drawing>
          <wp:inline distT="0" distB="0" distL="0" distR="0">
            <wp:extent cx="685800" cy="469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2D5329">
      <w:pPr>
        <w:pStyle w:val="textup"/>
      </w:pPr>
      <w:r>
        <w:rPr>
          <w:b/>
        </w:rPr>
        <w:t>DNR Issues</w:t>
      </w:r>
      <w:r>
        <w:tab/>
        <w:t>On February 15, Dr. John Schiltz, State Veterinarian, and Mark Slatterly, Department of Natural Resources, were the featured speakers.  Dr. Schiltz discussed expenditures to inspe</w:t>
      </w:r>
      <w:r>
        <w:t xml:space="preserve">ct livestock at the Iowa State Fair in 1998 and 1999, and Mark Slatterly discussed expenditures from the Ground Water Protection Fund. </w:t>
      </w:r>
    </w:p>
    <w:p w:rsidR="00000000" w:rsidRDefault="002D5329">
      <w:pPr>
        <w:pStyle w:val="textup"/>
      </w:pPr>
      <w:r>
        <w:rPr>
          <w:b/>
        </w:rPr>
        <w:lastRenderedPageBreak/>
        <w:t>Water Contamination Study</w:t>
      </w:r>
      <w:r>
        <w:tab/>
        <w:t>Stew Melvin, Iowa State University, discussed the results of a study on the risk of water cont</w:t>
      </w:r>
      <w:r>
        <w:t>amination from animal confinement earthen waste storage structures on February 16.  Mr. Melvin concluded there was a low risk of water contamination and the greatest risk was from potential management practices.</w:t>
      </w:r>
    </w:p>
    <w:p w:rsidR="00000000" w:rsidRDefault="002D5329">
      <w:pPr>
        <w:pStyle w:val="textup"/>
      </w:pPr>
      <w:r>
        <w:rPr>
          <w:b/>
        </w:rPr>
        <w:t>Clean Water Act</w:t>
      </w:r>
      <w:r>
        <w:tab/>
        <w:t xml:space="preserve">Jack Riessen, Department of </w:t>
      </w:r>
      <w:r>
        <w:t>Natural Resources, provided an overview on the federal Clean Water Act and the impaired waterbodies list.  Included in his discussion was the calculation and implementation of total maximum daily load (TMDL) measurements for impaired waterbodies.</w:t>
      </w:r>
    </w:p>
    <w:p w:rsidR="00000000" w:rsidRDefault="002D5329">
      <w:pPr>
        <w:pStyle w:val="Contactup"/>
      </w:pPr>
      <w:r>
        <w:t>STAFF CON</w:t>
      </w:r>
      <w:r>
        <w:t>TACT:  Sherry Weikum (Ext. 17846)  Deb Kozel (Ext. 16767)</w:t>
      </w:r>
    </w:p>
    <w:p w:rsidR="00000000" w:rsidRDefault="002D5329">
      <w:pPr>
        <w:pStyle w:val="Blurbtitle"/>
      </w:pPr>
      <w:bookmarkStart w:id="1" w:name="FU2JWRC"/>
      <w:r>
        <w:t>Economic Development Appropriations Subcommittee</w:t>
      </w:r>
      <w:bookmarkEnd w:id="1"/>
    </w:p>
    <w:p w:rsidR="00000000" w:rsidRDefault="002D5329">
      <w:pPr>
        <w:pStyle w:val="textup"/>
      </w:pPr>
      <w:r>
        <w:rPr>
          <w:b/>
        </w:rPr>
        <w:t>Economic Devel. Sub.</w:t>
      </w:r>
      <w:r>
        <w:tab/>
        <w:t>The Economic Development Appropriations Subcommittee met February 15, 16, and 17 and conducted the following business:</w:t>
      </w:r>
    </w:p>
    <w:p w:rsidR="00000000" w:rsidRDefault="002D5329">
      <w:pPr>
        <w:framePr w:w="943" w:h="916" w:hSpace="180" w:wrap="around" w:vAnchor="text" w:hAnchor="page" w:x="1297" w:y="529"/>
      </w:pPr>
      <w:r>
        <w:object w:dxaOrig="1080" w:dyaOrig="941">
          <v:shape id="_x0000_i1027" type="#_x0000_t75" style="width:54pt;height:40pt" o:ole="" fillcolor="window">
            <v:imagedata r:id="rId10" o:title=""/>
          </v:shape>
          <o:OLEObject Type="Embed" ProgID="Word.Picture.8" ShapeID="_x0000_i1027" DrawAspect="Content" ObjectID="_1315206436" r:id="rId11"/>
        </w:object>
      </w:r>
    </w:p>
    <w:p w:rsidR="00000000" w:rsidRDefault="002D5329">
      <w:pPr>
        <w:pStyle w:val="textup"/>
      </w:pPr>
      <w:r>
        <w:rPr>
          <w:b/>
          <w:i/>
        </w:rPr>
        <w:t>Issue Reviews</w:t>
      </w:r>
      <w:r>
        <w:tab/>
        <w:t xml:space="preserve">On February 15, Jeff Robinson, Legislative Fiscal  Bureau, reviewed four </w:t>
      </w:r>
      <w:r>
        <w:rPr>
          <w:b/>
          <w:i/>
        </w:rPr>
        <w:t>Issue Reviews</w:t>
      </w:r>
      <w:r>
        <w:t xml:space="preserve"> completed during the 1999 interim.  The topics included:</w:t>
      </w:r>
    </w:p>
    <w:p w:rsidR="00000000" w:rsidRDefault="002D5329">
      <w:pPr>
        <w:pStyle w:val="Bulletup"/>
        <w:spacing w:after="120"/>
      </w:pPr>
      <w:r>
        <w:t>Financing Changes to the 260E Job Training Program</w:t>
      </w:r>
    </w:p>
    <w:p w:rsidR="00000000" w:rsidRDefault="002D5329">
      <w:pPr>
        <w:pStyle w:val="Bulletup"/>
        <w:spacing w:after="120"/>
      </w:pPr>
      <w:r>
        <w:t>Iowa Finance Authority Low-I</w:t>
      </w:r>
      <w:r>
        <w:t>ncome Housing Tax Credits</w:t>
      </w:r>
    </w:p>
    <w:p w:rsidR="00000000" w:rsidRDefault="002D5329">
      <w:pPr>
        <w:pStyle w:val="Bulletup"/>
        <w:spacing w:after="120"/>
      </w:pPr>
      <w:r>
        <w:t>Tourism Advertising</w:t>
      </w:r>
    </w:p>
    <w:p w:rsidR="00000000" w:rsidRDefault="002D5329">
      <w:pPr>
        <w:pStyle w:val="Bulletup"/>
      </w:pPr>
      <w:r>
        <w:t>Economic Impact of Travel on the Iowa Economy</w:t>
      </w:r>
    </w:p>
    <w:p w:rsidR="00000000" w:rsidRDefault="002D5329">
      <w:pPr>
        <w:pStyle w:val="textup"/>
      </w:pPr>
      <w:r>
        <w:rPr>
          <w:b/>
        </w:rPr>
        <w:t xml:space="preserve">Joint Meeting </w:t>
      </w:r>
      <w:r>
        <w:tab/>
        <w:t>On February 16, the Subcommittee met jointly with the Oversight and Communications Appropriations Subcommittee.  The topics discussed included:</w:t>
      </w:r>
    </w:p>
    <w:p w:rsidR="00000000" w:rsidRDefault="002D5329">
      <w:pPr>
        <w:framePr w:w="796" w:h="865" w:hSpace="180" w:wrap="around" w:vAnchor="text" w:hAnchor="page" w:x="1641" w:y="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2D5329">
      <w:pPr>
        <w:pStyle w:val="Bulletup"/>
      </w:pPr>
      <w:r>
        <w:t>Bob</w:t>
      </w:r>
      <w:r>
        <w:t xml:space="preserve"> Tibor, Department of Economic Development State Technology Advisor, briefed the Subcommittees on the role technology will play in Iowa’s present and future economic development initiatives.</w:t>
      </w:r>
    </w:p>
    <w:p w:rsidR="00000000" w:rsidRDefault="002D5329">
      <w:pPr>
        <w:pStyle w:val="Bulletup"/>
      </w:pPr>
      <w:r>
        <w:t>Judy Peters, Department of Workforce Development, reviewed the st</w:t>
      </w:r>
      <w:r>
        <w:t>atus of the Customer Tracking, Common Intake/One-Stop initiatives at Iowa’s Workforce Development Centers.</w:t>
      </w:r>
    </w:p>
    <w:p w:rsidR="00000000" w:rsidRDefault="002D5329">
      <w:pPr>
        <w:pStyle w:val="textup"/>
      </w:pPr>
      <w:r>
        <w:rPr>
          <w:b/>
        </w:rPr>
        <w:t>Iowa Finance Authority</w:t>
      </w:r>
      <w:r>
        <w:t xml:space="preserve"> </w:t>
      </w:r>
      <w:r>
        <w:tab/>
        <w:t>February 17:</w:t>
      </w:r>
    </w:p>
    <w:p w:rsidR="00000000" w:rsidRDefault="002D5329">
      <w:pPr>
        <w:pStyle w:val="Bulletup"/>
      </w:pPr>
      <w:r>
        <w:t>Darlene Jeris, Executive Director of the Iowa Finance Authority, reviewed the programs, accomplishments, and goa</w:t>
      </w:r>
      <w:r>
        <w:t>ls of the Authority.   Dennis Dietz, Administrator of the Authority’s Title Guaranty Division, reviewed the purpose, goals, and proposed changes to Iowa’s Title Guaranty Program.   The 1999 Annual Report of the Iowa Finance Authority was distributed.</w:t>
      </w:r>
    </w:p>
    <w:p w:rsidR="00000000" w:rsidRDefault="002D5329">
      <w:pPr>
        <w:pStyle w:val="Bulletup"/>
      </w:pPr>
      <w:r>
        <w:t>Jim C</w:t>
      </w:r>
      <w:r>
        <w:t>ain, Iowa Coalition for Housing and the Homeless, reviewed the mission of his organization and expressed support for continuing the $1.2 million General Fund appropriation used to match federal housing money.  The Governor has recommended discontinuing the</w:t>
      </w:r>
      <w:r>
        <w:t xml:space="preserve"> appropriation and replacing it with Iowa Finance Authority funds.</w:t>
      </w:r>
    </w:p>
    <w:p w:rsidR="00000000" w:rsidRDefault="002D5329">
      <w:pPr>
        <w:pStyle w:val="textup"/>
      </w:pPr>
      <w:r>
        <w:rPr>
          <w:b/>
        </w:rPr>
        <w:lastRenderedPageBreak/>
        <w:t>Next Week</w:t>
      </w:r>
      <w:r>
        <w:tab/>
        <w:t>During the week of February 21st, the tentative schedule for Subcommittee meetings includes:</w:t>
      </w:r>
    </w:p>
    <w:p w:rsidR="00000000" w:rsidRDefault="002D5329">
      <w:pPr>
        <w:pStyle w:val="Bulletup"/>
      </w:pPr>
      <w:r>
        <w:t>February 22 – Board of Regents programs</w:t>
      </w:r>
    </w:p>
    <w:p w:rsidR="00000000" w:rsidRDefault="002D5329">
      <w:pPr>
        <w:pStyle w:val="Bulletup"/>
      </w:pPr>
      <w:r>
        <w:t xml:space="preserve">February 23 – Subcommittee caucus </w:t>
      </w:r>
    </w:p>
    <w:p w:rsidR="00000000" w:rsidRDefault="002D5329">
      <w:pPr>
        <w:pStyle w:val="Contactup"/>
      </w:pPr>
      <w:r>
        <w:t>STAFF CONTA</w:t>
      </w:r>
      <w:r>
        <w:t>CT:  Jeff Robinson (Ext. 14614)</w:t>
      </w:r>
    </w:p>
    <w:p w:rsidR="00000000" w:rsidRDefault="002D5329">
      <w:pPr>
        <w:pStyle w:val="Blurbtitle"/>
      </w:pPr>
      <w:bookmarkStart w:id="2" w:name="FU2PPBA"/>
      <w:r>
        <w:t>EDUCATION APPROPRIATIONS SUBCOMMITTEE</w:t>
      </w:r>
      <w:bookmarkEnd w:id="2"/>
    </w:p>
    <w:p w:rsidR="00000000" w:rsidRDefault="002D5329">
      <w:pPr>
        <w:framePr w:w="796" w:h="865" w:hSpace="180" w:wrap="auto" w:vAnchor="text" w:hAnchor="page" w:x="1497" w:y="744"/>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29" type="#_x0000_t75" style="width:39pt;height:52pt" o:ole="" fillcolor="window">
            <v:imagedata r:id="rId13" o:title=""/>
          </v:shape>
          <o:OLEObject Type="Embed" ProgID="Word.Picture.8" ShapeID="_x0000_i1029" DrawAspect="Content" ObjectID="_1315206437" r:id="rId14"/>
        </w:object>
      </w:r>
    </w:p>
    <w:p w:rsidR="00000000" w:rsidRDefault="002D5329">
      <w:pPr>
        <w:pStyle w:val="textup"/>
      </w:pPr>
      <w:r>
        <w:rPr>
          <w:b/>
        </w:rPr>
        <w:t>Education Subcommittee</w:t>
      </w:r>
      <w:r>
        <w:tab/>
        <w:t>The Education Appropriations Subcommittee met on February 15, 16, and 17.  Significant agenda items included:</w:t>
      </w:r>
    </w:p>
    <w:p w:rsidR="00000000" w:rsidRDefault="002D5329">
      <w:pPr>
        <w:pStyle w:val="Bulletup"/>
      </w:pPr>
      <w:r>
        <w:t>University of Iowa – Preside</w:t>
      </w:r>
      <w:r>
        <w:t>nt Mary Sue Coleman provided remarks and answered questions pertaining to the University’s budget.</w:t>
      </w:r>
    </w:p>
    <w:p w:rsidR="00000000" w:rsidRDefault="002D5329">
      <w:pPr>
        <w:pStyle w:val="Bulletup"/>
      </w:pPr>
      <w:r>
        <w:t>Iowa School for the Deaf and Iowa Braille and Sight Saving School – Superintendents William Johnson and Dennis Thurman gave brief remarks and answered questi</w:t>
      </w:r>
      <w:r>
        <w:t>ons on their budgets.</w:t>
      </w:r>
    </w:p>
    <w:p w:rsidR="00000000" w:rsidRDefault="002D5329">
      <w:pPr>
        <w:pStyle w:val="Bulletup"/>
      </w:pPr>
      <w:r>
        <w:t>Iowa National Guard – Colonels Mark Zirkelbach and Vincent Reefer provided information on the National Guard Educational Assistance Program and answered questions concerning the Program.</w:t>
      </w:r>
    </w:p>
    <w:p w:rsidR="00000000" w:rsidRDefault="002D5329">
      <w:pPr>
        <w:pStyle w:val="Bulletup"/>
      </w:pPr>
      <w:r>
        <w:t>Private Colleges – John Hartung, Executive Dire</w:t>
      </w:r>
      <w:r>
        <w:t>ctor of the Iowa Association of Independent Colleges and Universities, introduced a panel representing private colleges consisting of college presidents, a student, and an administrator who provided information on tuition grants and responded to questions.</w:t>
      </w:r>
    </w:p>
    <w:p w:rsidR="00000000" w:rsidRDefault="002D5329">
      <w:pPr>
        <w:pStyle w:val="textup"/>
      </w:pPr>
      <w:r>
        <w:tab/>
        <w:t xml:space="preserve">No additional meetings of the Subcommittee are scheduled at this time.      </w:t>
      </w:r>
    </w:p>
    <w:p w:rsidR="00000000" w:rsidRDefault="002D5329">
      <w:pPr>
        <w:pStyle w:val="Contactup"/>
      </w:pPr>
      <w:r>
        <w:t>STAFF CONTACT:  Paige Piper/Bach (Ext. 17942)  Mary Shipman (Ext. 14617)</w:t>
      </w:r>
    </w:p>
    <w:p w:rsidR="00000000" w:rsidRDefault="002D5329">
      <w:pPr>
        <w:pStyle w:val="Blurbtitle"/>
      </w:pPr>
      <w:bookmarkStart w:id="3" w:name="FU2DAAB"/>
      <w:r>
        <w:t>Human Services Appropriations Subcommittee</w:t>
      </w:r>
      <w:bookmarkEnd w:id="3"/>
      <w:r>
        <w:t xml:space="preserve"> </w:t>
      </w:r>
    </w:p>
    <w:p w:rsidR="00000000" w:rsidRDefault="002D5329">
      <w:pPr>
        <w:pStyle w:val="textup"/>
      </w:pPr>
      <w:r>
        <w:rPr>
          <w:b/>
        </w:rPr>
        <w:t>Human Services Subcom.</w:t>
      </w:r>
      <w:r>
        <w:tab/>
        <w:t>The Human Services Appropriations Sub</w:t>
      </w:r>
      <w:r>
        <w:t>committee met the week of February 14 and conducted the following business:</w:t>
      </w:r>
    </w:p>
    <w:p w:rsidR="00000000" w:rsidRDefault="002D5329">
      <w:pPr>
        <w:pStyle w:val="textup"/>
      </w:pPr>
      <w:r>
        <w:rPr>
          <w:b/>
        </w:rPr>
        <w:t>HAWK-I Program</w:t>
      </w:r>
      <w:r>
        <w:tab/>
        <w:t>On February 15, the Subcommittee received follow-up information regarding the Healthy and Well Kids in Iowa (HAWK-I) Program.  Information was also provided regardin</w:t>
      </w:r>
      <w:r>
        <w:t>g estimated costs for continuous and presumptive eligibility for children for Medical Assistance (Medicaid).</w:t>
      </w:r>
    </w:p>
    <w:p w:rsidR="00000000" w:rsidRDefault="002D5329">
      <w:pPr>
        <w:pStyle w:val="textup"/>
      </w:pPr>
      <w:r>
        <w:rPr>
          <w:b/>
        </w:rPr>
        <w:t>Certified Nurse Aides</w:t>
      </w:r>
      <w:r>
        <w:tab/>
        <w:t>A representative of the Iowa Caregivers Association provided information regarding Certified Nurse Aides.  The members of the</w:t>
      </w:r>
      <w:r>
        <w:t xml:space="preserve"> Subcommittee also received information regarding Long-Term Care.  </w:t>
      </w:r>
    </w:p>
    <w:p w:rsidR="00000000" w:rsidRDefault="002D5329">
      <w:pPr>
        <w:framePr w:w="943" w:h="916" w:hSpace="180" w:wrap="around" w:vAnchor="text" w:hAnchor="page" w:x="1153" w:y="722"/>
      </w:pPr>
      <w:r>
        <w:object w:dxaOrig="1080" w:dyaOrig="941">
          <v:shape id="_x0000_i1030" type="#_x0000_t75" style="width:54pt;height:40pt" o:ole="" fillcolor="window">
            <v:imagedata r:id="rId10" o:title=""/>
          </v:shape>
          <o:OLEObject Type="Embed" ProgID="Word.Picture.8" ShapeID="_x0000_i1030" DrawAspect="Content" ObjectID="_1315206438" r:id="rId15"/>
        </w:object>
      </w:r>
    </w:p>
    <w:p w:rsidR="00000000" w:rsidRDefault="002D5329">
      <w:pPr>
        <w:pStyle w:val="textup"/>
      </w:pPr>
      <w:r>
        <w:rPr>
          <w:b/>
        </w:rPr>
        <w:t>Other Issues Discussed</w:t>
      </w:r>
      <w:r>
        <w:tab/>
        <w:t>On February 16, a representative of the Sexual Predator Commitment Program (Civil Commitment Unit for Sexual Offenders) discussed commitm</w:t>
      </w:r>
      <w:r>
        <w:t>ent statistics and budgetary information.  Medicaid pharmaceutical expenditures were also reviewed.  In addition, the Subcommittee heard follow-up discussion regarding two children for whom disability services are being provided.</w:t>
      </w:r>
    </w:p>
    <w:p w:rsidR="00000000" w:rsidRDefault="002D5329">
      <w:pPr>
        <w:pStyle w:val="textup"/>
      </w:pPr>
      <w:r>
        <w:rPr>
          <w:b/>
        </w:rPr>
        <w:lastRenderedPageBreak/>
        <w:t>Child Abuse</w:t>
      </w:r>
      <w:r>
        <w:tab/>
        <w:t xml:space="preserve">The topic for </w:t>
      </w:r>
      <w:r>
        <w:t xml:space="preserve">February 17 was child abuse, including representatives of the Department of Human Services, Prevent Child Abuse of Iowa, and the Citizens Aide Ombudsman.  </w:t>
      </w:r>
    </w:p>
    <w:p w:rsidR="00000000" w:rsidRDefault="002D5329">
      <w:pPr>
        <w:pStyle w:val="textup"/>
      </w:pPr>
      <w:r>
        <w:rPr>
          <w:b/>
        </w:rPr>
        <w:t>More Information</w:t>
      </w:r>
      <w:r>
        <w:tab/>
        <w:t xml:space="preserve">Additional information is available upon request. </w:t>
      </w:r>
    </w:p>
    <w:p w:rsidR="00000000" w:rsidRDefault="002D5329">
      <w:pPr>
        <w:pStyle w:val="Contactup"/>
      </w:pPr>
      <w:r>
        <w:t>STAFF CONTACT:  Deb Anderson (Ex</w:t>
      </w:r>
      <w:r>
        <w:t>t. 16764)  Sue Lerdal  (Ext. 17794)</w:t>
      </w:r>
    </w:p>
    <w:p w:rsidR="00000000" w:rsidRDefault="002D5329">
      <w:pPr>
        <w:pStyle w:val="Blurbtitle"/>
      </w:pPr>
      <w:bookmarkStart w:id="4" w:name="FU2BALA"/>
      <w:r>
        <w:t>JUSTICE SYSTEM APPROPRIATIONS SUBCOMMITTEE</w:t>
      </w:r>
      <w:bookmarkEnd w:id="4"/>
    </w:p>
    <w:p w:rsidR="00000000" w:rsidRDefault="002D5329">
      <w:pPr>
        <w:pStyle w:val="textup"/>
      </w:pPr>
      <w:r>
        <w:rPr>
          <w:b/>
        </w:rPr>
        <w:t>Justice System</w:t>
      </w:r>
      <w:r>
        <w:tab/>
        <w:t>The Justice System Appropriations Subcommittee met during the week of February 14 to hear budget presentations from the Department of Corrections and the Judicial</w:t>
      </w:r>
      <w:r>
        <w:t xml:space="preserve"> Branch.  Following are some of the items discussed by the Subcommittee:</w:t>
      </w:r>
    </w:p>
    <w:p w:rsidR="00000000" w:rsidRDefault="002D5329">
      <w:pPr>
        <w:framePr w:w="935" w:h="1089" w:hSpace="180" w:wrap="auto" w:vAnchor="text" w:hAnchor="page" w:x="1497" w:y="624"/>
        <w:pBdr>
          <w:top w:val="single" w:sz="12" w:space="5" w:color="auto" w:shadow="1"/>
          <w:left w:val="single" w:sz="12" w:space="5" w:color="auto" w:shadow="1"/>
          <w:bottom w:val="single" w:sz="12" w:space="5" w:color="auto" w:shadow="1"/>
          <w:right w:val="single" w:sz="12" w:space="5" w:color="auto" w:shadow="1"/>
        </w:pBdr>
      </w:pPr>
    </w:p>
    <w:p w:rsidR="00000000" w:rsidRDefault="002D5329">
      <w:pPr>
        <w:framePr w:w="935" w:h="1089" w:hSpace="180" w:wrap="auto" w:vAnchor="text" w:hAnchor="page" w:x="1497" w:y="6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2D5329">
      <w:pPr>
        <w:framePr w:w="935" w:h="1089" w:hSpace="180" w:wrap="auto" w:vAnchor="text" w:hAnchor="page" w:x="1497" w:y="624"/>
        <w:pBdr>
          <w:top w:val="single" w:sz="12" w:space="5" w:color="auto" w:shadow="1"/>
          <w:left w:val="single" w:sz="12" w:space="5" w:color="auto" w:shadow="1"/>
          <w:bottom w:val="single" w:sz="12" w:space="5" w:color="auto" w:shadow="1"/>
          <w:right w:val="single" w:sz="12" w:space="5" w:color="auto" w:shadow="1"/>
        </w:pBdr>
      </w:pPr>
    </w:p>
    <w:p w:rsidR="00000000" w:rsidRDefault="002D5329">
      <w:pPr>
        <w:pStyle w:val="textup"/>
      </w:pPr>
      <w:r>
        <w:rPr>
          <w:b/>
        </w:rPr>
        <w:t>Dept. of Corrections</w:t>
      </w:r>
      <w:r>
        <w:rPr>
          <w:b/>
        </w:rPr>
        <w:tab/>
      </w:r>
      <w:r>
        <w:t>The Subcommittee discussed using inmates through Iowa Prison Industries to build manufactured homes at the Newton Correctional Institution.  The inmates’ aver</w:t>
      </w:r>
      <w:r>
        <w:t>age pay is approximately $6.00 per hour, which, according to Director Kautzky, is comparable to private sector wages for unskilled construction workers.  He indicated that the inmate wage scales are approved by Iowa Workforce Development, not the Departmen</w:t>
      </w:r>
      <w:r>
        <w:t xml:space="preserve">t of Corrections.  </w:t>
      </w:r>
    </w:p>
    <w:p w:rsidR="00000000" w:rsidRDefault="002D5329">
      <w:pPr>
        <w:pStyle w:val="textup"/>
      </w:pPr>
      <w:r>
        <w:rPr>
          <w:b/>
        </w:rPr>
        <w:t>Parole/Probation Officers</w:t>
      </w:r>
      <w:r>
        <w:tab/>
        <w:t>The Subcommittee also discussed the collective bargaining process which resulted in a paygrade review for Parole/Probation Officers (PPOs).  These staff will receive increases so their pay is comparable to Juve</w:t>
      </w:r>
      <w:r>
        <w:t>nile Court Officers.  The cost is estimated to be $479,000 during FY 2001 and an additional $888,000 during FY 2002.  According to Director Kautzky, if the costs are not funded, the Department will need to eliminate 11 positions in FY 2001.  An alternative</w:t>
      </w:r>
      <w:r>
        <w:t xml:space="preserve"> would be furloughing staff.</w:t>
      </w:r>
    </w:p>
    <w:p w:rsidR="00000000" w:rsidRDefault="002D5329">
      <w:pPr>
        <w:pStyle w:val="textup"/>
      </w:pPr>
      <w:r>
        <w:rPr>
          <w:b/>
        </w:rPr>
        <w:t>Judicial Branch</w:t>
      </w:r>
      <w:r>
        <w:rPr>
          <w:b/>
        </w:rPr>
        <w:tab/>
      </w:r>
      <w:r>
        <w:t>The Judicial Branch is requesting an increase of $5.2 million (4.59%) and 54.8 (2.63%) FTE positions from the General Fund for FY 2001.  Highlights include:</w:t>
      </w:r>
    </w:p>
    <w:p w:rsidR="00000000" w:rsidRDefault="002D5329">
      <w:pPr>
        <w:framePr w:w="501" w:h="1159" w:hSpace="180" w:wrap="around" w:vAnchor="text" w:hAnchor="page" w:x="1497" w:y="1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D5329">
      <w:pPr>
        <w:pStyle w:val="Bulletup"/>
      </w:pPr>
      <w:r>
        <w:t>$2.86 million and 11.0 FTE positions for computer te</w:t>
      </w:r>
      <w:r>
        <w:t>chnology staff and operating expenses for the Iowa Court Information System (ICIS) currently funded with Court Technology Fund money.</w:t>
      </w:r>
    </w:p>
    <w:p w:rsidR="00000000" w:rsidRDefault="002D5329">
      <w:pPr>
        <w:pStyle w:val="Bulletup"/>
      </w:pPr>
      <w:r>
        <w:t>$938,000 for 25.0 FTE positions and operating expenses within the Clerk of Court offices.</w:t>
      </w:r>
    </w:p>
    <w:p w:rsidR="00000000" w:rsidRDefault="002D5329">
      <w:pPr>
        <w:pStyle w:val="Bulletup"/>
      </w:pPr>
      <w:r>
        <w:t>$73,600 and 2.0 FTE positions fo</w:t>
      </w:r>
      <w:r>
        <w:t>r the Court of Appeals.</w:t>
      </w:r>
    </w:p>
    <w:p w:rsidR="00000000" w:rsidRDefault="002D5329">
      <w:pPr>
        <w:pStyle w:val="Bulletup"/>
      </w:pPr>
      <w:r>
        <w:t>$413,100 and 5.5 FTE positions for administrative staff within the District Courts.</w:t>
      </w:r>
    </w:p>
    <w:p w:rsidR="00000000" w:rsidRDefault="002D5329">
      <w:pPr>
        <w:pStyle w:val="Bulletup"/>
      </w:pPr>
      <w:r>
        <w:t>$316,100 and 6.0 FTE positions for computer technology personnel.</w:t>
      </w:r>
    </w:p>
    <w:p w:rsidR="00000000" w:rsidRDefault="002D5329">
      <w:pPr>
        <w:pStyle w:val="Bulletup"/>
      </w:pPr>
      <w:r>
        <w:t>$112,600 and 3.76 FTE positions to expand the Court Appointed Special Advocate (CA</w:t>
      </w:r>
      <w:r>
        <w:t>SA) program.</w:t>
      </w:r>
    </w:p>
    <w:p w:rsidR="00000000" w:rsidRDefault="002D5329">
      <w:pPr>
        <w:pStyle w:val="Bulletup"/>
      </w:pPr>
      <w:r>
        <w:t>$134,400 and 2.0 FTE positions for Juvenile Court Officers.</w:t>
      </w:r>
    </w:p>
    <w:p w:rsidR="00000000" w:rsidRDefault="002D5329">
      <w:pPr>
        <w:pStyle w:val="Bulletup"/>
      </w:pPr>
      <w:r>
        <w:lastRenderedPageBreak/>
        <w:t>$22,800 for growth within the Juvenile Victim Restitution Program.</w:t>
      </w:r>
    </w:p>
    <w:p w:rsidR="00000000" w:rsidRDefault="002D5329">
      <w:pPr>
        <w:pStyle w:val="Bulletup"/>
      </w:pPr>
      <w:r>
        <w:t>$296,600 for the Judicial Retirement System.</w:t>
      </w:r>
    </w:p>
    <w:p w:rsidR="00000000" w:rsidRDefault="002D5329">
      <w:pPr>
        <w:pStyle w:val="Contactup"/>
      </w:pPr>
      <w:r>
        <w:t>STAFF CONTACT:  Beth Lenstra (Ext. 16301)  Dwayne Ferguson (Ext. 16561)</w:t>
      </w:r>
    </w:p>
    <w:p w:rsidR="00000000" w:rsidRDefault="002D5329">
      <w:pPr>
        <w:pStyle w:val="Blurbtitle"/>
      </w:pPr>
      <w:bookmarkStart w:id="5" w:name="FU2DPWB"/>
      <w:r>
        <w:t>Oversight and Communications Appropriations Subcommittee</w:t>
      </w:r>
      <w:bookmarkEnd w:id="5"/>
    </w:p>
    <w:p w:rsidR="00000000" w:rsidRDefault="002D5329">
      <w:pPr>
        <w:pStyle w:val="textup"/>
      </w:pPr>
      <w:r>
        <w:rPr>
          <w:b/>
        </w:rPr>
        <w:t>Oversight/Communic. Sub.</w:t>
      </w:r>
      <w:r>
        <w:tab/>
        <w:t>The Oversight and Communications Appropriations Subcommittee met February 15 and 16.</w:t>
      </w:r>
    </w:p>
    <w:p w:rsidR="00000000" w:rsidRDefault="002D5329">
      <w:pPr>
        <w:pStyle w:val="textup"/>
      </w:pPr>
      <w:r>
        <w:rPr>
          <w:b/>
        </w:rPr>
        <w:t>Information Tech. Dept.</w:t>
      </w:r>
      <w:r>
        <w:tab/>
        <w:t xml:space="preserve">On February 15, the Subcommittee continued discussion of a bill </w:t>
      </w:r>
      <w:r>
        <w:t>draft for the creation of a new Information Technology Department.</w:t>
      </w:r>
    </w:p>
    <w:p w:rsidR="00000000" w:rsidRDefault="002D5329">
      <w:pPr>
        <w:pStyle w:val="textup"/>
      </w:pPr>
      <w:r>
        <w:rPr>
          <w:b/>
          <w:noProof/>
        </w:rPr>
        <w:pict>
          <v:shapetype id="_x0000_t202" coordsize="21600,21600" o:spt="202" path="m,l,21600r21600,l21600,xe">
            <v:stroke joinstyle="miter"/>
            <v:path gradientshapeok="t" o:connecttype="rect"/>
          </v:shapetype>
          <v:shape id="_x0000_s1031" type="#_x0000_t202" style="position:absolute;margin-left:-140.4pt;margin-top:36.1pt;width:64.4pt;height:50.4pt;z-index:251657728;mso-position-horizontal:absolute;mso-position-horizontal-relative:text;mso-position-vertical:absolute;mso-position-vertical-relative:text" o:allowincell="f">
            <v:textbox>
              <w:txbxContent>
                <w:p w:rsidR="00000000" w:rsidRDefault="002D5329">
                  <w:r>
                    <w:rPr>
                      <w:noProof/>
                    </w:rPr>
                    <w:drawing>
                      <wp:inline distT="0" distB="0" distL="0" distR="0">
                        <wp:extent cx="622300" cy="381000"/>
                        <wp:effectExtent l="19050" t="0" r="6350" b="0"/>
                        <wp:docPr id="10" name="Picture 10"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Symbols\Charts\CHART097.WMF"/>
                                <pic:cNvPicPr>
                                  <a:picLocks noChangeAspect="1" noChangeArrowheads="1"/>
                                </pic:cNvPicPr>
                              </pic:nvPicPr>
                              <pic:blipFill>
                                <a:blip r:embed="rId18"/>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2D5329">
                  <w:pPr>
                    <w:pStyle w:val="BodyText"/>
                    <w:rPr>
                      <w:b/>
                      <w:sz w:val="12"/>
                    </w:rPr>
                  </w:pPr>
                  <w:r>
                    <w:rPr>
                      <w:sz w:val="12"/>
                    </w:rPr>
                    <w:t xml:space="preserve"> </w:t>
                  </w:r>
                  <w:r>
                    <w:rPr>
                      <w:b/>
                      <w:sz w:val="12"/>
                    </w:rPr>
                    <w:t>New Department</w:t>
                  </w:r>
                </w:p>
              </w:txbxContent>
            </v:textbox>
          </v:shape>
        </w:pict>
      </w:r>
      <w:r>
        <w:rPr>
          <w:b/>
        </w:rPr>
        <w:t>Joint Meeting</w:t>
      </w:r>
      <w:r>
        <w:tab/>
        <w:t>On February 16, the Subcommittee held a joint meeting with the Economic Development Appropriations Subcommittee.  The Subcommittees heard presentations from:</w:t>
      </w:r>
    </w:p>
    <w:p w:rsidR="00000000" w:rsidRDefault="002D5329">
      <w:pPr>
        <w:pStyle w:val="Bulletup"/>
      </w:pPr>
      <w:r>
        <w:t>Bob Tibor, Depar</w:t>
      </w:r>
      <w:r>
        <w:t>tment of Economic Development State Technology Advisor, briefed the Subcommittees on the role technology will play in Iowa’s present and future economic development initiatives.</w:t>
      </w:r>
    </w:p>
    <w:p w:rsidR="00000000" w:rsidRDefault="002D5329">
      <w:pPr>
        <w:pStyle w:val="Bulletup"/>
      </w:pPr>
      <w:r>
        <w:t>Judy Peters, Department of Workforce Development, reviewed the status of the C</w:t>
      </w:r>
      <w:r>
        <w:t>ustomer Tracking, Common Intake/One-Stop initiatives at Iowa’s Workforce Development Centers.</w:t>
      </w:r>
    </w:p>
    <w:p w:rsidR="00000000" w:rsidRDefault="002D5329">
      <w:pPr>
        <w:pStyle w:val="Contactup"/>
      </w:pPr>
      <w:r>
        <w:t>STAFF CONTACT:  Douglas Wulf (Ext. 13250)  Glen Dickinson (Ext. 14616)</w:t>
      </w:r>
    </w:p>
    <w:p w:rsidR="00000000" w:rsidRDefault="002D5329">
      <w:pPr>
        <w:pStyle w:val="Blurbtitle"/>
      </w:pPr>
      <w:bookmarkStart w:id="6" w:name="FU2RKMB"/>
      <w:r>
        <w:t>Transportation, Infrastructure, and Capitals Appropriations Subcommittee</w:t>
      </w:r>
      <w:bookmarkEnd w:id="6"/>
    </w:p>
    <w:p w:rsidR="00000000" w:rsidRDefault="002D5329">
      <w:pPr>
        <w:pStyle w:val="textup"/>
      </w:pPr>
      <w:r>
        <w:rPr>
          <w:b/>
        </w:rPr>
        <w:t xml:space="preserve">Trans., Infra., &amp; </w:t>
      </w:r>
      <w:r>
        <w:rPr>
          <w:b/>
        </w:rPr>
        <w:t>Capitals</w:t>
      </w:r>
      <w:r>
        <w:tab/>
        <w:t>The Transportation, Infrastructure, and Capitals Appropriations Subcommittee met February 15, 16, and 17.  They heard presentations from several agencies and toured the Division of Criminal Investigation Crime Laboratory.  The Subcommittee also pa</w:t>
      </w:r>
      <w:r>
        <w:t>ssed the Transportation Appropriations Bill.</w:t>
      </w:r>
    </w:p>
    <w:p w:rsidR="00000000" w:rsidRDefault="002D5329">
      <w:pPr>
        <w:framePr w:w="501" w:h="1159" w:hSpace="180" w:wrap="around" w:vAnchor="text" w:hAnchor="page" w:x="1497" w:y="7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D5329">
      <w:pPr>
        <w:pStyle w:val="textup"/>
      </w:pPr>
      <w:r>
        <w:rPr>
          <w:b/>
        </w:rPr>
        <w:t>Grant Program</w:t>
      </w:r>
      <w:r>
        <w:tab/>
        <w:t>The Department of Education presented a summary of the Iowa Demonstration Construction Grant Program.  The federal grants received for this program are awarded 35.0% to life safety initiatives an</w:t>
      </w:r>
      <w:r>
        <w:t xml:space="preserve">d 65.0% to construction of new innovative projects.  The 1998-99 grant was $8.0 million, of which $3.1 million was awarded to 64 school districts for life safety initiatives requiring no local match.  Of the remaining funds, $2.9 million was awarded to 12 </w:t>
      </w:r>
      <w:r>
        <w:t xml:space="preserve">school districts for new projects, and $1.8 million was carried over to 1999-00.  The 1998-99 grants for new projects required a 90.0% local match by bond referendum only, which limited the awards.  </w:t>
      </w:r>
    </w:p>
    <w:p w:rsidR="00000000" w:rsidRDefault="002D5329">
      <w:pPr>
        <w:pStyle w:val="textup"/>
      </w:pPr>
      <w:r>
        <w:rPr>
          <w:b/>
        </w:rPr>
        <w:t>Total Available</w:t>
      </w:r>
      <w:r>
        <w:tab/>
        <w:t>The 1999-00 grant of $10.0 million provi</w:t>
      </w:r>
      <w:r>
        <w:t xml:space="preserve">des $3.4 million for life safety grants and $6.4 million for new projects.  The local match requirement for new projects has been reduced to 75.0% from bond referendum, local option sales and services tax, or physical plant and equipment levy.  </w:t>
      </w:r>
      <w:r>
        <w:lastRenderedPageBreak/>
        <w:t>With unused</w:t>
      </w:r>
      <w:r>
        <w:t xml:space="preserve"> carryover from 1998-99 and from failed bond referendums, the total available for new projects in 1999-00 is $9.6 million.  </w:t>
      </w:r>
    </w:p>
    <w:p w:rsidR="00000000" w:rsidRDefault="002D5329">
      <w:pPr>
        <w:pStyle w:val="textup"/>
      </w:pPr>
      <w:r>
        <w:rPr>
          <w:b/>
        </w:rPr>
        <w:t>Governor’s Rec.</w:t>
      </w:r>
      <w:r>
        <w:tab/>
        <w:t>The Governor’s FY 2001 recommendations include $3.4 million in grants to local schools for health, life, and fire s</w:t>
      </w:r>
      <w:r>
        <w:t xml:space="preserve">afety improvements.  </w:t>
      </w:r>
    </w:p>
    <w:p w:rsidR="00000000" w:rsidRDefault="002D5329">
      <w:pPr>
        <w:pStyle w:val="textup"/>
      </w:pPr>
      <w:r>
        <w:rPr>
          <w:b/>
        </w:rPr>
        <w:t>Technology Infrastructure</w:t>
      </w:r>
      <w:r>
        <w:tab/>
        <w:t>Information Technology Services presented the Governor’s recommendation of $2.0 million to fund learning technology infrastructure.</w:t>
      </w:r>
    </w:p>
    <w:p w:rsidR="00000000" w:rsidRDefault="002D5329">
      <w:pPr>
        <w:framePr w:w="655" w:h="660" w:hSpace="180" w:wrap="around" w:vAnchor="text" w:hAnchor="page" w:x="1497" w:y="448"/>
        <w:pBdr>
          <w:top w:val="single" w:sz="12" w:space="5" w:color="auto" w:shadow="1"/>
          <w:left w:val="single" w:sz="12" w:space="5" w:color="auto" w:shadow="1"/>
          <w:bottom w:val="single" w:sz="12" w:space="5" w:color="auto" w:shadow="1"/>
          <w:right w:val="single" w:sz="12" w:space="5" w:color="auto" w:shadow="1"/>
        </w:pBdr>
      </w:pPr>
      <w:r>
        <w:object w:dxaOrig="621" w:dyaOrig="400">
          <v:shape id="_x0000_i1051" type="#_x0000_t75" style="width:31pt;height:20pt" o:ole="">
            <v:imagedata r:id="rId20" o:title=""/>
          </v:shape>
          <o:OLEObject Type="Embed" ProgID="Word.Document.8" ShapeID="_x0000_i1051" DrawAspect="Content" ObjectID="_1315206439" r:id="rId21"/>
        </w:object>
      </w:r>
    </w:p>
    <w:p w:rsidR="00000000" w:rsidRDefault="002D5329">
      <w:pPr>
        <w:pStyle w:val="textup"/>
      </w:pPr>
      <w:r>
        <w:rPr>
          <w:b/>
        </w:rPr>
        <w:t>IPTV</w:t>
      </w:r>
      <w:r>
        <w:tab/>
        <w:t>Iowa Public Television (IPTV) reported on t</w:t>
      </w:r>
      <w:r>
        <w:t>he conversion of eight transmitter sites from analog to digital technology.  The Governor’s recommendations include $7.0 million to continue the conversion and provide enhanced capability at IPTV headquarters.</w:t>
      </w:r>
    </w:p>
    <w:p w:rsidR="00000000" w:rsidRDefault="002D5329">
      <w:pPr>
        <w:pStyle w:val="textup"/>
      </w:pPr>
      <w:r>
        <w:rPr>
          <w:b/>
        </w:rPr>
        <w:t>Dept. for the Blind</w:t>
      </w:r>
      <w:r>
        <w:tab/>
        <w:t>The Department for the Bli</w:t>
      </w:r>
      <w:r>
        <w:t>nd presented the Governor’s FY 2001 recommendation of $122,000 for renovation of dormitory facilities.  The Department anticipates receiving $366,000 in federal funds for these improvements.</w:t>
      </w:r>
    </w:p>
    <w:p w:rsidR="00000000" w:rsidRDefault="002D5329">
      <w:pPr>
        <w:framePr w:hSpace="187" w:wrap="around" w:vAnchor="text" w:hAnchor="page" w:x="1146" w:y="622"/>
      </w:pPr>
      <w:r>
        <w:rPr>
          <w:noProof/>
        </w:rPr>
        <w:drawing>
          <wp:inline distT="0" distB="0" distL="0" distR="0">
            <wp:extent cx="863600" cy="558800"/>
            <wp:effectExtent l="19050" t="19050" r="508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D5329">
      <w:pPr>
        <w:pStyle w:val="textup"/>
      </w:pPr>
      <w:r>
        <w:rPr>
          <w:b/>
        </w:rPr>
        <w:t>Veterans Affairs</w:t>
      </w:r>
      <w:r>
        <w:tab/>
        <w:t>The Commission on Veterans Affairs presented i</w:t>
      </w:r>
      <w:r>
        <w:t>ts request for $992,000 to continue the expansion of the food preparation and dining room areas of the Iowa Veterans Home.  The amount would replace $862,000 of an FY 1999 appropriation which reverted to the General Fund in FY 2000 and would cover the Stat</w:t>
      </w:r>
      <w:r>
        <w:t>e’s share of a 3.0% increase in costs for the total project.  The Governor is recommending $538,000 toward replacement of the reversion.</w:t>
      </w:r>
    </w:p>
    <w:p w:rsidR="00000000" w:rsidRDefault="002D5329">
      <w:pPr>
        <w:pStyle w:val="textup"/>
      </w:pPr>
      <w:r>
        <w:rPr>
          <w:b/>
        </w:rPr>
        <w:t>Regents</w:t>
      </w:r>
      <w:r>
        <w:tab/>
        <w:t>The presidents of the three Regents universities presented their FY 2001 infrastructure requests.  The universi</w:t>
      </w:r>
      <w:r>
        <w:t>ties top priorities include:</w:t>
      </w:r>
    </w:p>
    <w:p w:rsidR="00000000" w:rsidRDefault="002D5329">
      <w:pPr>
        <w:pStyle w:val="Bulletup"/>
      </w:pPr>
      <w:r>
        <w:t>Iowa State University - $11.0 million for improvements to Gilman Hall, including heating, ventilation and air conditioning replacement and construction of an addition to house mechanical equipment.</w:t>
      </w:r>
    </w:p>
    <w:p w:rsidR="00000000" w:rsidRDefault="002D5329">
      <w:pPr>
        <w:pStyle w:val="Bulletup"/>
      </w:pPr>
      <w:r>
        <w:t>University of Iowa - $14.7 mi</w:t>
      </w:r>
      <w:r>
        <w:t>llion to continue renovation of the Biological Sciences Facility.</w:t>
      </w:r>
    </w:p>
    <w:p w:rsidR="00000000" w:rsidRDefault="002D5329">
      <w:pPr>
        <w:pStyle w:val="Bulletup"/>
      </w:pPr>
      <w:r>
        <w:t>University of Northern Iowa - $16.9 million for an addition to McCollum Science Hall.</w:t>
      </w:r>
    </w:p>
    <w:p w:rsidR="00000000" w:rsidRDefault="002D5329">
      <w:pPr>
        <w:pStyle w:val="textup"/>
      </w:pPr>
      <w:r>
        <w:rPr>
          <w:b/>
        </w:rPr>
        <w:t>Tuition Replacement</w:t>
      </w:r>
      <w:r>
        <w:tab/>
        <w:t>The Governor is recommending $28.2 million for funding of tuition replacement, which</w:t>
      </w:r>
      <w:r>
        <w:t xml:space="preserve"> reimburses student fees used to pay the debt service on Academic Revenue Bonds.  In prior years, tuition replacement has been funded from the General Fund.</w:t>
      </w:r>
    </w:p>
    <w:p w:rsidR="00000000" w:rsidRDefault="002D5329">
      <w:pPr>
        <w:framePr w:w="796" w:h="721" w:hSpace="180" w:wrap="around" w:vAnchor="text" w:hAnchor="page" w:x="1497"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2D5329">
      <w:pPr>
        <w:pStyle w:val="textup"/>
      </w:pPr>
      <w:r>
        <w:rPr>
          <w:b/>
        </w:rPr>
        <w:t>Public Safety/Public Health</w:t>
      </w:r>
      <w:r>
        <w:tab/>
        <w:t>The Departments of Public Safety and Public Health presented their re</w:t>
      </w:r>
      <w:r>
        <w:t>quests for funding to begin construction of a new facility.  The Department of Public Safety is requesting $16.0 million, and the Department of Public Health is requesting $4.0 million.  These requests were not included in the Governor’s recommendations.</w:t>
      </w:r>
    </w:p>
    <w:p w:rsidR="00000000" w:rsidRDefault="002D5329">
      <w:pPr>
        <w:pStyle w:val="textup"/>
      </w:pPr>
      <w:r>
        <w:lastRenderedPageBreak/>
        <w:tab/>
      </w:r>
      <w:r>
        <w:t>The Subcommittee passed the Transportation Appropriations Bill, which appropriates a total of $268.0 million and 3,859.5 FTE positions to the Department of Transportation (DOT).  This is an increase of $4.2 million (1.6%) and 26.0 FTE positions compared to</w:t>
      </w:r>
      <w:r>
        <w:t xml:space="preserve"> estimated FY 2000.  The following table compares the funding in the Bill to estimated FY 2000 by source.</w:t>
      </w:r>
    </w:p>
    <w:p w:rsidR="00000000" w:rsidRDefault="002D5329">
      <w:pPr>
        <w:pStyle w:val="textup"/>
      </w:pPr>
      <w:r>
        <w:rPr>
          <w:b/>
          <w:noProof/>
        </w:rPr>
        <w:drawing>
          <wp:anchor distT="0" distB="0" distL="114300" distR="114300" simplePos="0" relativeHeight="251656704" behindDoc="0" locked="0" layoutInCell="0" allowOverlap="1">
            <wp:simplePos x="0" y="0"/>
            <wp:positionH relativeFrom="column">
              <wp:posOffset>411480</wp:posOffset>
            </wp:positionH>
            <wp:positionV relativeFrom="paragraph">
              <wp:posOffset>3810</wp:posOffset>
            </wp:positionV>
            <wp:extent cx="3368040" cy="1471930"/>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3368040" cy="1471930"/>
                    </a:xfrm>
                    <a:prstGeom prst="rect">
                      <a:avLst/>
                    </a:prstGeom>
                    <a:noFill/>
                    <a:ln w="9525">
                      <a:noFill/>
                      <a:miter lim="800000"/>
                      <a:headEnd/>
                      <a:tailEnd/>
                    </a:ln>
                  </pic:spPr>
                </pic:pic>
              </a:graphicData>
            </a:graphic>
          </wp:anchor>
        </w:drawing>
      </w:r>
      <w:r>
        <w:rPr>
          <w:b/>
        </w:rPr>
        <w:t>Highlights</w:t>
      </w:r>
      <w:r>
        <w:tab/>
        <w:t>Highlights of the Transportation Appropriations Bill are listed below.</w:t>
      </w:r>
    </w:p>
    <w:p w:rsidR="00000000" w:rsidRDefault="002D5329">
      <w:pPr>
        <w:framePr w:w="501" w:h="1159" w:hSpace="180" w:wrap="around" w:vAnchor="text" w:hAnchor="page" w:x="1497" w:y="8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D5329">
      <w:pPr>
        <w:pStyle w:val="textup"/>
      </w:pPr>
      <w:r>
        <w:rPr>
          <w:b/>
        </w:rPr>
        <w:t>Operations/Finance Division</w:t>
      </w:r>
      <w:r>
        <w:tab/>
        <w:t>The Bill appropriates a total of $37.</w:t>
      </w:r>
      <w:r>
        <w:t>6 million from the Road Use Tax Fund and Primary Road Fund and authorizes 310.0 FTE positions to the Operations and Finance Division.  This is an increase of $1.4 million and 31.0 FTE positions compared to estimated FY 2000.  The increase includes:</w:t>
      </w:r>
    </w:p>
    <w:p w:rsidR="00000000" w:rsidRDefault="002D5329">
      <w:pPr>
        <w:pStyle w:val="Bulletup"/>
      </w:pPr>
      <w:r>
        <w:t>An incr</w:t>
      </w:r>
      <w:r>
        <w:t>ease of $156,000 and 5.00 FTE positions for the purpose of transferring positions from the other divisions.</w:t>
      </w:r>
    </w:p>
    <w:p w:rsidR="00000000" w:rsidRDefault="002D5329">
      <w:pPr>
        <w:pStyle w:val="Bulletup"/>
      </w:pPr>
      <w:r>
        <w:t>An increase of $253,000 to fund an 8.0% increase in equipment and software maintenance and license agreements.</w:t>
      </w:r>
    </w:p>
    <w:p w:rsidR="00000000" w:rsidRDefault="002D5329">
      <w:pPr>
        <w:pStyle w:val="Bulletup"/>
      </w:pPr>
      <w:r>
        <w:t xml:space="preserve">An increase of $73,000 for increased </w:t>
      </w:r>
      <w:r>
        <w:t>telecommunication costs.</w:t>
      </w:r>
    </w:p>
    <w:p w:rsidR="00000000" w:rsidRDefault="002D5329">
      <w:pPr>
        <w:pStyle w:val="Bulletup"/>
      </w:pPr>
      <w:r>
        <w:t>An increase of $125,000 to rewire the communication network at the Motor Vehicle Division Facility at Park Fair Mall.</w:t>
      </w:r>
    </w:p>
    <w:p w:rsidR="00000000" w:rsidRDefault="002D5329">
      <w:pPr>
        <w:pStyle w:val="Bulletup"/>
      </w:pPr>
      <w:r>
        <w:t>An increase of $439,000 for the purchase of new software and related license and maintenance agreements for new c</w:t>
      </w:r>
      <w:r>
        <w:t>omputer applications.</w:t>
      </w:r>
    </w:p>
    <w:p w:rsidR="00000000" w:rsidRDefault="002D5329">
      <w:pPr>
        <w:pStyle w:val="Bulletup"/>
      </w:pPr>
      <w:r>
        <w:t xml:space="preserve">An increase of $100,000 to fund the consolidation of communication lines. </w:t>
      </w:r>
    </w:p>
    <w:p w:rsidR="00000000" w:rsidRDefault="002D5329">
      <w:pPr>
        <w:pStyle w:val="Bulletup"/>
      </w:pPr>
      <w:r>
        <w:t>An increase of $300,000 for the conversion of paper documents and engineering drawings to electronic format.</w:t>
      </w:r>
    </w:p>
    <w:p w:rsidR="00000000" w:rsidRDefault="002D5329">
      <w:pPr>
        <w:pStyle w:val="Bulletup"/>
      </w:pPr>
      <w:r>
        <w:t>An increase of 26.0 FTE positions due to the trans</w:t>
      </w:r>
      <w:r>
        <w:t>fer of computer support positions from the Information Technology Services Division (ITS) of the Department of General Services.  The Bill also includes a decrease of $100,000 due to reduced overhead charges from ITS as a result of transferring the positio</w:t>
      </w:r>
      <w:r>
        <w:t>ns from ITS to the DOT.</w:t>
      </w:r>
    </w:p>
    <w:p w:rsidR="00000000" w:rsidRDefault="002D5329">
      <w:pPr>
        <w:pStyle w:val="textup"/>
      </w:pPr>
      <w:r>
        <w:rPr>
          <w:b/>
        </w:rPr>
        <w:t>Administration Division</w:t>
      </w:r>
      <w:r>
        <w:tab/>
        <w:t>The Bill appropriates a total of $6.8 million from the Road Use Tax Fund and Primary Road Fund and authorizes 96.5 FTE positions to the Administrative Services Division.  This is an increase of $90,000 and 1.</w:t>
      </w:r>
      <w:r>
        <w:t xml:space="preserve">0 FTE position compared to estimated FY 2000.  The majority of the </w:t>
      </w:r>
      <w:r>
        <w:lastRenderedPageBreak/>
        <w:t>increase is for the transfer of one position and $85,000 from the Project Development Division.</w:t>
      </w:r>
    </w:p>
    <w:p w:rsidR="00000000" w:rsidRDefault="002D5329">
      <w:pPr>
        <w:pStyle w:val="textup"/>
      </w:pPr>
      <w:r>
        <w:rPr>
          <w:b/>
        </w:rPr>
        <w:t>Planning &amp; Programming</w:t>
      </w:r>
      <w:r>
        <w:tab/>
        <w:t>The Bill appropriates a total of $10.2 million from the Road Use Tax F</w:t>
      </w:r>
      <w:r>
        <w:t>und and Primary Road Fund and authorizes 183.0 FTE positions to the Planning and Programming Division.  This represents no change in total funding; however, in FY 2000, $212,000 was appropriated to this Division from the General Fund.  The Appropriations B</w:t>
      </w:r>
      <w:r>
        <w:t xml:space="preserve">ill shifts this funding from the General Fund to the Road Use Tax Fund ($11,000) and Primary Road Fund ($201,000).  </w:t>
      </w:r>
    </w:p>
    <w:p w:rsidR="00000000" w:rsidRDefault="002D5329">
      <w:pPr>
        <w:framePr w:w="501" w:h="1159" w:hSpace="180" w:wrap="around" w:vAnchor="text" w:hAnchor="page" w:x="1497" w:y="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D5329">
      <w:pPr>
        <w:pStyle w:val="textup"/>
      </w:pPr>
      <w:r>
        <w:rPr>
          <w:b/>
        </w:rPr>
        <w:t>Project Devel. Division</w:t>
      </w:r>
      <w:r>
        <w:tab/>
        <w:t>The Bill appropriates $59.1 million from the Primary Road Fund and 1,127.0 FTE positions to the Project Developme</w:t>
      </w:r>
      <w:r>
        <w:t>nt Division, which is an increase of $175,000 and a decrease of 1.0 FTE position compared to estimated FY 2000.  The major changes include:</w:t>
      </w:r>
    </w:p>
    <w:p w:rsidR="00000000" w:rsidRDefault="002D5329">
      <w:pPr>
        <w:pStyle w:val="Bulletup"/>
      </w:pPr>
      <w:r>
        <w:t>A decrease of $85,000 and 1.0 FTE for the purpose of transferring a position to the Administration Division.</w:t>
      </w:r>
    </w:p>
    <w:p w:rsidR="00000000" w:rsidRDefault="002D5329">
      <w:pPr>
        <w:pStyle w:val="Bulletup"/>
      </w:pPr>
      <w:r>
        <w:t>An incr</w:t>
      </w:r>
      <w:r>
        <w:t>ease of $60,000 for additional design software licenses.</w:t>
      </w:r>
    </w:p>
    <w:p w:rsidR="00000000" w:rsidRDefault="002D5329">
      <w:pPr>
        <w:pStyle w:val="Bulletup"/>
      </w:pPr>
      <w:r>
        <w:t>An increase of $200,000 for costs of lodging and meals associated with employee involvement in the Cool Careers Program, which is designed to recruit engineering technicians for employment with the D</w:t>
      </w:r>
      <w:r>
        <w:t>OT.</w:t>
      </w:r>
    </w:p>
    <w:p w:rsidR="00000000" w:rsidRDefault="002D5329">
      <w:pPr>
        <w:framePr w:w="793" w:h="721" w:hSpace="180" w:wrap="around" w:vAnchor="text" w:hAnchor="page" w:x="1497" w:y="8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2D5329">
      <w:pPr>
        <w:pStyle w:val="textup"/>
      </w:pPr>
      <w:r>
        <w:rPr>
          <w:b/>
        </w:rPr>
        <w:t>Maintenance Division</w:t>
      </w:r>
      <w:r>
        <w:tab/>
        <w:t xml:space="preserve">The Bill appropriates $105.6 million from the Primary Road Fund and 1,580.0 FTE positions to the Maintenance Division, an increase of $705,000 and a decrease of 4.0 FTE positions compared to estimated FY 2000.  The major changes </w:t>
      </w:r>
      <w:r>
        <w:t>include:</w:t>
      </w:r>
    </w:p>
    <w:p w:rsidR="00000000" w:rsidRDefault="002D5329">
      <w:pPr>
        <w:pStyle w:val="Bulletup"/>
      </w:pPr>
      <w:r>
        <w:t>A decrease of $128,000 and 4.0 FTE positions for the purpose of transferring positions to the Operations and Finance Division.</w:t>
      </w:r>
    </w:p>
    <w:p w:rsidR="00000000" w:rsidRDefault="002D5329">
      <w:pPr>
        <w:pStyle w:val="Bulletup"/>
      </w:pPr>
      <w:r>
        <w:t>An increase of $171,000 for increased costs associated with highway utility and rest area maintenance contracts.</w:t>
      </w:r>
    </w:p>
    <w:p w:rsidR="00000000" w:rsidRDefault="002D5329">
      <w:pPr>
        <w:pStyle w:val="Bulletup"/>
      </w:pPr>
      <w:r>
        <w:t>An incr</w:t>
      </w:r>
      <w:r>
        <w:t>ease of $662,000 to upgrade signs in work zones with florescent sheeting to provide greater visibility.</w:t>
      </w:r>
    </w:p>
    <w:p w:rsidR="00000000" w:rsidRDefault="002D5329">
      <w:pPr>
        <w:framePr w:w="1201" w:h="621" w:hSpace="180" w:wrap="around" w:vAnchor="text" w:hAnchor="page" w:x="1417" w:y="1125"/>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2D5329">
      <w:pPr>
        <w:framePr w:w="1201" w:h="621" w:hSpace="180" w:wrap="around" w:vAnchor="text" w:hAnchor="page" w:x="1417" w:y="1125"/>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2D5329">
      <w:pPr>
        <w:pStyle w:val="textup"/>
      </w:pPr>
      <w:r>
        <w:rPr>
          <w:b/>
        </w:rPr>
        <w:t>Motor Vehicle Division</w:t>
      </w:r>
      <w:r>
        <w:tab/>
        <w:t>The Bill appropriates a total of $27.7 million from the Road Use Tax Fund and Primary Road Fund and authorizes</w:t>
      </w:r>
      <w:r>
        <w:t xml:space="preserve"> 563.0 FTE positions to the Motor Vehicle Division.  This is an increase of $1.2 million and a decrease of 1.0 FTE position compared to estimated FY 2000.  The major changes include:</w:t>
      </w:r>
    </w:p>
    <w:p w:rsidR="00000000" w:rsidRDefault="002D5329">
      <w:pPr>
        <w:pStyle w:val="Bulletup"/>
      </w:pPr>
      <w:r>
        <w:t>An increase of $670,000 for software development of a new motor carrier I</w:t>
      </w:r>
      <w:r>
        <w:t>nternational Registration Plan System.</w:t>
      </w:r>
    </w:p>
    <w:p w:rsidR="00000000" w:rsidRDefault="002D5329">
      <w:pPr>
        <w:pStyle w:val="Bulletup"/>
      </w:pPr>
      <w:r>
        <w:t xml:space="preserve">An increase of $250,000 for software development related to the redesign of the driver’s license master record file.   </w:t>
      </w:r>
    </w:p>
    <w:p w:rsidR="00000000" w:rsidRDefault="002D5329">
      <w:pPr>
        <w:pStyle w:val="Bulletup"/>
      </w:pPr>
      <w:r>
        <w:t>An increase of $300,000 for the increased cost of software license and maintenance contracts.</w:t>
      </w:r>
    </w:p>
    <w:p w:rsidR="00000000" w:rsidRDefault="002D5329">
      <w:pPr>
        <w:pStyle w:val="Bulletup"/>
        <w:numPr>
          <w:ilvl w:val="0"/>
          <w:numId w:val="0"/>
        </w:numPr>
      </w:pPr>
    </w:p>
    <w:p w:rsidR="00000000" w:rsidRDefault="002D5329">
      <w:pPr>
        <w:pStyle w:val="textup"/>
      </w:pPr>
      <w:r>
        <w:rPr>
          <w:b/>
        </w:rPr>
        <w:lastRenderedPageBreak/>
        <w:t>Ot</w:t>
      </w:r>
      <w:r>
        <w:rPr>
          <w:b/>
        </w:rPr>
        <w:t>her Provisions</w:t>
      </w:r>
      <w:r>
        <w:tab/>
        <w:t>The Bill:</w:t>
      </w:r>
    </w:p>
    <w:p w:rsidR="00000000" w:rsidRDefault="002D5329">
      <w:pPr>
        <w:pStyle w:val="Bulletup"/>
      </w:pPr>
      <w:r>
        <w:t>Appropriates $662,000 from the General Fund for the Railroad Assistance Program, a decrease of $763,000 compared to estimated FY 2000.  The DOT received approximately $3.4 million in railroad loan repayments to the Railroad Revolvi</w:t>
      </w:r>
      <w:r>
        <w:t>ng Loan Fund in FY 2000, which will be used to fund similar projects provided for in the Railroad Assistance Program.</w:t>
      </w:r>
    </w:p>
    <w:p w:rsidR="00000000" w:rsidRDefault="002D5329">
      <w:pPr>
        <w:pStyle w:val="Bulletup"/>
      </w:pPr>
      <w:r>
        <w:t>Appropriates $750,000 from the Road Use Tax Fund and Primary Road Fund for a projected increase in reimbursements to the General Fund.  Th</w:t>
      </w:r>
      <w:r>
        <w:t>is is an increase of $150,000 compared to FY 2000.</w:t>
      </w:r>
    </w:p>
    <w:p w:rsidR="00000000" w:rsidRDefault="002D5329">
      <w:pPr>
        <w:pStyle w:val="Bulletup"/>
      </w:pPr>
      <w:r>
        <w:t>Appropriates $6.3 million from the Primary Road Fund to the Materials and Equipment Replacement Revolving Fund for increased costs of replacing equipment purchased through the Revolving Fund.  This is an i</w:t>
      </w:r>
      <w:r>
        <w:t>ncrease of $1.4 million compared to estimated FY 2000.</w:t>
      </w:r>
    </w:p>
    <w:p w:rsidR="00000000" w:rsidRDefault="002D5329">
      <w:pPr>
        <w:pStyle w:val="Bulletup"/>
      </w:pPr>
      <w:r>
        <w:t>Appropriates $940,000 from the Road Use Tax Fund for improvements to the scale facilities in Clark and Worth Counties.</w:t>
      </w:r>
    </w:p>
    <w:p w:rsidR="00000000" w:rsidRDefault="002D5329">
      <w:pPr>
        <w:framePr w:w="793" w:h="721" w:hSpace="180" w:wrap="around" w:vAnchor="text" w:hAnchor="page" w:x="1497" w:y="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2D5329">
      <w:pPr>
        <w:pStyle w:val="Bulletup"/>
      </w:pPr>
      <w:r>
        <w:t>Appropriates $400,000 from the Primary Road Fund for replacement of roofs at var</w:t>
      </w:r>
      <w:r>
        <w:t>ious maintenance garage locations throughout the State.</w:t>
      </w:r>
    </w:p>
    <w:p w:rsidR="00000000" w:rsidRDefault="002D5329">
      <w:pPr>
        <w:pStyle w:val="Bulletup"/>
      </w:pPr>
      <w:r>
        <w:t>Appropriates $1.5 million from the Primary Road Fund for construction of maintenance garage facilities in Sheldon and Allison.</w:t>
      </w:r>
    </w:p>
    <w:p w:rsidR="00000000" w:rsidRDefault="002D5329">
      <w:pPr>
        <w:pStyle w:val="Bulletup"/>
      </w:pPr>
      <w:r>
        <w:t xml:space="preserve">Appropriates $900,000 from the Primary Road Fund for roof and electrical </w:t>
      </w:r>
      <w:r>
        <w:t>improvements to the northwest building at the DOT complex in Ames.</w:t>
      </w:r>
    </w:p>
    <w:p w:rsidR="00000000" w:rsidRDefault="002D5329">
      <w:pPr>
        <w:pStyle w:val="Bulletup"/>
      </w:pPr>
      <w:r>
        <w:t>Appropriates $200,000 from the Primary Road Fund for continued improvements to DOT facilities located throughout the State for compliance with the Americans with Disabilities Act requiremen</w:t>
      </w:r>
      <w:r>
        <w:t>ts.</w:t>
      </w:r>
    </w:p>
    <w:p w:rsidR="00000000" w:rsidRDefault="002D5329">
      <w:pPr>
        <w:pStyle w:val="Contactup"/>
      </w:pPr>
      <w:r>
        <w:t>STAFF CONTACT:  Robin Madison (Ext. 15459)  David Reynolds (Ext. 16934)</w:t>
      </w:r>
    </w:p>
    <w:p w:rsidR="00000000" w:rsidRDefault="002D5329">
      <w:pPr>
        <w:pStyle w:val="Blurbtitle"/>
      </w:pPr>
      <w:bookmarkStart w:id="7" w:name="FU2SLSD"/>
      <w:r>
        <w:t>House File 2293 (FY 2002 Two-Year Average Budget Guarantee Bill) Passes House Education Committee</w:t>
      </w:r>
      <w:bookmarkEnd w:id="7"/>
    </w:p>
    <w:p w:rsidR="00000000" w:rsidRDefault="002D5329">
      <w:pPr>
        <w:framePr w:w="783" w:h="981" w:hSpace="180" w:wrap="around" w:vAnchor="text" w:hAnchor="page" w:x="1353" w:y="37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2" type="#_x0000_t75" style="width:38pt;height:38pt" o:ole="" fillcolor="window">
            <v:imagedata r:id="rId27" o:title=""/>
          </v:shape>
          <o:OLEObject Type="Embed" ProgID="Word.Picture.8" ShapeID="_x0000_i1042" DrawAspect="Content" ObjectID="_1315206440" r:id="rId28"/>
        </w:object>
      </w:r>
    </w:p>
    <w:p w:rsidR="00000000" w:rsidRDefault="002D5329">
      <w:pPr>
        <w:pStyle w:val="textup"/>
      </w:pPr>
      <w:r>
        <w:rPr>
          <w:b/>
        </w:rPr>
        <w:t xml:space="preserve"> HF 2293</w:t>
      </w:r>
      <w:r>
        <w:tab/>
        <w:t xml:space="preserve">The House Education Committee passed HF 2293 </w:t>
      </w:r>
      <w:r>
        <w:t>on February 14.  The Bill provides that, starting in FY 2002, each school district’s budget enrollment used to calculate the budget guarantee will be the greater of the preceding year’s actual enrollment, or the average of the actual enrollments for the tw</w:t>
      </w:r>
      <w:r>
        <w:t xml:space="preserve">o preceding years. </w:t>
      </w:r>
    </w:p>
    <w:p w:rsidR="00000000" w:rsidRDefault="002D5329">
      <w:pPr>
        <w:pStyle w:val="textup"/>
      </w:pPr>
      <w:r>
        <w:rPr>
          <w:b/>
        </w:rPr>
        <w:t>Fiscal Impact</w:t>
      </w:r>
      <w:r>
        <w:tab/>
        <w:t>The estimated FY 2002 fiscal impact of the Bill is a total budget guarantee amount of approximately $12.0 million.  The State aid portion is estimated at $10.5 million and the property tax portion is estimated at $1.5 mill</w:t>
      </w:r>
      <w:r>
        <w:t>ion.  District-by-district estimates are available from the Legislative Fiscal Bureau.</w:t>
      </w:r>
    </w:p>
    <w:p w:rsidR="00000000" w:rsidRDefault="002D5329">
      <w:pPr>
        <w:pStyle w:val="Contactup"/>
      </w:pPr>
      <w:r>
        <w:t>STAFF CONTACT:  Shawn Snyder (Ext. 17799)</w:t>
      </w:r>
    </w:p>
    <w:p w:rsidR="00000000" w:rsidRDefault="002D5329">
      <w:pPr>
        <w:pStyle w:val="Blurbtitle"/>
      </w:pPr>
      <w:bookmarkStart w:id="8" w:name="FU2DPWC"/>
      <w:r>
        <w:lastRenderedPageBreak/>
        <w:t>Legislative Oversight Committee</w:t>
      </w:r>
      <w:bookmarkEnd w:id="8"/>
    </w:p>
    <w:p w:rsidR="00000000" w:rsidRDefault="002D5329">
      <w:pPr>
        <w:pStyle w:val="textup"/>
      </w:pPr>
      <w:r>
        <w:rPr>
          <w:b/>
        </w:rPr>
        <w:t>Oversight Committee</w:t>
      </w:r>
      <w:r>
        <w:tab/>
        <w:t>The Legislative Oversight Committee met February 17 and discussed a revised</w:t>
      </w:r>
      <w:r>
        <w:t xml:space="preserve"> bill draft for the creation of a new Information Technology Department.</w:t>
      </w:r>
    </w:p>
    <w:p w:rsidR="00000000" w:rsidRDefault="002D5329">
      <w:pPr>
        <w:pStyle w:val="textup"/>
      </w:pPr>
      <w:r>
        <w:rPr>
          <w:b/>
          <w:noProof/>
        </w:rPr>
        <w:pict>
          <v:shape id="_x0000_s1032" type="#_x0000_t202" style="position:absolute;margin-left:-133.2pt;margin-top:35.6pt;width:64.4pt;height:50.4pt;z-index:251658752;mso-position-horizontal:absolute;mso-position-horizontal-relative:text;mso-position-vertical:absolute;mso-position-vertical-relative:text" o:allowincell="f">
            <v:textbox>
              <w:txbxContent>
                <w:p w:rsidR="00000000" w:rsidRDefault="002D5329">
                  <w:r>
                    <w:rPr>
                      <w:noProof/>
                    </w:rPr>
                    <w:drawing>
                      <wp:inline distT="0" distB="0" distL="0" distR="0">
                        <wp:extent cx="622300" cy="381000"/>
                        <wp:effectExtent l="19050" t="0" r="6350" b="0"/>
                        <wp:docPr id="20" name="Picture 20"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lipart\Symbols\Charts\CHART097.WMF"/>
                                <pic:cNvPicPr>
                                  <a:picLocks noChangeAspect="1" noChangeArrowheads="1"/>
                                </pic:cNvPicPr>
                              </pic:nvPicPr>
                              <pic:blipFill>
                                <a:blip r:embed="rId18"/>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2D5329">
                  <w:pPr>
                    <w:pStyle w:val="BodyText"/>
                    <w:rPr>
                      <w:b/>
                      <w:sz w:val="12"/>
                    </w:rPr>
                  </w:pPr>
                  <w:r>
                    <w:rPr>
                      <w:sz w:val="12"/>
                    </w:rPr>
                    <w:t xml:space="preserve"> </w:t>
                  </w:r>
                  <w:r>
                    <w:rPr>
                      <w:b/>
                      <w:sz w:val="12"/>
                    </w:rPr>
                    <w:t>New Department</w:t>
                  </w:r>
                </w:p>
              </w:txbxContent>
            </v:textbox>
          </v:shape>
        </w:pict>
      </w:r>
      <w:r>
        <w:rPr>
          <w:b/>
        </w:rPr>
        <w:t>Revised Bill</w:t>
      </w:r>
      <w:r>
        <w:tab/>
        <w:t>The revised bill would keep the Iowa Telecommunications and Technology Commission and the Iowa Communications Network (ICN) separate from the new department.  However, u</w:t>
      </w:r>
      <w:r>
        <w:t>nder the revised bill, the Chief Operating Officer of the ICN would be appointed to the Information Technology Council, the governing body of the new department, to foster communication and sharing of expertise between the entities.</w:t>
      </w:r>
    </w:p>
    <w:p w:rsidR="00000000" w:rsidRDefault="002D5329">
      <w:pPr>
        <w:pStyle w:val="textup"/>
      </w:pPr>
      <w:r>
        <w:tab/>
        <w:t>No action was taken on</w:t>
      </w:r>
      <w:r>
        <w:t xml:space="preserve"> the revised bill.</w:t>
      </w:r>
    </w:p>
    <w:p w:rsidR="00000000" w:rsidRDefault="002D5329">
      <w:pPr>
        <w:pStyle w:val="Contactup"/>
      </w:pPr>
      <w:r>
        <w:t>STAFF CONTACT:  Douglas Wulf (Ext. 13250)  Douglas Wulf (Ext. 13250)</w:t>
      </w:r>
    </w:p>
    <w:p w:rsidR="00000000" w:rsidRDefault="002D5329">
      <w:pPr>
        <w:pStyle w:val="Blurbtitle"/>
      </w:pPr>
      <w:bookmarkStart w:id="9" w:name="FU2JWRD"/>
      <w:r>
        <w:t xml:space="preserve">Lottery Revenues and Expenditures Through </w:t>
      </w:r>
      <w:bookmarkEnd w:id="9"/>
      <w:r>
        <w:t>JANUARY</w:t>
      </w:r>
    </w:p>
    <w:p w:rsidR="00000000" w:rsidRDefault="002D5329">
      <w:pPr>
        <w:framePr w:w="783" w:h="981" w:hSpace="180" w:wrap="around" w:vAnchor="text" w:hAnchor="page" w:x="1497" w:y="67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19" name="Picture 19"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tterylogo.bmp"/>
                    <pic:cNvPicPr>
                      <a:picLocks noChangeAspect="1" noChangeArrowheads="1"/>
                    </pic:cNvPicPr>
                  </pic:nvPicPr>
                  <pic:blipFill>
                    <a:blip r:embed="rId29"/>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2D5329">
      <w:pPr>
        <w:pStyle w:val="textup"/>
        <w:rPr>
          <w:b/>
        </w:rPr>
      </w:pPr>
      <w:r>
        <w:rPr>
          <w:b/>
        </w:rPr>
        <w:t>FY 2000 Lottery Revenues</w:t>
      </w:r>
      <w:r>
        <w:tab/>
        <w:t>Through January, FY 2000 Lottery game revenues decreased $8.3 million from the FY 1999 leve</w:t>
      </w:r>
      <w:r>
        <w:t>l.  Lottery prize expenses decreased $5.0 million, operating expenses decreased $2.2 million, and transfers to other State funds decreased $1.2 million.  The following table details revenues, expenditures, and balances of the State Lottery.  Rows and colum</w:t>
      </w:r>
      <w:r>
        <w:t>ns may not add, due to rounding.</w:t>
      </w:r>
    </w:p>
    <w:p w:rsidR="00000000" w:rsidRDefault="002D5329">
      <w:pPr>
        <w:pStyle w:val="textup"/>
        <w:rPr>
          <w:b/>
        </w:rPr>
      </w:pPr>
      <w:r>
        <w:rPr>
          <w:b/>
          <w:noProof/>
        </w:rPr>
        <w:pict>
          <v:shape id="_x0000_s1033" type="#_x0000_t75" style="position:absolute;margin-left:3.6pt;margin-top:20.55pt;width:338.4pt;height:233.45pt;z-index:251659776;visibility:visible;mso-wrap-edited:f;mso-position-horizontal:absolute;mso-position-horizontal-relative:text;mso-position-vertical:absolute;mso-position-vertical-relative:text" o:allowincell="f">
            <v:imagedata r:id="rId30" o:title=""/>
            <w10:wrap type="topAndBottom"/>
          </v:shape>
          <o:OLEObject Type="Embed" ProgID="Word.Picture.8" ShapeID="_x0000_s1033" DrawAspect="Content" ObjectID="_1315206442" r:id="rId31"/>
        </w:pict>
      </w:r>
    </w:p>
    <w:p w:rsidR="00000000" w:rsidRDefault="002D5329">
      <w:pPr>
        <w:pStyle w:val="textup"/>
        <w:rPr>
          <w:b/>
        </w:rPr>
      </w:pPr>
    </w:p>
    <w:p w:rsidR="00000000" w:rsidRDefault="002D5329">
      <w:pPr>
        <w:pStyle w:val="textup"/>
      </w:pPr>
      <w:r>
        <w:rPr>
          <w:b/>
        </w:rPr>
        <w:lastRenderedPageBreak/>
        <w:t>FY Sales</w:t>
      </w:r>
      <w:r>
        <w:tab/>
        <w:t>Fiscal year sales through January, compared to the same time period of FY 1999, were as follows:</w:t>
      </w:r>
    </w:p>
    <w:p w:rsidR="00000000" w:rsidRDefault="002D5329">
      <w:pPr>
        <w:framePr w:hSpace="180" w:wrap="auto" w:vAnchor="text" w:hAnchor="page" w:x="1153" w:y="756"/>
      </w:pPr>
      <w:r>
        <w:rPr>
          <w:noProof/>
        </w:rPr>
        <w:drawing>
          <wp:inline distT="0" distB="0" distL="0" distR="0">
            <wp:extent cx="622300" cy="5461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2D5329">
      <w:pPr>
        <w:pStyle w:val="Bulletup"/>
        <w:spacing w:after="120"/>
      </w:pPr>
      <w:r>
        <w:t>Instant ticket sales increased $1.6 million (3.2%)</w:t>
      </w:r>
    </w:p>
    <w:p w:rsidR="00000000" w:rsidRDefault="002D5329">
      <w:pPr>
        <w:pStyle w:val="Bulletup"/>
        <w:spacing w:after="120"/>
      </w:pPr>
      <w:r>
        <w:t>Iowa Lotto/Supercash/Pick 3 sales increased $43,000 (2.0%)</w:t>
      </w:r>
    </w:p>
    <w:p w:rsidR="00000000" w:rsidRDefault="002D5329">
      <w:pPr>
        <w:pStyle w:val="Bulletup"/>
        <w:spacing w:after="120"/>
      </w:pPr>
      <w:r>
        <w:t>Mu</w:t>
      </w:r>
      <w:r>
        <w:t>lti-State Powerball sales decreased $8.8 million (30.0%)</w:t>
      </w:r>
    </w:p>
    <w:p w:rsidR="00000000" w:rsidRDefault="002D5329">
      <w:pPr>
        <w:pStyle w:val="Bulletup"/>
        <w:spacing w:after="120"/>
      </w:pPr>
      <w:r>
        <w:t>Multi-State Daily Millions/Cash 4 Life sales decreased $648,000 (26.0%)</w:t>
      </w:r>
    </w:p>
    <w:p w:rsidR="00000000" w:rsidRDefault="002D5329">
      <w:pPr>
        <w:pStyle w:val="Bulletup"/>
        <w:spacing w:after="120"/>
      </w:pPr>
      <w:r>
        <w:t>Daily Game sales increased $111,000 (4.2%)</w:t>
      </w:r>
    </w:p>
    <w:p w:rsidR="00000000" w:rsidRDefault="002D5329">
      <w:pPr>
        <w:pStyle w:val="Bulletup"/>
        <w:spacing w:after="120"/>
      </w:pPr>
      <w:r>
        <w:t>Pull-tab sales decreased $575,000 (3.7%)</w:t>
      </w:r>
    </w:p>
    <w:p w:rsidR="00000000" w:rsidRDefault="002D5329">
      <w:pPr>
        <w:pStyle w:val="textup"/>
      </w:pPr>
      <w:r>
        <w:rPr>
          <w:b/>
        </w:rPr>
        <w:t>January Sales</w:t>
      </w:r>
      <w:r>
        <w:tab/>
        <w:t>Total Lottery sales for Janua</w:t>
      </w:r>
      <w:r>
        <w:t>ry were $13.3 million, a decrease of $1,600 (0.0%) compared to January 1999.  January 2000 sales for Powerball and the Cash 4 Life game were below sales for January 1999.</w:t>
      </w:r>
    </w:p>
    <w:p w:rsidR="00000000" w:rsidRDefault="002D5329">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D5329">
      <w:pPr>
        <w:pStyle w:val="textup"/>
      </w:pPr>
      <w:r>
        <w:rPr>
          <w:b/>
        </w:rPr>
        <w:t>REC Projections</w:t>
      </w:r>
      <w:r>
        <w:t xml:space="preserve"> </w:t>
      </w:r>
      <w:r>
        <w:tab/>
        <w:t>The December Revenue Estimating Conference (REC) projected FY 2000</w:t>
      </w:r>
      <w:r>
        <w:t xml:space="preserve"> Lottery profit transfers will total $34.0 million.  Of this amount, $33.5 million is to be transferred to the State General Fund and three-tenths of one percent of gross Lottery sales transferred to the Gambler’s Assistance Fund (approximately $530,000). </w:t>
      </w:r>
      <w:r>
        <w:t xml:space="preserve"> Actual profit transfer for FY 1999 was $37.0 million.  Therefore, the REC is currently estimating Lottery transfers will be $3.0 million lower in FY 2000 than in FY 1999.  Through January, fiscal year transfers are $1.2 million below FY 1999.</w:t>
      </w:r>
    </w:p>
    <w:p w:rsidR="00000000" w:rsidRDefault="002D5329">
      <w:pPr>
        <w:pStyle w:val="textup"/>
      </w:pPr>
      <w:r>
        <w:rPr>
          <w:b/>
        </w:rPr>
        <w:t>Sales Tax Pa</w:t>
      </w:r>
      <w:r>
        <w:rPr>
          <w:b/>
        </w:rPr>
        <w:t>id</w:t>
      </w:r>
      <w:r>
        <w:tab/>
        <w:t>In addition to the amount transferred to the State as profits, the Lottery has transferred $4.6 million in sales tax during FY 2000.</w:t>
      </w:r>
    </w:p>
    <w:p w:rsidR="00000000" w:rsidRDefault="002D5329">
      <w:pPr>
        <w:pStyle w:val="Contactup"/>
      </w:pPr>
      <w:r>
        <w:t>STAFF CONTACT:  Jeff Robinson (Ext. 14614)</w:t>
      </w:r>
    </w:p>
    <w:p w:rsidR="00000000" w:rsidRDefault="002D5329">
      <w:pPr>
        <w:pStyle w:val="Blurbtitle"/>
      </w:pPr>
      <w:bookmarkStart w:id="10" w:name="FU2JWRE"/>
      <w:r>
        <w:t>Housing ENTERPRISE Zones</w:t>
      </w:r>
      <w:bookmarkEnd w:id="10"/>
    </w:p>
    <w:p w:rsidR="00000000" w:rsidRDefault="002D5329">
      <w:pPr>
        <w:framePr w:w="796" w:h="865" w:hSpace="180" w:wrap="around" w:vAnchor="text" w:hAnchor="page" w:x="1353" w:y="8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2D5329">
      <w:pPr>
        <w:pStyle w:val="textup"/>
      </w:pPr>
      <w:r>
        <w:rPr>
          <w:b/>
        </w:rPr>
        <w:t>Housing Enterprise Zones</w:t>
      </w:r>
      <w:r>
        <w:rPr>
          <w:b/>
        </w:rPr>
        <w:tab/>
      </w:r>
      <w:r>
        <w:t>The 1998 General Assembly</w:t>
      </w:r>
      <w:r>
        <w:t xml:space="preserve"> passed HF 2538 (Housing Enterprise Zone Act of 1998).  The Act provided two tax incentives to persons building housing in areas designated as Enterprise Zones.  The tax incentives are:</w:t>
      </w:r>
    </w:p>
    <w:p w:rsidR="00000000" w:rsidRDefault="002D5329">
      <w:pPr>
        <w:pStyle w:val="Bulletup"/>
      </w:pPr>
      <w:r>
        <w:t>An income tax credit equal to 10.0% of the new investment in qualified</w:t>
      </w:r>
      <w:r>
        <w:t xml:space="preserve"> housing construction.</w:t>
      </w:r>
    </w:p>
    <w:p w:rsidR="00000000" w:rsidRDefault="002D5329">
      <w:pPr>
        <w:pStyle w:val="Bulletup"/>
      </w:pPr>
      <w:r>
        <w:t>A sale, services, and use tax refund for taxes paid constructing the qualified housing.</w:t>
      </w:r>
    </w:p>
    <w:p w:rsidR="00000000" w:rsidRDefault="002D5329">
      <w:pPr>
        <w:pStyle w:val="textup"/>
      </w:pPr>
      <w:r>
        <w:rPr>
          <w:b/>
        </w:rPr>
        <w:t>Fiscal Impact</w:t>
      </w:r>
      <w:r>
        <w:tab/>
        <w:t>The Fiscal Note on HF 2538 projected the annual cost of the two tax credits would be $1.1 million, $850,000 per year for the invest</w:t>
      </w:r>
      <w:r>
        <w:t>ment tax credit and $230,000 per year for the sales, service, and use tax refund.  The Fiscal Note assumed 100 units would be built each year.</w:t>
      </w:r>
    </w:p>
    <w:p w:rsidR="00000000" w:rsidRDefault="002D5329">
      <w:pPr>
        <w:pStyle w:val="textup"/>
      </w:pPr>
      <w:r>
        <w:rPr>
          <w:b/>
        </w:rPr>
        <w:t>Approved Projects</w:t>
      </w:r>
      <w:r>
        <w:tab/>
        <w:t>The Department of Economic Development reports that in the first 18 months of program eligibili</w:t>
      </w:r>
      <w:r>
        <w:t xml:space="preserve">ty, the Department has approved 37 projects with 838 units.  The estimated cost to the State General Fund of the 37 projects is $6.1 million. </w:t>
      </w:r>
    </w:p>
    <w:p w:rsidR="00000000" w:rsidRDefault="002D5329">
      <w:pPr>
        <w:pStyle w:val="textup"/>
      </w:pPr>
      <w:r>
        <w:rPr>
          <w:b/>
        </w:rPr>
        <w:lastRenderedPageBreak/>
        <w:t>Four Projects</w:t>
      </w:r>
      <w:r>
        <w:tab/>
        <w:t>The DED list contains at least four projects that received federal low-income housing tax credit aw</w:t>
      </w:r>
      <w:r>
        <w:t>ards from the Iowa Finance Authority in 1999.  The project funding source information provided to the Authority indicates each of these projects has substantial amounts of government financial contributions to the construction of the housing, and one proje</w:t>
      </w:r>
      <w:r>
        <w:t>ct is entirely funded through various government housing programs.  This means that project owners are receiving investment tax credits through the Housing Enterprise Zone Program on money provided by federal, State, and local governments.</w:t>
      </w:r>
    </w:p>
    <w:p w:rsidR="00000000" w:rsidRDefault="002D5329">
      <w:pPr>
        <w:pStyle w:val="Contactup"/>
      </w:pPr>
      <w:r>
        <w:t xml:space="preserve">STAFF CONTACT:  </w:t>
      </w:r>
      <w:r>
        <w:t>Jeff Robinson (Ext. 14614)</w:t>
      </w:r>
    </w:p>
    <w:p w:rsidR="00000000" w:rsidRDefault="002D5329">
      <w:pPr>
        <w:pStyle w:val="Blurbtitle"/>
      </w:pPr>
      <w:bookmarkStart w:id="11" w:name="FU2DAAC"/>
      <w:r>
        <w:t>2000 Federal Poverty Guidelines Issued</w:t>
      </w:r>
      <w:bookmarkEnd w:id="11"/>
    </w:p>
    <w:p w:rsidR="00000000" w:rsidRDefault="002D5329">
      <w:pPr>
        <w:framePr w:hSpace="180" w:wrap="around" w:vAnchor="text" w:hAnchor="page" w:x="1297" w:y="834"/>
      </w:pPr>
      <w:r>
        <w:rPr>
          <w:noProof/>
        </w:rPr>
        <w:drawing>
          <wp:inline distT="0" distB="0" distL="0" distR="0">
            <wp:extent cx="914400" cy="596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2D5329">
      <w:pPr>
        <w:pStyle w:val="textup"/>
        <w:rPr>
          <w:snapToGrid w:val="0"/>
        </w:rPr>
      </w:pPr>
      <w:r>
        <w:rPr>
          <w:b/>
          <w:snapToGrid w:val="0"/>
        </w:rPr>
        <w:t>Federal Poverty Guidelines</w:t>
      </w:r>
      <w:r>
        <w:rPr>
          <w:snapToGrid w:val="0"/>
        </w:rPr>
        <w:tab/>
        <w:t>On February 15, the U.S. Department of Health and Human Services released its annual update of the federal poverty guidelines.  The guidelines set the level of i</w:t>
      </w:r>
      <w:r>
        <w:rPr>
          <w:snapToGrid w:val="0"/>
        </w:rPr>
        <w:t>ncome below which the federal government considers a family poor.  Programs using the guidelines to determine eligibility include Head Start, Food Stamps, the National School Lunch Program, the Low-Income Home Energy Assistance Program (LIHEAP), and the Ch</w:t>
      </w:r>
      <w:r>
        <w:rPr>
          <w:snapToGrid w:val="0"/>
        </w:rPr>
        <w:t>ildren’s Health Insurance Program (CHIP).</w:t>
      </w:r>
    </w:p>
    <w:p w:rsidR="00000000" w:rsidRDefault="002D5329">
      <w:pPr>
        <w:pStyle w:val="textup"/>
        <w:rPr>
          <w:snapToGrid w:val="0"/>
        </w:rPr>
      </w:pPr>
      <w:r>
        <w:rPr>
          <w:b/>
          <w:snapToGrid w:val="0"/>
        </w:rPr>
        <w:t>Revised Levels</w:t>
      </w:r>
      <w:r>
        <w:rPr>
          <w:snapToGrid w:val="0"/>
        </w:rPr>
        <w:tab/>
        <w:t>The revised annual income federal poverty levels (FPL) follow:</w:t>
      </w:r>
    </w:p>
    <w:tbl>
      <w:tblPr>
        <w:tblW w:w="0" w:type="auto"/>
        <w:tblLayout w:type="fixed"/>
        <w:tblLook w:val="0000"/>
      </w:tblPr>
      <w:tblGrid>
        <w:gridCol w:w="236"/>
        <w:gridCol w:w="1548"/>
        <w:gridCol w:w="236"/>
        <w:gridCol w:w="1204"/>
        <w:gridCol w:w="244"/>
        <w:gridCol w:w="1196"/>
        <w:gridCol w:w="276"/>
        <w:gridCol w:w="1254"/>
        <w:gridCol w:w="276"/>
        <w:gridCol w:w="1254"/>
        <w:gridCol w:w="270"/>
      </w:tblGrid>
      <w:tr w:rsidR="00000000">
        <w:tblPrEx>
          <w:tblCellMar>
            <w:top w:w="0" w:type="dxa"/>
            <w:bottom w:w="0" w:type="dxa"/>
          </w:tblCellMar>
        </w:tblPrEx>
        <w:tc>
          <w:tcPr>
            <w:tcW w:w="236" w:type="dxa"/>
            <w:tcBorders>
              <w:top w:val="single" w:sz="4" w:space="0" w:color="auto"/>
              <w:left w:val="single" w:sz="4" w:space="0" w:color="auto"/>
            </w:tcBorders>
          </w:tcPr>
          <w:p w:rsidR="00000000" w:rsidRDefault="002D5329">
            <w:pPr>
              <w:pStyle w:val="textup"/>
              <w:jc w:val="center"/>
              <w:rPr>
                <w:b/>
                <w:snapToGrid w:val="0"/>
              </w:rPr>
            </w:pPr>
          </w:p>
        </w:tc>
        <w:tc>
          <w:tcPr>
            <w:tcW w:w="1548" w:type="dxa"/>
            <w:tcBorders>
              <w:top w:val="single" w:sz="4" w:space="0" w:color="auto"/>
              <w:bottom w:val="single" w:sz="4" w:space="0" w:color="auto"/>
            </w:tcBorders>
          </w:tcPr>
          <w:p w:rsidR="00000000" w:rsidRDefault="002D5329">
            <w:pPr>
              <w:jc w:val="center"/>
              <w:rPr>
                <w:snapToGrid w:val="0"/>
              </w:rPr>
            </w:pPr>
            <w:r>
              <w:rPr>
                <w:snapToGrid w:val="0"/>
              </w:rPr>
              <w:t>Family Size</w:t>
            </w:r>
          </w:p>
        </w:tc>
        <w:tc>
          <w:tcPr>
            <w:tcW w:w="236" w:type="dxa"/>
            <w:tcBorders>
              <w:top w:val="single" w:sz="4" w:space="0" w:color="auto"/>
            </w:tcBorders>
          </w:tcPr>
          <w:p w:rsidR="00000000" w:rsidRDefault="002D5329">
            <w:pPr>
              <w:rPr>
                <w:snapToGrid w:val="0"/>
              </w:rPr>
            </w:pPr>
          </w:p>
        </w:tc>
        <w:tc>
          <w:tcPr>
            <w:tcW w:w="1204" w:type="dxa"/>
            <w:tcBorders>
              <w:top w:val="single" w:sz="4" w:space="0" w:color="auto"/>
              <w:bottom w:val="single" w:sz="4" w:space="0" w:color="auto"/>
            </w:tcBorders>
          </w:tcPr>
          <w:p w:rsidR="00000000" w:rsidRDefault="002D5329">
            <w:pPr>
              <w:rPr>
                <w:snapToGrid w:val="0"/>
              </w:rPr>
            </w:pPr>
            <w:r>
              <w:rPr>
                <w:snapToGrid w:val="0"/>
              </w:rPr>
              <w:t>100% FPL</w:t>
            </w:r>
          </w:p>
        </w:tc>
        <w:tc>
          <w:tcPr>
            <w:tcW w:w="244" w:type="dxa"/>
            <w:tcBorders>
              <w:top w:val="single" w:sz="4" w:space="0" w:color="auto"/>
            </w:tcBorders>
          </w:tcPr>
          <w:p w:rsidR="00000000" w:rsidRDefault="002D5329">
            <w:pPr>
              <w:rPr>
                <w:snapToGrid w:val="0"/>
              </w:rPr>
            </w:pPr>
          </w:p>
        </w:tc>
        <w:tc>
          <w:tcPr>
            <w:tcW w:w="1196" w:type="dxa"/>
            <w:tcBorders>
              <w:top w:val="single" w:sz="4" w:space="0" w:color="auto"/>
              <w:bottom w:val="single" w:sz="4" w:space="0" w:color="auto"/>
            </w:tcBorders>
          </w:tcPr>
          <w:p w:rsidR="00000000" w:rsidRDefault="002D5329">
            <w:pPr>
              <w:rPr>
                <w:snapToGrid w:val="0"/>
              </w:rPr>
            </w:pPr>
            <w:r>
              <w:rPr>
                <w:snapToGrid w:val="0"/>
              </w:rPr>
              <w:t>133% FPL</w:t>
            </w:r>
          </w:p>
        </w:tc>
        <w:tc>
          <w:tcPr>
            <w:tcW w:w="276" w:type="dxa"/>
            <w:tcBorders>
              <w:top w:val="single" w:sz="4" w:space="0" w:color="auto"/>
            </w:tcBorders>
          </w:tcPr>
          <w:p w:rsidR="00000000" w:rsidRDefault="002D5329">
            <w:pPr>
              <w:rPr>
                <w:snapToGrid w:val="0"/>
              </w:rPr>
            </w:pPr>
          </w:p>
        </w:tc>
        <w:tc>
          <w:tcPr>
            <w:tcW w:w="1254" w:type="dxa"/>
            <w:tcBorders>
              <w:top w:val="single" w:sz="4" w:space="0" w:color="auto"/>
              <w:bottom w:val="single" w:sz="4" w:space="0" w:color="auto"/>
            </w:tcBorders>
          </w:tcPr>
          <w:p w:rsidR="00000000" w:rsidRDefault="002D5329">
            <w:pPr>
              <w:rPr>
                <w:snapToGrid w:val="0"/>
              </w:rPr>
            </w:pPr>
            <w:r>
              <w:rPr>
                <w:snapToGrid w:val="0"/>
              </w:rPr>
              <w:t>185% FPL</w:t>
            </w:r>
          </w:p>
        </w:tc>
        <w:tc>
          <w:tcPr>
            <w:tcW w:w="276" w:type="dxa"/>
            <w:tcBorders>
              <w:top w:val="single" w:sz="4" w:space="0" w:color="auto"/>
            </w:tcBorders>
          </w:tcPr>
          <w:p w:rsidR="00000000" w:rsidRDefault="002D5329">
            <w:pPr>
              <w:rPr>
                <w:snapToGrid w:val="0"/>
              </w:rPr>
            </w:pPr>
          </w:p>
        </w:tc>
        <w:tc>
          <w:tcPr>
            <w:tcW w:w="1254" w:type="dxa"/>
            <w:tcBorders>
              <w:top w:val="single" w:sz="4" w:space="0" w:color="auto"/>
              <w:bottom w:val="single" w:sz="4" w:space="0" w:color="auto"/>
            </w:tcBorders>
          </w:tcPr>
          <w:p w:rsidR="00000000" w:rsidRDefault="002D5329">
            <w:pPr>
              <w:rPr>
                <w:snapToGrid w:val="0"/>
              </w:rPr>
            </w:pPr>
            <w:r>
              <w:rPr>
                <w:snapToGrid w:val="0"/>
              </w:rPr>
              <w:t>200% FPL</w:t>
            </w:r>
          </w:p>
        </w:tc>
        <w:tc>
          <w:tcPr>
            <w:tcW w:w="270" w:type="dxa"/>
            <w:tcBorders>
              <w:top w:val="single" w:sz="4" w:space="0" w:color="auto"/>
              <w:right w:val="single" w:sz="4" w:space="0" w:color="auto"/>
            </w:tcBorders>
          </w:tcPr>
          <w:p w:rsidR="00000000" w:rsidRDefault="002D5329">
            <w:pPr>
              <w:pStyle w:val="textup"/>
              <w:jc w:val="center"/>
              <w:rPr>
                <w:b/>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1</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8,350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11,106</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15,448</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16,700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2</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11,250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14,963</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w:t>
            </w:r>
            <w:r>
              <w:rPr>
                <w:snapToGrid w:val="0"/>
              </w:rPr>
              <w:t xml:space="preserve">  20,813</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22,500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3</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14,150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18,820</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26,178</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28,300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4</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17,050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22,677</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31,543</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34,100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5</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19,950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26,534</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36,908</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39,900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6</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22,850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30,391</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42,273</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45,700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7</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25,750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w:t>
            </w:r>
            <w:r>
              <w:rPr>
                <w:snapToGrid w:val="0"/>
              </w:rPr>
              <w:t xml:space="preserve">   34,248</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47,638</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51,500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rPr>
          <w:trHeight w:hRule="exact" w:val="360"/>
        </w:trPr>
        <w:tc>
          <w:tcPr>
            <w:tcW w:w="236" w:type="dxa"/>
            <w:tcBorders>
              <w:left w:val="single" w:sz="4" w:space="0" w:color="auto"/>
            </w:tcBorders>
          </w:tcPr>
          <w:p w:rsidR="00000000" w:rsidRDefault="002D5329">
            <w:pPr>
              <w:pStyle w:val="textup"/>
              <w:jc w:val="center"/>
              <w:rPr>
                <w:snapToGrid w:val="0"/>
              </w:rPr>
            </w:pPr>
          </w:p>
        </w:tc>
        <w:tc>
          <w:tcPr>
            <w:tcW w:w="1548" w:type="dxa"/>
          </w:tcPr>
          <w:p w:rsidR="00000000" w:rsidRDefault="002D5329">
            <w:pPr>
              <w:jc w:val="center"/>
              <w:rPr>
                <w:snapToGrid w:val="0"/>
              </w:rPr>
            </w:pPr>
            <w:r>
              <w:rPr>
                <w:snapToGrid w:val="0"/>
              </w:rPr>
              <w:t>8</w:t>
            </w:r>
          </w:p>
        </w:tc>
        <w:tc>
          <w:tcPr>
            <w:tcW w:w="236" w:type="dxa"/>
          </w:tcPr>
          <w:p w:rsidR="00000000" w:rsidRDefault="002D5329">
            <w:pPr>
              <w:rPr>
                <w:snapToGrid w:val="0"/>
              </w:rPr>
            </w:pPr>
          </w:p>
        </w:tc>
        <w:tc>
          <w:tcPr>
            <w:tcW w:w="1204" w:type="dxa"/>
          </w:tcPr>
          <w:p w:rsidR="00000000" w:rsidRDefault="002D5329">
            <w:pPr>
              <w:rPr>
                <w:snapToGrid w:val="0"/>
              </w:rPr>
            </w:pPr>
            <w:r>
              <w:rPr>
                <w:snapToGrid w:val="0"/>
              </w:rPr>
              <w:t xml:space="preserve">   28,650</w:t>
            </w:r>
          </w:p>
        </w:tc>
        <w:tc>
          <w:tcPr>
            <w:tcW w:w="244" w:type="dxa"/>
          </w:tcPr>
          <w:p w:rsidR="00000000" w:rsidRDefault="002D5329">
            <w:pPr>
              <w:rPr>
                <w:snapToGrid w:val="0"/>
              </w:rPr>
            </w:pPr>
          </w:p>
        </w:tc>
        <w:tc>
          <w:tcPr>
            <w:tcW w:w="1196" w:type="dxa"/>
          </w:tcPr>
          <w:p w:rsidR="00000000" w:rsidRDefault="002D5329">
            <w:pPr>
              <w:rPr>
                <w:snapToGrid w:val="0"/>
              </w:rPr>
            </w:pPr>
            <w:r>
              <w:rPr>
                <w:snapToGrid w:val="0"/>
              </w:rPr>
              <w:t xml:space="preserve">    38,105</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53,003</w:t>
            </w:r>
          </w:p>
        </w:tc>
        <w:tc>
          <w:tcPr>
            <w:tcW w:w="276" w:type="dxa"/>
          </w:tcPr>
          <w:p w:rsidR="00000000" w:rsidRDefault="002D5329">
            <w:pPr>
              <w:rPr>
                <w:snapToGrid w:val="0"/>
              </w:rPr>
            </w:pPr>
          </w:p>
        </w:tc>
        <w:tc>
          <w:tcPr>
            <w:tcW w:w="1254" w:type="dxa"/>
          </w:tcPr>
          <w:p w:rsidR="00000000" w:rsidRDefault="002D5329">
            <w:pPr>
              <w:rPr>
                <w:snapToGrid w:val="0"/>
              </w:rPr>
            </w:pPr>
            <w:r>
              <w:rPr>
                <w:snapToGrid w:val="0"/>
              </w:rPr>
              <w:t xml:space="preserve">     57,300</w:t>
            </w:r>
          </w:p>
        </w:tc>
        <w:tc>
          <w:tcPr>
            <w:tcW w:w="270" w:type="dxa"/>
            <w:tcBorders>
              <w:right w:val="single" w:sz="4" w:space="0" w:color="auto"/>
            </w:tcBorders>
          </w:tcPr>
          <w:p w:rsidR="00000000" w:rsidRDefault="002D5329">
            <w:pPr>
              <w:pStyle w:val="textup"/>
              <w:jc w:val="right"/>
              <w:rPr>
                <w:snapToGrid w:val="0"/>
              </w:rPr>
            </w:pPr>
          </w:p>
        </w:tc>
      </w:tr>
      <w:tr w:rsidR="00000000">
        <w:tblPrEx>
          <w:tblCellMar>
            <w:top w:w="0" w:type="dxa"/>
            <w:bottom w:w="0" w:type="dxa"/>
          </w:tblCellMar>
        </w:tblPrEx>
        <w:tc>
          <w:tcPr>
            <w:tcW w:w="236" w:type="dxa"/>
            <w:tcBorders>
              <w:left w:val="single" w:sz="4" w:space="0" w:color="auto"/>
              <w:bottom w:val="single" w:sz="4" w:space="0" w:color="auto"/>
            </w:tcBorders>
          </w:tcPr>
          <w:p w:rsidR="00000000" w:rsidRDefault="002D5329">
            <w:pPr>
              <w:pStyle w:val="textup"/>
              <w:jc w:val="center"/>
              <w:rPr>
                <w:snapToGrid w:val="0"/>
              </w:rPr>
            </w:pPr>
          </w:p>
        </w:tc>
        <w:tc>
          <w:tcPr>
            <w:tcW w:w="1548" w:type="dxa"/>
            <w:tcBorders>
              <w:bottom w:val="single" w:sz="4" w:space="0" w:color="auto"/>
            </w:tcBorders>
          </w:tcPr>
          <w:p w:rsidR="00000000" w:rsidRDefault="002D5329">
            <w:pPr>
              <w:jc w:val="center"/>
              <w:rPr>
                <w:snapToGrid w:val="0"/>
              </w:rPr>
            </w:pPr>
            <w:r>
              <w:rPr>
                <w:snapToGrid w:val="0"/>
              </w:rPr>
              <w:t>For each additional person added</w:t>
            </w:r>
          </w:p>
        </w:tc>
        <w:tc>
          <w:tcPr>
            <w:tcW w:w="236" w:type="dxa"/>
            <w:tcBorders>
              <w:bottom w:val="single" w:sz="4" w:space="0" w:color="auto"/>
            </w:tcBorders>
          </w:tcPr>
          <w:p w:rsidR="00000000" w:rsidRDefault="002D5329">
            <w:pPr>
              <w:rPr>
                <w:snapToGrid w:val="0"/>
              </w:rPr>
            </w:pPr>
          </w:p>
        </w:tc>
        <w:tc>
          <w:tcPr>
            <w:tcW w:w="1204" w:type="dxa"/>
            <w:tcBorders>
              <w:bottom w:val="single" w:sz="4" w:space="0" w:color="auto"/>
            </w:tcBorders>
          </w:tcPr>
          <w:p w:rsidR="00000000" w:rsidRDefault="002D5329">
            <w:pPr>
              <w:rPr>
                <w:snapToGrid w:val="0"/>
              </w:rPr>
            </w:pPr>
          </w:p>
          <w:p w:rsidR="00000000" w:rsidRDefault="002D5329">
            <w:pPr>
              <w:rPr>
                <w:snapToGrid w:val="0"/>
              </w:rPr>
            </w:pPr>
          </w:p>
          <w:p w:rsidR="00000000" w:rsidRDefault="002D5329">
            <w:pPr>
              <w:rPr>
                <w:snapToGrid w:val="0"/>
              </w:rPr>
            </w:pPr>
            <w:r>
              <w:rPr>
                <w:snapToGrid w:val="0"/>
              </w:rPr>
              <w:t xml:space="preserve">     2,900</w:t>
            </w:r>
          </w:p>
        </w:tc>
        <w:tc>
          <w:tcPr>
            <w:tcW w:w="244" w:type="dxa"/>
            <w:tcBorders>
              <w:bottom w:val="single" w:sz="4" w:space="0" w:color="auto"/>
            </w:tcBorders>
          </w:tcPr>
          <w:p w:rsidR="00000000" w:rsidRDefault="002D5329">
            <w:pPr>
              <w:rPr>
                <w:snapToGrid w:val="0"/>
              </w:rPr>
            </w:pPr>
          </w:p>
        </w:tc>
        <w:tc>
          <w:tcPr>
            <w:tcW w:w="1196" w:type="dxa"/>
            <w:tcBorders>
              <w:bottom w:val="single" w:sz="4" w:space="0" w:color="auto"/>
            </w:tcBorders>
          </w:tcPr>
          <w:p w:rsidR="00000000" w:rsidRDefault="002D5329">
            <w:pPr>
              <w:rPr>
                <w:snapToGrid w:val="0"/>
              </w:rPr>
            </w:pPr>
          </w:p>
          <w:p w:rsidR="00000000" w:rsidRDefault="002D5329">
            <w:pPr>
              <w:rPr>
                <w:snapToGrid w:val="0"/>
              </w:rPr>
            </w:pPr>
          </w:p>
          <w:p w:rsidR="00000000" w:rsidRDefault="002D5329">
            <w:pPr>
              <w:rPr>
                <w:snapToGrid w:val="0"/>
              </w:rPr>
            </w:pPr>
            <w:r>
              <w:rPr>
                <w:snapToGrid w:val="0"/>
              </w:rPr>
              <w:t xml:space="preserve">      3,857</w:t>
            </w:r>
          </w:p>
        </w:tc>
        <w:tc>
          <w:tcPr>
            <w:tcW w:w="276" w:type="dxa"/>
            <w:tcBorders>
              <w:bottom w:val="single" w:sz="4" w:space="0" w:color="auto"/>
            </w:tcBorders>
          </w:tcPr>
          <w:p w:rsidR="00000000" w:rsidRDefault="002D5329">
            <w:pPr>
              <w:rPr>
                <w:snapToGrid w:val="0"/>
              </w:rPr>
            </w:pPr>
          </w:p>
        </w:tc>
        <w:tc>
          <w:tcPr>
            <w:tcW w:w="1254" w:type="dxa"/>
            <w:tcBorders>
              <w:bottom w:val="single" w:sz="4" w:space="0" w:color="auto"/>
            </w:tcBorders>
          </w:tcPr>
          <w:p w:rsidR="00000000" w:rsidRDefault="002D5329">
            <w:pPr>
              <w:rPr>
                <w:snapToGrid w:val="0"/>
              </w:rPr>
            </w:pPr>
          </w:p>
          <w:p w:rsidR="00000000" w:rsidRDefault="002D5329">
            <w:pPr>
              <w:rPr>
                <w:snapToGrid w:val="0"/>
              </w:rPr>
            </w:pPr>
          </w:p>
          <w:p w:rsidR="00000000" w:rsidRDefault="002D5329">
            <w:pPr>
              <w:rPr>
                <w:snapToGrid w:val="0"/>
              </w:rPr>
            </w:pPr>
            <w:r>
              <w:rPr>
                <w:snapToGrid w:val="0"/>
              </w:rPr>
              <w:t xml:space="preserve">       5,365</w:t>
            </w:r>
          </w:p>
        </w:tc>
        <w:tc>
          <w:tcPr>
            <w:tcW w:w="276" w:type="dxa"/>
            <w:tcBorders>
              <w:bottom w:val="single" w:sz="4" w:space="0" w:color="auto"/>
            </w:tcBorders>
          </w:tcPr>
          <w:p w:rsidR="00000000" w:rsidRDefault="002D5329">
            <w:pPr>
              <w:rPr>
                <w:snapToGrid w:val="0"/>
              </w:rPr>
            </w:pPr>
          </w:p>
        </w:tc>
        <w:tc>
          <w:tcPr>
            <w:tcW w:w="1254" w:type="dxa"/>
            <w:tcBorders>
              <w:bottom w:val="single" w:sz="4" w:space="0" w:color="auto"/>
            </w:tcBorders>
          </w:tcPr>
          <w:p w:rsidR="00000000" w:rsidRDefault="002D5329">
            <w:pPr>
              <w:rPr>
                <w:snapToGrid w:val="0"/>
              </w:rPr>
            </w:pPr>
          </w:p>
          <w:p w:rsidR="00000000" w:rsidRDefault="002D5329">
            <w:pPr>
              <w:rPr>
                <w:snapToGrid w:val="0"/>
              </w:rPr>
            </w:pPr>
          </w:p>
          <w:p w:rsidR="00000000" w:rsidRDefault="002D5329">
            <w:pPr>
              <w:rPr>
                <w:snapToGrid w:val="0"/>
              </w:rPr>
            </w:pPr>
            <w:r>
              <w:rPr>
                <w:snapToGrid w:val="0"/>
              </w:rPr>
              <w:t xml:space="preserve">       5,800</w:t>
            </w:r>
          </w:p>
        </w:tc>
        <w:tc>
          <w:tcPr>
            <w:tcW w:w="270" w:type="dxa"/>
            <w:tcBorders>
              <w:bottom w:val="single" w:sz="4" w:space="0" w:color="auto"/>
              <w:right w:val="single" w:sz="4" w:space="0" w:color="auto"/>
            </w:tcBorders>
          </w:tcPr>
          <w:p w:rsidR="00000000" w:rsidRDefault="002D5329">
            <w:pPr>
              <w:pStyle w:val="textup"/>
              <w:jc w:val="right"/>
              <w:rPr>
                <w:snapToGrid w:val="0"/>
              </w:rPr>
            </w:pPr>
          </w:p>
        </w:tc>
      </w:tr>
    </w:tbl>
    <w:p w:rsidR="00000000" w:rsidRDefault="002D5329">
      <w:pPr>
        <w:pStyle w:val="Contactup"/>
      </w:pPr>
      <w:r>
        <w:t>STAFF CONTACT:  Deb Anderson (Ext. 16764)</w:t>
      </w:r>
    </w:p>
    <w:p w:rsidR="00000000" w:rsidRDefault="002D5329">
      <w:pPr>
        <w:pStyle w:val="Blurbtitle"/>
        <w:ind w:right="-180"/>
      </w:pPr>
      <w:bookmarkStart w:id="12" w:name="FU2VMTA"/>
      <w:r>
        <w:t>Midwife Scope of Practice</w:t>
      </w:r>
      <w:r>
        <w:t xml:space="preserve"> Review Committee Report</w:t>
      </w:r>
      <w:bookmarkEnd w:id="12"/>
    </w:p>
    <w:p w:rsidR="00000000" w:rsidRDefault="002D5329">
      <w:pPr>
        <w:framePr w:w="792" w:h="864" w:hSpace="187" w:wrap="around" w:vAnchor="page" w:hAnchor="page" w:x="1346" w:y="12961"/>
        <w:pBdr>
          <w:top w:val="single" w:sz="12" w:space="5" w:color="auto" w:shadow="1"/>
          <w:left w:val="single" w:sz="12" w:space="5" w:color="auto" w:shadow="1"/>
          <w:bottom w:val="single" w:sz="12" w:space="5" w:color="auto" w:shadow="1"/>
          <w:right w:val="single" w:sz="12" w:space="5" w:color="auto" w:shadow="1"/>
        </w:pBdr>
      </w:pPr>
      <w:r>
        <w:object w:dxaOrig="761" w:dyaOrig="781">
          <v:shape id="_x0000_i1049" type="#_x0000_t75" style="width:38pt;height:39pt" o:ole="" fillcolor="window">
            <v:imagedata r:id="rId36" o:title=""/>
          </v:shape>
          <o:OLEObject Type="Embed" ProgID="Word.Picture.8" ShapeID="_x0000_i1049" DrawAspect="Content" ObjectID="_1315206441" r:id="rId37"/>
        </w:object>
      </w:r>
    </w:p>
    <w:p w:rsidR="00000000" w:rsidRDefault="002D5329">
      <w:pPr>
        <w:framePr w:w="792" w:h="864" w:hSpace="187" w:wrap="around" w:vAnchor="page" w:hAnchor="page" w:x="1346" w:y="12961"/>
        <w:pBdr>
          <w:top w:val="single" w:sz="12" w:space="5" w:color="auto" w:shadow="1"/>
          <w:left w:val="single" w:sz="12" w:space="5" w:color="auto" w:shadow="1"/>
          <w:bottom w:val="single" w:sz="12" w:space="5" w:color="auto" w:shadow="1"/>
          <w:right w:val="single" w:sz="12" w:space="5" w:color="auto" w:shadow="1"/>
        </w:pBdr>
      </w:pPr>
      <w:r>
        <w:t>Report</w:t>
      </w:r>
    </w:p>
    <w:p w:rsidR="00000000" w:rsidRDefault="002D5329">
      <w:pPr>
        <w:pStyle w:val="textup"/>
      </w:pPr>
      <w:r>
        <w:rPr>
          <w:b/>
        </w:rPr>
        <w:t>Report Received</w:t>
      </w:r>
      <w:r>
        <w:tab/>
        <w:t xml:space="preserve">The Legislative Fiscal Bureau has received a report on the Midwife Scope of Practice Review Committee.  Stephen Gleason, Director of the Department of Public Health, appointed the </w:t>
      </w:r>
      <w:r>
        <w:t xml:space="preserve">Committee to review an application submitted by the Iowa Midwives’ Association in response to HF 402 (Scope Of Practice Review Committee for Certified Professional Midwives), which was passed by the 1999 Iowa General Assembly.   </w:t>
      </w:r>
    </w:p>
    <w:p w:rsidR="00000000" w:rsidRDefault="002D5329">
      <w:pPr>
        <w:pStyle w:val="textup"/>
      </w:pPr>
      <w:r>
        <w:rPr>
          <w:b/>
        </w:rPr>
        <w:lastRenderedPageBreak/>
        <w:t>Review Committee</w:t>
      </w:r>
      <w:r>
        <w:tab/>
        <w:t>The appli</w:t>
      </w:r>
      <w:r>
        <w:t xml:space="preserve">cation requested the Iowa legislature to:  1) recognize the Certified Professional Midwife credential established by the North American Registry of Midwives, and 2) establish a Board of Certified Professional Midwife Examiners under the Iowa Department of </w:t>
      </w:r>
      <w:r>
        <w:t>Public Health.  The Committee met six times over the course of six months to review the application, review and discuss additional research, receive oral and written testimony, and finalize recommendations.</w:t>
      </w:r>
    </w:p>
    <w:p w:rsidR="00000000" w:rsidRDefault="002D5329">
      <w:pPr>
        <w:pStyle w:val="textup"/>
      </w:pPr>
      <w:r>
        <w:rPr>
          <w:b/>
        </w:rPr>
        <w:t>Findings</w:t>
      </w:r>
      <w:r>
        <w:tab/>
        <w:t>According to the Report, Iowa does not p</w:t>
      </w:r>
      <w:r>
        <w:t xml:space="preserve">rovide a means whereby direct entry midwives (a midwife who enters directly into training as a midwife, without any prerequisite training) may be registered, certified, or regulated.  While the </w:t>
      </w:r>
      <w:r>
        <w:rPr>
          <w:u w:val="single"/>
        </w:rPr>
        <w:t>Code of Iowa</w:t>
      </w:r>
      <w:r>
        <w:t xml:space="preserve"> neither defines nor specifies any requirements fo</w:t>
      </w:r>
      <w:r>
        <w:t xml:space="preserve">r direct entry midwives, an Attorney General’s opinion issued in 1978 declared midwifery to be the practice of medicine without a license.  </w:t>
      </w:r>
    </w:p>
    <w:p w:rsidR="00000000" w:rsidRDefault="002D5329">
      <w:pPr>
        <w:pStyle w:val="textup"/>
      </w:pPr>
      <w:r>
        <w:rPr>
          <w:b/>
        </w:rPr>
        <w:t>Recommendations</w:t>
      </w:r>
      <w:r>
        <w:tab/>
        <w:t>Committee members did not accept the application as requested, but did unanimously agree that the p</w:t>
      </w:r>
      <w:r>
        <w:t xml:space="preserve">ractice of direct entry midwifery should be legalized.  Further, the Committee made the following recommendations: </w:t>
      </w:r>
    </w:p>
    <w:p w:rsidR="00000000" w:rsidRDefault="002D5329">
      <w:pPr>
        <w:pStyle w:val="Bulletup"/>
      </w:pPr>
      <w:r>
        <w:t>Persons holding either the Certified Professional Midwife or Certified Midwife credential should be eligible to apply to the Iowa Department</w:t>
      </w:r>
      <w:r>
        <w:t xml:space="preserve"> of Public Health to be registered.  </w:t>
      </w:r>
    </w:p>
    <w:p w:rsidR="00000000" w:rsidRDefault="002D5329">
      <w:pPr>
        <w:framePr w:w="1515" w:h="425" w:hSpace="180" w:wrap="around" w:vAnchor="text" w:hAnchor="page" w:x="1209" w:y="1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2D5329">
      <w:pPr>
        <w:pStyle w:val="Bulletup"/>
      </w:pPr>
      <w:r>
        <w:t>The director of the Department of Public Health should establish a Midwifery Advisory Council composed of professionals currently in clinical practice, including two board certified physicians; one lice</w:t>
      </w:r>
      <w:r>
        <w:t>nsed certified nurse midwife; two certified professional midwives; and two public representatives.</w:t>
      </w:r>
    </w:p>
    <w:p w:rsidR="00000000" w:rsidRDefault="002D5329">
      <w:pPr>
        <w:pStyle w:val="Bulletup"/>
      </w:pPr>
      <w:r>
        <w:t>The director of the Department of Public Health should direct the Midwifery Advisory Council to formulate regulations for the practice of direct entry midwif</w:t>
      </w:r>
      <w:r>
        <w:t>ery.  The Council would also function to formulate clinical practice protocols.</w:t>
      </w:r>
    </w:p>
    <w:p w:rsidR="00000000" w:rsidRDefault="002D5329">
      <w:pPr>
        <w:pStyle w:val="textup"/>
      </w:pPr>
      <w:r>
        <w:rPr>
          <w:b/>
        </w:rPr>
        <w:t>More Information</w:t>
      </w:r>
      <w:r>
        <w:tab/>
        <w:t xml:space="preserve">For further information regarding this report, including definitions of Certified Professional Midwife, Certified Midwife, and Certified Nurse Midwife, please </w:t>
      </w:r>
      <w:r>
        <w:t>contact the Legislative Fiscal Bureau.</w:t>
      </w:r>
    </w:p>
    <w:p w:rsidR="00000000" w:rsidRDefault="002D5329">
      <w:pPr>
        <w:pStyle w:val="Contactup"/>
      </w:pPr>
      <w:r>
        <w:t>STAFF CONTACT:  Valerie Thacker (Ext. 15270)</w:t>
      </w:r>
    </w:p>
    <w:sectPr w:rsidR="00000000">
      <w:headerReference w:type="even" r:id="rId38"/>
      <w:headerReference w:type="default" r:id="rId3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D5329">
      <w:r>
        <w:separator/>
      </w:r>
    </w:p>
  </w:endnote>
  <w:endnote w:type="continuationSeparator" w:id="1">
    <w:p w:rsidR="00000000" w:rsidRDefault="002D5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D5329">
      <w:r>
        <w:separator/>
      </w:r>
    </w:p>
  </w:footnote>
  <w:footnote w:type="continuationSeparator" w:id="1">
    <w:p w:rsidR="00000000" w:rsidRDefault="002D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5329">
    <w:pPr>
      <w:pStyle w:val="PageE"/>
    </w:pPr>
    <w:r>
      <w:t>FISCAL UPDATE</w:t>
    </w:r>
  </w:p>
  <w:p w:rsidR="00000000" w:rsidRDefault="002D5329">
    <w:pPr>
      <w:pStyle w:val="PageE"/>
    </w:pPr>
    <w:bookmarkStart w:id="13"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3"/>
    <w:r>
      <w:rPr>
        <w:noProof/>
      </w:rPr>
      <w:t>February 21, 2000</w:t>
    </w:r>
    <w:r>
      <w:tab/>
    </w:r>
    <w:r>
      <w:rPr>
        <w:b w:val="0"/>
      </w:rPr>
      <w:fldChar w:fldCharType="begin"/>
    </w:r>
    <w:r>
      <w:rPr>
        <w:b w:val="0"/>
      </w:rPr>
      <w:instrText xml:space="preserve"> PAGE </w:instrText>
    </w:r>
    <w:r>
      <w:rPr>
        <w:b w:val="0"/>
      </w:rPr>
      <w:fldChar w:fldCharType="separate"/>
    </w:r>
    <w:r>
      <w:rPr>
        <w:b w:val="0"/>
        <w:noProof/>
      </w:rPr>
      <w:t>12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5329">
    <w:pPr>
      <w:pStyle w:val="PageO"/>
      <w:rPr>
        <w:b/>
      </w:rPr>
    </w:pPr>
    <w:r>
      <w:rPr>
        <w:b/>
      </w:rPr>
      <w:t>FISCAL UPDATE</w:t>
    </w:r>
  </w:p>
  <w:p w:rsidR="00000000" w:rsidRDefault="002D5329">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13</w:t>
    </w:r>
    <w:r>
      <w:rPr>
        <w:b/>
      </w:rPr>
      <w:fldChar w:fldCharType="end"/>
    </w:r>
    <w:r>
      <w:rPr>
        <w:b/>
      </w:rPr>
      <w:t xml:space="preserve">  </w:t>
    </w:r>
    <w:r>
      <w:rPr>
        <w:b/>
      </w:rPr>
      <w:tab/>
      <w:t xml:space="preserve">                                </w:t>
    </w:r>
    <w:r>
      <w:rPr>
        <w:b/>
        <w:noProof/>
      </w:rPr>
      <w:t>February 21,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CC51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540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5">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7B60705"/>
    <w:multiLevelType w:val="singleLevel"/>
    <w:tmpl w:val="40D46596"/>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4">
    <w:nsid w:val="6B9C0391"/>
    <w:multiLevelType w:val="singleLevel"/>
    <w:tmpl w:val="E1EA91DE"/>
    <w:lvl w:ilvl="0">
      <w:start w:val="1"/>
      <w:numFmt w:val="bullet"/>
      <w:lvlText w:val=""/>
      <w:lvlJc w:val="left"/>
      <w:pPr>
        <w:tabs>
          <w:tab w:val="num" w:pos="360"/>
        </w:tabs>
        <w:ind w:left="360" w:hanging="360"/>
      </w:pPr>
      <w:rPr>
        <w:rFonts w:ascii="Symbol" w:hAnsi="Symbol" w:hint="default"/>
        <w:sz w:val="18"/>
      </w:rPr>
    </w:lvl>
  </w:abstractNum>
  <w:num w:numId="1">
    <w:abstractNumId w:val="6"/>
  </w:num>
  <w:num w:numId="2">
    <w:abstractNumId w:val="7"/>
  </w:num>
  <w:num w:numId="3">
    <w:abstractNumId w:val="7"/>
  </w:num>
  <w:num w:numId="4">
    <w:abstractNumId w:val="7"/>
  </w:num>
  <w:num w:numId="5">
    <w:abstractNumId w:val="7"/>
  </w:num>
  <w:num w:numId="6">
    <w:abstractNumId w:val="5"/>
  </w:num>
  <w:num w:numId="7">
    <w:abstractNumId w:val="7"/>
  </w:num>
  <w:num w:numId="8">
    <w:abstractNumId w:val="7"/>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9"/>
  </w:num>
  <w:num w:numId="16">
    <w:abstractNumId w:val="1"/>
  </w:num>
  <w:num w:numId="17">
    <w:abstractNumId w:val="14"/>
  </w:num>
  <w:num w:numId="18">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329"/>
    <w:rsid w:val="002D5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styleId="BodyText">
    <w:name w:val="Body Text"/>
    <w:basedOn w:val="Normal"/>
    <w:semiHidden/>
    <w:rPr>
      <w:rFonts w:ascii="Arial" w:hAnsi="Arial"/>
      <w:sz w:val="16"/>
    </w:r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Normal"/>
    <w:pPr>
      <w:numPr>
        <w:numId w:val="14"/>
      </w:numPr>
      <w:spacing w:after="200"/>
      <w:ind w:left="1166" w:hanging="360"/>
    </w:pPr>
    <w:rPr>
      <w:rFonts w:ascii="Univers" w:hAnsi="Univers"/>
      <w:sz w:val="18"/>
    </w:rPr>
  </w:style>
  <w:style w:type="paragraph" w:styleId="List2">
    <w:name w:val="List 2"/>
    <w:basedOn w:val="Normal"/>
    <w:semiHidden/>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21.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image" Target="media/image23.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13</Pages>
  <Words>4482</Words>
  <Characters>25554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29977</CharactersWithSpaces>
  <SharedDoc>false</SharedDoc>
  <HLinks>
    <vt:vector size="18" baseType="variant">
      <vt:variant>
        <vt:i4>2883614</vt:i4>
      </vt:variant>
      <vt:variant>
        <vt:i4>23690</vt:i4>
      </vt:variant>
      <vt:variant>
        <vt:i4>1025</vt:i4>
      </vt:variant>
      <vt:variant>
        <vt:i4>1</vt:i4>
      </vt:variant>
      <vt:variant>
        <vt:lpwstr>C:\lotterylogo.bmp</vt:lpwstr>
      </vt:variant>
      <vt:variant>
        <vt:lpwstr/>
      </vt:variant>
      <vt:variant>
        <vt:i4>65604</vt:i4>
      </vt:variant>
      <vt:variant>
        <vt:i4>31186</vt:i4>
      </vt:variant>
      <vt:variant>
        <vt:i4>1026</vt:i4>
      </vt:variant>
      <vt:variant>
        <vt:i4>1</vt:i4>
      </vt:variant>
      <vt:variant>
        <vt:lpwstr>D:\Clipart\Symbols\Charts\CHART097.WMF</vt:lpwstr>
      </vt:variant>
      <vt:variant>
        <vt:lpwstr/>
      </vt:variant>
      <vt:variant>
        <vt:i4>65604</vt:i4>
      </vt:variant>
      <vt:variant>
        <vt:i4>31205</vt:i4>
      </vt:variant>
      <vt:variant>
        <vt:i4>1027</vt:i4>
      </vt:variant>
      <vt:variant>
        <vt:i4>1</vt:i4>
      </vt:variant>
      <vt:variant>
        <vt:lpwstr>D:\Clipart\Symbols\Charts\CHART097.WMF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2000-02-21T15:19:00Z</cp:lastPrinted>
  <dcterms:created xsi:type="dcterms:W3CDTF">2009-09-23T15:21:00Z</dcterms:created>
  <dcterms:modified xsi:type="dcterms:W3CDTF">2009-09-23T15:21:00Z</dcterms:modified>
</cp:coreProperties>
</file>