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E" w:rsidRDefault="00A32B1E">
      <w:pPr>
        <w:pStyle w:val="Title"/>
      </w:pPr>
      <w:r>
        <w:t>Department of Human Rights</w:t>
      </w:r>
    </w:p>
    <w:p w:rsidR="009C2AAF" w:rsidRDefault="00A32B1E">
      <w:pPr>
        <w:pStyle w:val="Title"/>
      </w:pPr>
      <w:r>
        <w:t xml:space="preserve">DEAF SERVICES COMMISSION OF </w:t>
      </w:r>
      <w:smartTag w:uri="urn:schemas-microsoft-com:office:smarttags" w:element="place">
        <w:smartTag w:uri="urn:schemas-microsoft-com:office:smarttags" w:element="State">
          <w:r>
            <w:t>IOWA</w:t>
          </w:r>
        </w:smartTag>
      </w:smartTag>
    </w:p>
    <w:p w:rsidR="009C2AAF" w:rsidRDefault="00A32B1E">
      <w:pPr>
        <w:jc w:val="center"/>
        <w:rPr>
          <w:b/>
          <w:bCs/>
        </w:rPr>
      </w:pPr>
      <w:r>
        <w:rPr>
          <w:b/>
          <w:bCs/>
        </w:rPr>
        <w:t>Performance Plan – F</w:t>
      </w:r>
      <w:r w:rsidR="009C2AAF">
        <w:rPr>
          <w:b/>
          <w:bCs/>
        </w:rPr>
        <w:t>Y 200</w:t>
      </w:r>
      <w:r w:rsidR="00614ABC">
        <w:rPr>
          <w:b/>
          <w:bCs/>
        </w:rPr>
        <w:t>7</w:t>
      </w:r>
    </w:p>
    <w:p w:rsidR="009C2AAF" w:rsidRDefault="009C2AA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9C2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b/>
                <w:bCs/>
                <w:sz w:val="20"/>
              </w:rPr>
              <w:t>: To serve, represent, and promote a greater understanding of Deaf and Hard of Hearing people, infants to adults, statewide</w:t>
            </w:r>
          </w:p>
        </w:tc>
      </w:tr>
      <w:tr w:rsidR="009C2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9C2AAF" w:rsidRDefault="009C2AAF">
            <w:pPr>
              <w:rPr>
                <w:b/>
                <w:bCs/>
                <w:sz w:val="20"/>
              </w:rPr>
            </w:pPr>
          </w:p>
        </w:tc>
      </w:tr>
      <w:tr w:rsidR="009C2AAF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bottom w:val="nil"/>
            </w:tcBorders>
            <w:shd w:val="pct20" w:color="auto" w:fill="auto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</w:tr>
      <w:tr w:rsidR="009C2AA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328" w:type="dxa"/>
            <w:gridSpan w:val="4"/>
            <w:tcBorders>
              <w:top w:val="nil"/>
            </w:tcBorders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Advocacy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</w:tr>
      <w:tr w:rsidR="009C2AAF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9C2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tcBorders>
              <w:bottom w:val="single" w:sz="4" w:space="0" w:color="auto"/>
            </w:tcBorders>
          </w:tcPr>
          <w:p w:rsidR="009C2AAF" w:rsidRPr="005C59A5" w:rsidRDefault="00614ABC">
            <w:pPr>
              <w:rPr>
                <w:b/>
                <w:bCs/>
                <w:sz w:val="20"/>
              </w:rPr>
            </w:pPr>
            <w:r w:rsidRPr="005C59A5">
              <w:rPr>
                <w:b/>
                <w:bCs/>
                <w:sz w:val="20"/>
              </w:rPr>
              <w:t xml:space="preserve">Primary </w:t>
            </w:r>
            <w:r>
              <w:rPr>
                <w:b/>
                <w:bCs/>
                <w:sz w:val="20"/>
              </w:rPr>
              <w:t>C</w:t>
            </w:r>
            <w:r w:rsidRPr="005C59A5">
              <w:rPr>
                <w:b/>
                <w:bCs/>
                <w:sz w:val="20"/>
              </w:rPr>
              <w:t>ustomers (Deaf, Hard of Hearing, Deaf Blind and Late Deafened people)</w:t>
            </w:r>
            <w:r>
              <w:rPr>
                <w:b/>
                <w:bCs/>
                <w:sz w:val="20"/>
              </w:rPr>
              <w:t xml:space="preserve"> have access to a</w:t>
            </w:r>
            <w:r w:rsidR="009C2AAF" w:rsidRPr="005C59A5">
              <w:rPr>
                <w:b/>
                <w:bCs/>
                <w:sz w:val="20"/>
              </w:rPr>
              <w:t>dult education, legal aid, employment, medical, finance, housing, recreation, and other personal assistance and social programs</w:t>
            </w:r>
            <w:r w:rsidR="009C2AAF">
              <w:rPr>
                <w:b/>
                <w:bCs/>
                <w:sz w:val="20"/>
              </w:rPr>
              <w:t xml:space="preserve"> </w:t>
            </w:r>
          </w:p>
          <w:p w:rsidR="009C2AAF" w:rsidRPr="005C59A5" w:rsidRDefault="009C2AAF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614ABC" w:rsidRDefault="00614ABC" w:rsidP="00614ABC">
            <w:pPr>
              <w:rPr>
                <w:b/>
                <w:bCs/>
                <w:sz w:val="20"/>
              </w:rPr>
            </w:pPr>
            <w:r w:rsidRPr="005C59A5">
              <w:rPr>
                <w:b/>
                <w:bCs/>
                <w:sz w:val="20"/>
              </w:rPr>
              <w:t>% of primary customers who gain access after receiving assistance</w:t>
            </w:r>
          </w:p>
          <w:p w:rsidR="009C2AAF" w:rsidRDefault="00614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(379_04401_001)</w:t>
            </w:r>
          </w:p>
          <w:p w:rsidR="00DD0C3C" w:rsidRDefault="00DD0C3C">
            <w:pPr>
              <w:rPr>
                <w:b/>
                <w:bCs/>
                <w:sz w:val="20"/>
              </w:rPr>
            </w:pPr>
          </w:p>
          <w:p w:rsidR="00DD0C3C" w:rsidRDefault="00DD0C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(end measure 379_04_401)</w:t>
            </w:r>
          </w:p>
          <w:p w:rsidR="00DD0C3C" w:rsidRPr="005C59A5" w:rsidRDefault="00DD0C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(measures 402 &amp; 403 are below)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65%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ABC" w:rsidRDefault="009C2AAF" w:rsidP="00614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Deaf, Hard of Hearing, Deaf Blind, and Late Deafened </w:t>
            </w:r>
            <w:r w:rsidR="00614ABC">
              <w:rPr>
                <w:b/>
                <w:bCs/>
                <w:sz w:val="20"/>
              </w:rPr>
              <w:t>people advocate for their needs</w:t>
            </w:r>
          </w:p>
          <w:p w:rsidR="00614ABC" w:rsidRDefault="00614ABC" w:rsidP="00614ABC">
            <w:pPr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children have life skills to transition to adulthood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</w:tr>
      <w:tr w:rsidR="0061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shd w:val="clear" w:color="auto" w:fill="CCCCCC"/>
          </w:tcPr>
          <w:p w:rsidR="00614ABC" w:rsidRPr="005C59A5" w:rsidRDefault="00614ABC" w:rsidP="008622F2">
            <w:pPr>
              <w:jc w:val="center"/>
              <w:rPr>
                <w:b/>
                <w:bCs/>
                <w:sz w:val="20"/>
              </w:rPr>
            </w:pPr>
            <w:r w:rsidRPr="005C59A5">
              <w:rPr>
                <w:b/>
                <w:bCs/>
                <w:sz w:val="20"/>
              </w:rPr>
              <w:t>Services, Products</w:t>
            </w:r>
            <w:r>
              <w:rPr>
                <w:b/>
                <w:bCs/>
                <w:sz w:val="20"/>
              </w:rPr>
              <w:t>,</w:t>
            </w:r>
            <w:r w:rsidRPr="005C59A5">
              <w:rPr>
                <w:b/>
                <w:bCs/>
                <w:sz w:val="20"/>
              </w:rPr>
              <w:t xml:space="preserve"> Activities </w:t>
            </w:r>
          </w:p>
        </w:tc>
        <w:tc>
          <w:tcPr>
            <w:tcW w:w="3582" w:type="dxa"/>
            <w:shd w:val="clear" w:color="auto" w:fill="CCCCCC"/>
          </w:tcPr>
          <w:p w:rsidR="00614ABC" w:rsidRPr="005C59A5" w:rsidRDefault="00614ABC" w:rsidP="008622F2">
            <w:pPr>
              <w:jc w:val="center"/>
              <w:rPr>
                <w:b/>
                <w:bCs/>
                <w:sz w:val="20"/>
              </w:rPr>
            </w:pPr>
            <w:r w:rsidRPr="005C59A5"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clear" w:color="auto" w:fill="CCCCCC"/>
          </w:tcPr>
          <w:p w:rsidR="00614ABC" w:rsidRDefault="00614ABC" w:rsidP="008622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clear" w:color="auto" w:fill="CCCCCC"/>
          </w:tcPr>
          <w:p w:rsidR="00614ABC" w:rsidRDefault="00614ABC" w:rsidP="008622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61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614ABC" w:rsidRPr="005C59A5" w:rsidRDefault="00614AB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Educate and assist Deaf, Hard of Hearing, Deaf Blind, and Late Deafened people to gain access to programs, services, and information</w:t>
            </w:r>
          </w:p>
          <w:p w:rsidR="00614ABC" w:rsidRDefault="00614AB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DD0C3C" w:rsidRDefault="00DD0C3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DD0C3C" w:rsidRDefault="00DD0C3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DD0C3C" w:rsidRDefault="00DD0C3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DD0C3C" w:rsidRDefault="00DD0C3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 w:rsidRPr="00910486">
              <w:rPr>
                <w:b/>
                <w:bCs/>
                <w:sz w:val="20"/>
              </w:rPr>
              <w:t>Budget # J74-4000/ 50% of budget</w:t>
            </w:r>
          </w:p>
          <w:p w:rsidR="00614ABC" w:rsidRPr="005C59A5" w:rsidRDefault="00614ABC" w:rsidP="00614AB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614ABC" w:rsidRDefault="00614ABC" w:rsidP="00614ABC">
            <w:pPr>
              <w:rPr>
                <w:b/>
                <w:bCs/>
                <w:sz w:val="20"/>
              </w:rPr>
            </w:pPr>
            <w:r w:rsidRPr="005C59A5">
              <w:rPr>
                <w:b/>
                <w:bCs/>
                <w:sz w:val="20"/>
              </w:rPr>
              <w:t xml:space="preserve">% of primary customers </w:t>
            </w:r>
            <w:r w:rsidR="00DD0C3C">
              <w:rPr>
                <w:b/>
                <w:bCs/>
                <w:sz w:val="20"/>
              </w:rPr>
              <w:t>who are satisfied with information and assistance provided</w:t>
            </w:r>
          </w:p>
          <w:p w:rsidR="00DD0C3C" w:rsidRDefault="00DD0C3C" w:rsidP="00614A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(new measure)</w:t>
            </w:r>
          </w:p>
          <w:p w:rsidR="00614ABC" w:rsidRDefault="00614ABC">
            <w:pPr>
              <w:rPr>
                <w:b/>
                <w:bCs/>
                <w:sz w:val="20"/>
              </w:rPr>
            </w:pPr>
          </w:p>
          <w:p w:rsidR="00614ABC" w:rsidRDefault="00614ABC">
            <w:pPr>
              <w:rPr>
                <w:b/>
                <w:bCs/>
                <w:sz w:val="20"/>
              </w:rPr>
            </w:pPr>
            <w:r w:rsidRPr="005C59A5">
              <w:rPr>
                <w:b/>
                <w:bCs/>
                <w:sz w:val="20"/>
              </w:rPr>
              <w:t xml:space="preserve">% of primary customers who report being prepared to self-advocate </w:t>
            </w:r>
          </w:p>
          <w:p w:rsidR="00614ABC" w:rsidRDefault="00DD0C3C" w:rsidP="00614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(379_04_402)</w:t>
            </w:r>
          </w:p>
          <w:p w:rsidR="00DD0C3C" w:rsidRDefault="00DD0C3C" w:rsidP="00614ABC">
            <w:pPr>
              <w:rPr>
                <w:b/>
                <w:sz w:val="20"/>
                <w:szCs w:val="20"/>
              </w:rPr>
            </w:pPr>
          </w:p>
          <w:p w:rsidR="00614ABC" w:rsidRPr="005C59A5" w:rsidRDefault="00614ABC" w:rsidP="00614ABC">
            <w:pPr>
              <w:rPr>
                <w:b/>
                <w:sz w:val="20"/>
                <w:szCs w:val="20"/>
              </w:rPr>
            </w:pPr>
            <w:r w:rsidRPr="005C59A5">
              <w:rPr>
                <w:b/>
                <w:sz w:val="20"/>
                <w:szCs w:val="20"/>
              </w:rPr>
              <w:t xml:space="preserve">% of primary customers who </w:t>
            </w:r>
            <w:r>
              <w:rPr>
                <w:b/>
                <w:sz w:val="20"/>
                <w:szCs w:val="20"/>
              </w:rPr>
              <w:t xml:space="preserve">report having </w:t>
            </w:r>
            <w:r w:rsidRPr="005C59A5">
              <w:rPr>
                <w:b/>
                <w:sz w:val="20"/>
                <w:szCs w:val="20"/>
              </w:rPr>
              <w:t xml:space="preserve">independent living skills </w:t>
            </w:r>
          </w:p>
          <w:p w:rsidR="00614ABC" w:rsidRDefault="00DD0C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(379_04_403)</w:t>
            </w:r>
          </w:p>
          <w:p w:rsidR="00DD0C3C" w:rsidRPr="005C59A5" w:rsidRDefault="00DD0C3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65%</w:t>
            </w: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65%</w:t>
            </w: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</w:p>
          <w:p w:rsidR="00614ABC" w:rsidRDefault="00614ABC" w:rsidP="00614A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  <w:p w:rsidR="00614ABC" w:rsidRDefault="00614AB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auto"/>
          </w:tcPr>
          <w:p w:rsidR="00614ABC" w:rsidRDefault="00614ABC">
            <w:pPr>
              <w:rPr>
                <w:b/>
                <w:bCs/>
                <w:sz w:val="20"/>
              </w:rPr>
            </w:pPr>
          </w:p>
        </w:tc>
      </w:tr>
    </w:tbl>
    <w:p w:rsidR="009C2AAF" w:rsidRDefault="009C2AAF"/>
    <w:p w:rsidR="009C2AAF" w:rsidRDefault="009C2A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9C2AAF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bottom w:val="nil"/>
            </w:tcBorders>
            <w:shd w:val="pct20" w:color="auto" w:fill="auto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</w:rPr>
              <w:t>Core Function</w:t>
            </w:r>
          </w:p>
        </w:tc>
      </w:tr>
      <w:tr w:rsidR="009C2AAF">
        <w:tblPrEx>
          <w:tblCellMar>
            <w:top w:w="0" w:type="dxa"/>
            <w:bottom w:w="0" w:type="dxa"/>
          </w:tblCellMar>
        </w:tblPrEx>
        <w:tc>
          <w:tcPr>
            <w:tcW w:w="14328" w:type="dxa"/>
            <w:gridSpan w:val="4"/>
            <w:tcBorders>
              <w:top w:val="nil"/>
            </w:tcBorders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Community Coordination and Development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J74-4000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</w:tr>
      <w:tr w:rsidR="009C2AAF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clear" w:color="auto" w:fill="CCCCCC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9C2AAF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Community services are accessible to </w:t>
            </w:r>
            <w:r w:rsidRPr="005C59A5">
              <w:rPr>
                <w:b/>
                <w:bCs/>
                <w:sz w:val="20"/>
              </w:rPr>
              <w:t xml:space="preserve">Primary </w:t>
            </w:r>
            <w:r>
              <w:rPr>
                <w:b/>
                <w:bCs/>
                <w:sz w:val="20"/>
              </w:rPr>
              <w:t>C</w:t>
            </w:r>
            <w:r w:rsidRPr="005C59A5">
              <w:rPr>
                <w:b/>
                <w:bCs/>
                <w:sz w:val="20"/>
              </w:rPr>
              <w:t>ustomers (Deaf, Hard of Hearing, Deaf Blind and Late Deafened people)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community services that become accessible after receiving assistance</w:t>
            </w:r>
          </w:p>
          <w:p w:rsidR="009C2AAF" w:rsidRDefault="009C2AAF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75%</w:t>
            </w:r>
          </w:p>
        </w:tc>
        <w:tc>
          <w:tcPr>
            <w:tcW w:w="3582" w:type="dxa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Deaf, Hard of Hearing, Deaf Blind, and Late Deafened Iowans have access to information and services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  <w:p w:rsidR="009C2AAF" w:rsidRDefault="009C2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Iowans have information on hearing loss to provide appropriate accommodations for Deaf, Hard of Hearing, Deaf Blind, and Late Deafened people</w:t>
            </w:r>
          </w:p>
          <w:p w:rsidR="009C2AAF" w:rsidRDefault="009C2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2AAF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9C2AAF">
        <w:tblPrEx>
          <w:tblCellMar>
            <w:top w:w="0" w:type="dxa"/>
            <w:bottom w:w="0" w:type="dxa"/>
          </w:tblCellMar>
        </w:tblPrEx>
        <w:trPr>
          <w:cantSplit/>
          <w:trHeight w:val="2069"/>
        </w:trPr>
        <w:tc>
          <w:tcPr>
            <w:tcW w:w="3582" w:type="dxa"/>
          </w:tcPr>
          <w:p w:rsidR="009C2AAF" w:rsidRDefault="009C2AA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 technical assistance, training, and information to organizations and agencies ensuring accessibility of products and services for primary customers</w:t>
            </w:r>
          </w:p>
          <w:p w:rsidR="009C2AAF" w:rsidRDefault="009C2AAF">
            <w:pPr>
              <w:tabs>
                <w:tab w:val="left" w:pos="480"/>
              </w:tabs>
              <w:ind w:left="240" w:hanging="240"/>
              <w:rPr>
                <w:b/>
                <w:bCs/>
                <w:sz w:val="20"/>
              </w:rPr>
            </w:pPr>
          </w:p>
          <w:p w:rsidR="009C2AAF" w:rsidRDefault="009C2AAF">
            <w:pPr>
              <w:tabs>
                <w:tab w:val="left" w:pos="480"/>
              </w:tabs>
              <w:ind w:left="240" w:hanging="240"/>
              <w:rPr>
                <w:b/>
                <w:bCs/>
                <w:sz w:val="20"/>
              </w:rPr>
            </w:pPr>
            <w:r w:rsidRPr="00910486">
              <w:rPr>
                <w:b/>
                <w:bCs/>
                <w:sz w:val="20"/>
              </w:rPr>
              <w:t>Budget # J74-4000/ 50% of budget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C2AAF" w:rsidRDefault="009C2AAF">
            <w:pPr>
              <w:tabs>
                <w:tab w:val="left" w:pos="480"/>
              </w:tabs>
              <w:ind w:left="480" w:hanging="240"/>
              <w:rPr>
                <w:b/>
                <w:bCs/>
                <w:sz w:val="20"/>
              </w:rPr>
            </w:pPr>
          </w:p>
          <w:p w:rsidR="009C2AAF" w:rsidRPr="001728A1" w:rsidRDefault="009C2AAF">
            <w:pPr>
              <w:tabs>
                <w:tab w:val="left" w:pos="480"/>
              </w:tabs>
              <w:ind w:left="480"/>
              <w:rPr>
                <w:bCs/>
                <w:sz w:val="20"/>
                <w:szCs w:val="20"/>
              </w:rPr>
            </w:pPr>
          </w:p>
        </w:tc>
        <w:tc>
          <w:tcPr>
            <w:tcW w:w="3582" w:type="dxa"/>
          </w:tcPr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organizations and agencies that are satisfied with technical assistance and information provided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  <w:p w:rsidR="009C2AAF" w:rsidRDefault="009C2AA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individuals attending training that indicate training goals were met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</w:t>
            </w:r>
          </w:p>
          <w:p w:rsidR="009C2AAF" w:rsidRDefault="009C2AAF">
            <w:pPr>
              <w:jc w:val="center"/>
              <w:rPr>
                <w:b/>
                <w:bCs/>
                <w:sz w:val="20"/>
              </w:rPr>
            </w:pPr>
          </w:p>
          <w:p w:rsidR="009C2AAF" w:rsidRDefault="009C2AAF">
            <w:pPr>
              <w:jc w:val="center"/>
              <w:rPr>
                <w:b/>
                <w:bCs/>
                <w:sz w:val="20"/>
              </w:rPr>
            </w:pPr>
          </w:p>
          <w:p w:rsidR="009C2AAF" w:rsidRDefault="009C2AAF">
            <w:pPr>
              <w:jc w:val="center"/>
              <w:rPr>
                <w:b/>
                <w:bCs/>
                <w:sz w:val="20"/>
              </w:rPr>
            </w:pPr>
          </w:p>
          <w:p w:rsidR="009C2AAF" w:rsidRDefault="009C2AAF">
            <w:pPr>
              <w:jc w:val="center"/>
              <w:rPr>
                <w:b/>
                <w:bCs/>
                <w:sz w:val="20"/>
              </w:rPr>
            </w:pPr>
          </w:p>
          <w:p w:rsidR="009C2AAF" w:rsidRDefault="009C2A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98%</w:t>
            </w:r>
          </w:p>
          <w:p w:rsidR="009C2AAF" w:rsidRDefault="009C2AAF">
            <w:pPr>
              <w:rPr>
                <w:b/>
                <w:bCs/>
                <w:sz w:val="20"/>
              </w:rPr>
            </w:pPr>
          </w:p>
          <w:p w:rsidR="009C2AAF" w:rsidRDefault="009C2AAF">
            <w:pPr>
              <w:rPr>
                <w:b/>
                <w:bCs/>
                <w:sz w:val="20"/>
              </w:rPr>
            </w:pPr>
          </w:p>
          <w:p w:rsidR="009C2AAF" w:rsidRDefault="009C2AAF">
            <w:pPr>
              <w:rPr>
                <w:b/>
                <w:bCs/>
                <w:sz w:val="20"/>
              </w:rPr>
            </w:pPr>
          </w:p>
          <w:p w:rsidR="009C2AAF" w:rsidRDefault="009C2AAF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9C2AAF" w:rsidRDefault="009C2AAF">
            <w:pPr>
              <w:ind w:left="174" w:hanging="120"/>
              <w:rPr>
                <w:b/>
                <w:bCs/>
                <w:sz w:val="20"/>
              </w:rPr>
            </w:pPr>
          </w:p>
        </w:tc>
      </w:tr>
    </w:tbl>
    <w:p w:rsidR="009C2AAF" w:rsidRDefault="009C2AAF">
      <w:pPr>
        <w:rPr>
          <w:b/>
          <w:bCs/>
        </w:rPr>
      </w:pPr>
    </w:p>
    <w:p w:rsidR="009C2AAF" w:rsidRDefault="009C2AAF"/>
    <w:p w:rsidR="009C2AAF" w:rsidRDefault="009C2AAF"/>
    <w:sectPr w:rsidR="009C2AAF">
      <w:footerReference w:type="default" r:id="rId7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5F" w:rsidRDefault="00A9235F">
      <w:r>
        <w:separator/>
      </w:r>
    </w:p>
  </w:endnote>
  <w:endnote w:type="continuationSeparator" w:id="1">
    <w:p w:rsidR="00A9235F" w:rsidRDefault="00A9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3C" w:rsidRDefault="00DD0C3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-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78160B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5F" w:rsidRDefault="00A9235F">
      <w:r>
        <w:separator/>
      </w:r>
    </w:p>
  </w:footnote>
  <w:footnote w:type="continuationSeparator" w:id="1">
    <w:p w:rsidR="00A9235F" w:rsidRDefault="00A9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72"/>
    <w:multiLevelType w:val="hybridMultilevel"/>
    <w:tmpl w:val="5E28BA16"/>
    <w:lvl w:ilvl="0" w:tplc="2EBA202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5D5ACC4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2034240"/>
    <w:multiLevelType w:val="multilevel"/>
    <w:tmpl w:val="3B1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D2883"/>
    <w:multiLevelType w:val="hybridMultilevel"/>
    <w:tmpl w:val="80CE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744BB"/>
    <w:multiLevelType w:val="hybridMultilevel"/>
    <w:tmpl w:val="C5CCA45A"/>
    <w:lvl w:ilvl="0" w:tplc="E20C9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182B0C"/>
    <w:multiLevelType w:val="hybridMultilevel"/>
    <w:tmpl w:val="F650FBD2"/>
    <w:lvl w:ilvl="0" w:tplc="2EBA20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B51D2A"/>
    <w:multiLevelType w:val="multilevel"/>
    <w:tmpl w:val="ED14C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A31402"/>
    <w:multiLevelType w:val="hybridMultilevel"/>
    <w:tmpl w:val="45AE76A4"/>
    <w:lvl w:ilvl="0" w:tplc="048E3D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C05DF"/>
    <w:multiLevelType w:val="multilevel"/>
    <w:tmpl w:val="F6F261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0368FC"/>
    <w:multiLevelType w:val="hybridMultilevel"/>
    <w:tmpl w:val="D234BA38"/>
    <w:lvl w:ilvl="0" w:tplc="5D5ACC4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B1E"/>
    <w:rsid w:val="005C7197"/>
    <w:rsid w:val="00614ABC"/>
    <w:rsid w:val="0078160B"/>
    <w:rsid w:val="008622F2"/>
    <w:rsid w:val="009C2AAF"/>
    <w:rsid w:val="00A32B1E"/>
    <w:rsid w:val="00A9235F"/>
    <w:rsid w:val="00D4006A"/>
    <w:rsid w:val="00D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480"/>
      </w:tabs>
      <w:ind w:left="240" w:hanging="24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 </dc:creator>
  <cp:keywords/>
  <dc:description/>
  <cp:lastModifiedBy>Margaret Noon</cp:lastModifiedBy>
  <cp:revision>2</cp:revision>
  <cp:lastPrinted>2006-07-20T20:44:00Z</cp:lastPrinted>
  <dcterms:created xsi:type="dcterms:W3CDTF">2008-11-19T16:17:00Z</dcterms:created>
  <dcterms:modified xsi:type="dcterms:W3CDTF">2008-11-19T16:17:00Z</dcterms:modified>
</cp:coreProperties>
</file>