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11ED">
      <w:pPr>
        <w:pStyle w:val="Title"/>
      </w:pPr>
      <w:r>
        <w:t>Iowa Department of Human Services</w:t>
      </w:r>
    </w:p>
    <w:p w:rsidR="00000000" w:rsidRDefault="00C311ED">
      <w:pPr>
        <w:jc w:val="center"/>
        <w:rPr>
          <w:b/>
          <w:bCs/>
          <w:sz w:val="72"/>
        </w:rPr>
      </w:pPr>
    </w:p>
    <w:p w:rsidR="00000000" w:rsidRDefault="00C311ED">
      <w:pPr>
        <w:jc w:val="center"/>
        <w:rPr>
          <w:b/>
          <w:bCs/>
          <w:sz w:val="72"/>
        </w:rPr>
      </w:pPr>
      <w:r>
        <w:rPr>
          <w:b/>
          <w:bCs/>
          <w:noProof/>
          <w:sz w:val="72"/>
        </w:rPr>
        <w:drawing>
          <wp:inline distT="0" distB="0" distL="0" distR="0">
            <wp:extent cx="7921625" cy="3006725"/>
            <wp:effectExtent l="19050" t="0" r="3175" b="0"/>
            <wp:docPr id="1" name="Picture 1" descr="Data\06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06Cover.jpg"/>
                    <pic:cNvPicPr>
                      <a:picLocks noChangeAspect="1" noChangeArrowheads="1"/>
                    </pic:cNvPicPr>
                  </pic:nvPicPr>
                  <pic:blipFill>
                    <a:blip r:embed="rId7"/>
                    <a:srcRect/>
                    <a:stretch>
                      <a:fillRect/>
                    </a:stretch>
                  </pic:blipFill>
                  <pic:spPr bwMode="auto">
                    <a:xfrm>
                      <a:off x="0" y="0"/>
                      <a:ext cx="7921625" cy="3006725"/>
                    </a:xfrm>
                    <a:prstGeom prst="rect">
                      <a:avLst/>
                    </a:prstGeom>
                    <a:noFill/>
                    <a:ln w="9525">
                      <a:noFill/>
                      <a:miter lim="800000"/>
                      <a:headEnd/>
                      <a:tailEnd/>
                    </a:ln>
                  </pic:spPr>
                </pic:pic>
              </a:graphicData>
            </a:graphic>
          </wp:inline>
        </w:drawing>
      </w:r>
    </w:p>
    <w:p w:rsidR="00000000" w:rsidRDefault="00C311ED">
      <w:pPr>
        <w:jc w:val="center"/>
        <w:rPr>
          <w:b/>
          <w:bCs/>
          <w:sz w:val="72"/>
        </w:rPr>
      </w:pPr>
    </w:p>
    <w:p w:rsidR="00000000" w:rsidRDefault="00C311ED">
      <w:pPr>
        <w:pStyle w:val="Heading1"/>
        <w:rPr>
          <w:sz w:val="48"/>
        </w:rPr>
      </w:pPr>
      <w:r>
        <w:t>Targeted Case Management Unit</w:t>
      </w:r>
    </w:p>
    <w:p w:rsidR="00000000" w:rsidRDefault="00C311ED">
      <w:pPr>
        <w:jc w:val="center"/>
        <w:rPr>
          <w:b/>
          <w:bCs/>
          <w:sz w:val="20"/>
        </w:rPr>
      </w:pPr>
    </w:p>
    <w:p w:rsidR="00000000" w:rsidRDefault="00C311ED">
      <w:pPr>
        <w:pStyle w:val="Heading1"/>
        <w:rPr>
          <w:b w:val="0"/>
          <w:bCs w:val="0"/>
          <w:sz w:val="48"/>
        </w:rPr>
      </w:pPr>
      <w:r>
        <w:t>2006 Annual Report</w:t>
      </w:r>
    </w:p>
    <w:p w:rsidR="00000000" w:rsidRDefault="00C311ED">
      <w:pPr>
        <w:rPr>
          <w:sz w:val="20"/>
        </w:rPr>
      </w:pPr>
    </w:p>
    <w:tbl>
      <w:tblPr>
        <w:tblpPr w:leftFromText="180" w:rightFromText="180"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gridCol w:w="3888"/>
      </w:tblGrid>
      <w:tr w:rsidR="00000000">
        <w:tblPrEx>
          <w:tblCellMar>
            <w:top w:w="0" w:type="dxa"/>
            <w:bottom w:w="0" w:type="dxa"/>
          </w:tblCellMar>
        </w:tblPrEx>
        <w:tc>
          <w:tcPr>
            <w:tcW w:w="10368" w:type="dxa"/>
            <w:tcBorders>
              <w:top w:val="nil"/>
              <w:left w:val="nil"/>
              <w:bottom w:val="nil"/>
              <w:right w:val="nil"/>
            </w:tcBorders>
          </w:tcPr>
          <w:p w:rsidR="00000000" w:rsidRDefault="00C311ED">
            <w:r>
              <w:lastRenderedPageBreak/>
              <w:t xml:space="preserve"> The year 2006 emphasized setting goals and working hard to achieve them and a new motto called Medical Necessity.</w:t>
            </w:r>
          </w:p>
          <w:p w:rsidR="00000000" w:rsidRDefault="00C311ED"/>
          <w:p w:rsidR="00000000" w:rsidRDefault="00C311ED">
            <w:r>
              <w:t>Both our consumers and field staff shined this past</w:t>
            </w:r>
            <w:r>
              <w:t xml:space="preserve"> year. We served 291 new consumers; the majority of these were our new CMH children. They make our life exciting. We also closed 143 more cases than the year before. Our data indicates that the majority of consumers are served five years or less by DHS TCM</w:t>
            </w:r>
            <w:r>
              <w:t xml:space="preserve">. Discharge can occur for many reasons, most of our consumers have learned how to advocate and provide for their own health and safety. Our 134 case managers carried a weighted caseload of 35 by the end of the year. Our Medicaid model requires activity on </w:t>
            </w:r>
            <w:r>
              <w:t>behalf of the consumers be documented in a narrative format. Our TCM’s document 85 contacts a month for an average duration of 20 minutes. This far exceeds the minimum expectation. No wonder consumers and families rate their TCM satisfaction at a 97%.</w:t>
            </w:r>
          </w:p>
        </w:tc>
        <w:tc>
          <w:tcPr>
            <w:tcW w:w="3888" w:type="dxa"/>
            <w:tcBorders>
              <w:top w:val="nil"/>
              <w:left w:val="nil"/>
              <w:bottom w:val="nil"/>
              <w:right w:val="nil"/>
            </w:tcBorders>
            <w:vAlign w:val="center"/>
          </w:tcPr>
          <w:p w:rsidR="00000000" w:rsidRDefault="00C311ED">
            <w:pPr>
              <w:jc w:val="center"/>
            </w:pPr>
            <w:r>
              <w:rPr>
                <w:noProof/>
              </w:rPr>
              <w:drawing>
                <wp:inline distT="0" distB="0" distL="0" distR="0">
                  <wp:extent cx="2242185" cy="1283970"/>
                  <wp:effectExtent l="19050" t="0" r="5715" b="0"/>
                  <wp:docPr id="2" name="Picture 2" descr="C:\Documents and Settings\dkarrer\Application Data\Microsoft\Media Catalog\Downloaded Clips\cl91\j036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karrer\Application Data\Microsoft\Media Catalog\Downloaded Clips\cl91\j0362703.jpg"/>
                          <pic:cNvPicPr>
                            <a:picLocks noChangeAspect="1" noChangeArrowheads="1"/>
                          </pic:cNvPicPr>
                        </pic:nvPicPr>
                        <pic:blipFill>
                          <a:blip r:embed="rId8"/>
                          <a:srcRect/>
                          <a:stretch>
                            <a:fillRect/>
                          </a:stretch>
                        </pic:blipFill>
                        <pic:spPr bwMode="auto">
                          <a:xfrm>
                            <a:off x="0" y="0"/>
                            <a:ext cx="2242185" cy="128397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14256" w:type="dxa"/>
            <w:gridSpan w:val="2"/>
            <w:tcBorders>
              <w:top w:val="nil"/>
              <w:left w:val="nil"/>
              <w:bottom w:val="nil"/>
              <w:right w:val="nil"/>
            </w:tcBorders>
          </w:tcPr>
          <w:p w:rsidR="00000000" w:rsidRDefault="00C311ED"/>
          <w:p w:rsidR="00000000" w:rsidRDefault="00C311ED">
            <w:r>
              <w:t>The safety of the consumers we serve continues to be our focus. I remember 20 years ago very few people thought our consumers could live and work safely in a community setting. It is a challenge but we have come so far. I am very pleased with the quality o</w:t>
            </w:r>
            <w:r>
              <w:t>f the case management crisis plans and have seen the outcome data demonstrate the success of these individual plans.</w:t>
            </w:r>
          </w:p>
          <w:p w:rsidR="00000000" w:rsidRDefault="00C311ED"/>
          <w:p w:rsidR="00000000" w:rsidRDefault="00C311ED">
            <w:r>
              <w:t>Our CMH children worked hard to achieve outcomes and these are featured in this report.</w:t>
            </w:r>
          </w:p>
          <w:p w:rsidR="00000000" w:rsidRDefault="00C311ED">
            <w:r>
              <w:t>Of the 5 states participating in this program Iowa</w:t>
            </w:r>
            <w:r>
              <w:t>’s children far exceed the others in school attendance and achievement.</w:t>
            </w:r>
          </w:p>
          <w:p w:rsidR="00000000" w:rsidRDefault="00C311ED"/>
          <w:p w:rsidR="00000000" w:rsidRDefault="00C311ED">
            <w:r>
              <w:t>Throughout 2006 we experienced a number of successes in other areas as well.  We conducted focus groups throughout the state to gather input from a variety of participants in TCM.  Th</w:t>
            </w:r>
            <w:r>
              <w:t>e development of a mock survey report was also accomplished and the 2006 conference was a great success.  Our summer surprise was an Audit experience with OIG. We refocused our processes from functional language to medical necessity. Our staff participated</w:t>
            </w:r>
            <w:r>
              <w:t xml:space="preserve"> in special trainings and rediscovered their clinical language and skills. </w:t>
            </w:r>
          </w:p>
          <w:p w:rsidR="00000000" w:rsidRDefault="00C311ED"/>
          <w:p w:rsidR="00000000" w:rsidRDefault="00C311ED">
            <w:r>
              <w:t>From an administrative viewpoint, the best decisions of 2006 involved centralizing financial business functions under one supervisor, conducting staff surveys, supervisors signing</w:t>
            </w:r>
            <w:r>
              <w:t xml:space="preserve"> all consumer OAPs, TCM staff recording the financial commitment of consumer plans, evaluating our potential involvement in an Elderly Waiver and deciding not to participate.  </w:t>
            </w:r>
          </w:p>
          <w:p w:rsidR="00000000" w:rsidRDefault="00C311ED"/>
          <w:p w:rsidR="00000000" w:rsidRDefault="00C311ED">
            <w:r>
              <w:t>Overall, the DHS TCM unit had a very successful and exciting 2006. With more h</w:t>
            </w:r>
            <w:r>
              <w:t>ard work throughout the next year, we hope to accomplish our goals while continuing our high standard of customer service.  We are confident that 2007 will bring additional success to the consumers and families we serve as well as the staff who work on the</w:t>
            </w:r>
            <w:r>
              <w:t>ir behalf.</w:t>
            </w:r>
          </w:p>
          <w:p w:rsidR="00000000" w:rsidRDefault="00C311ED"/>
          <w:p w:rsidR="00000000" w:rsidRDefault="00C311ED"/>
          <w:p w:rsidR="00000000" w:rsidRDefault="00C311ED">
            <w:pPr>
              <w:ind w:left="9180"/>
              <w:rPr>
                <w:rFonts w:ascii="Script MT Bold" w:hAnsi="Script MT Bold"/>
                <w:b/>
                <w:bCs/>
                <w:sz w:val="44"/>
              </w:rPr>
            </w:pPr>
            <w:r>
              <w:rPr>
                <w:rFonts w:ascii="Script MT Bold" w:hAnsi="Script MT Bold"/>
                <w:b/>
                <w:bCs/>
                <w:sz w:val="44"/>
              </w:rPr>
              <w:t>Diane Diamond,</w:t>
            </w:r>
          </w:p>
          <w:p w:rsidR="00000000" w:rsidRDefault="00C311ED">
            <w:pPr>
              <w:ind w:left="9180"/>
            </w:pPr>
            <w:r>
              <w:t xml:space="preserve"> Bureau Chief, DHS TCM</w:t>
            </w:r>
          </w:p>
        </w:tc>
      </w:tr>
    </w:tbl>
    <w:p w:rsidR="00000000" w:rsidRDefault="00C311ED">
      <w:r>
        <w:t xml:space="preserve"> </w:t>
      </w:r>
    </w:p>
    <w:p w:rsidR="00000000" w:rsidRDefault="00C311ED">
      <w:pPr>
        <w:pStyle w:val="Title"/>
        <w:rPr>
          <w:sz w:val="48"/>
        </w:rPr>
      </w:pPr>
      <w:r>
        <w:br w:type="page"/>
      </w:r>
      <w:r>
        <w:rPr>
          <w:sz w:val="48"/>
        </w:rPr>
        <w:lastRenderedPageBreak/>
        <w:t>Our Consumers</w:t>
      </w:r>
    </w:p>
    <w:p w:rsidR="00000000" w:rsidRDefault="00C311ED"/>
    <w:p w:rsidR="00000000" w:rsidRDefault="00C311ED">
      <w:r>
        <w:t>The Department of Human Services Targeted Case Management Unit serves consumers with mental retardation, chronic mental illness, developmental disabilities, brain injury and children wit</w:t>
      </w:r>
      <w:r>
        <w:t xml:space="preserve">h serious emotional disturbance.  Our case managers help consumers gain access to appropriate living environments, needed medical services, and interrelated social, vocational and educational services.  Below is a look at the consumers we served in 2006.  </w:t>
      </w:r>
      <w:r>
        <w:t>These figures include all consumers who were served for at least one month during 2006.</w:t>
      </w:r>
    </w:p>
    <w:p w:rsidR="00000000" w:rsidRDefault="00C31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985"/>
        <w:gridCol w:w="1985"/>
        <w:gridCol w:w="1985"/>
        <w:gridCol w:w="1985"/>
        <w:gridCol w:w="1985"/>
        <w:gridCol w:w="1986"/>
      </w:tblGrid>
      <w:tr w:rsidR="00000000">
        <w:tblPrEx>
          <w:tblCellMar>
            <w:top w:w="0" w:type="dxa"/>
            <w:bottom w:w="0" w:type="dxa"/>
          </w:tblCellMar>
        </w:tblPrEx>
        <w:trPr>
          <w:gridAfter w:val="4"/>
          <w:wAfter w:w="7941" w:type="dxa"/>
          <w:cantSplit/>
        </w:trPr>
        <w:tc>
          <w:tcPr>
            <w:tcW w:w="3970" w:type="dxa"/>
            <w:gridSpan w:val="2"/>
            <w:tcBorders>
              <w:bottom w:val="single" w:sz="4" w:space="0" w:color="auto"/>
            </w:tcBorders>
          </w:tcPr>
          <w:p w:rsidR="00000000" w:rsidRDefault="00C311ED">
            <w:r>
              <w:rPr>
                <w:b/>
                <w:bCs/>
              </w:rPr>
              <w:t>Total Number of Consumers Served</w:t>
            </w:r>
          </w:p>
        </w:tc>
        <w:tc>
          <w:tcPr>
            <w:tcW w:w="1985" w:type="dxa"/>
            <w:tcBorders>
              <w:bottom w:val="single" w:sz="4" w:space="0" w:color="auto"/>
              <w:right w:val="single" w:sz="4" w:space="0" w:color="auto"/>
            </w:tcBorders>
          </w:tcPr>
          <w:p w:rsidR="00000000" w:rsidRDefault="00C311ED">
            <w:pPr>
              <w:jc w:val="center"/>
            </w:pPr>
            <w:r>
              <w:t>4680</w:t>
            </w:r>
          </w:p>
        </w:tc>
      </w:tr>
      <w:tr w:rsidR="00000000">
        <w:tblPrEx>
          <w:tblCellMar>
            <w:top w:w="0" w:type="dxa"/>
            <w:bottom w:w="0" w:type="dxa"/>
          </w:tblCellMar>
        </w:tblPrEx>
        <w:trPr>
          <w:gridAfter w:val="2"/>
          <w:wAfter w:w="3971" w:type="dxa"/>
          <w:cantSplit/>
        </w:trPr>
        <w:tc>
          <w:tcPr>
            <w:tcW w:w="1985" w:type="dxa"/>
            <w:tcBorders>
              <w:left w:val="nil"/>
              <w:right w:val="nil"/>
            </w:tcBorders>
          </w:tcPr>
          <w:p w:rsidR="00000000" w:rsidRDefault="00C311ED"/>
        </w:tc>
        <w:tc>
          <w:tcPr>
            <w:tcW w:w="1985" w:type="dxa"/>
            <w:tcBorders>
              <w:left w:val="nil"/>
              <w:right w:val="nil"/>
            </w:tcBorders>
          </w:tcPr>
          <w:p w:rsidR="00000000" w:rsidRDefault="00C311ED"/>
        </w:tc>
        <w:tc>
          <w:tcPr>
            <w:tcW w:w="1985" w:type="dxa"/>
            <w:tcBorders>
              <w:left w:val="nil"/>
              <w:right w:val="nil"/>
            </w:tcBorders>
          </w:tcPr>
          <w:p w:rsidR="00000000" w:rsidRDefault="00C311ED"/>
        </w:tc>
        <w:tc>
          <w:tcPr>
            <w:tcW w:w="3970" w:type="dxa"/>
            <w:gridSpan w:val="2"/>
            <w:tcBorders>
              <w:top w:val="nil"/>
              <w:left w:val="nil"/>
              <w:right w:val="nil"/>
            </w:tcBorders>
          </w:tcPr>
          <w:p w:rsidR="00000000" w:rsidRDefault="00C311ED"/>
        </w:tc>
      </w:tr>
      <w:tr w:rsidR="00000000">
        <w:tblPrEx>
          <w:tblCellMar>
            <w:top w:w="0" w:type="dxa"/>
            <w:bottom w:w="0" w:type="dxa"/>
          </w:tblCellMar>
        </w:tblPrEx>
        <w:trPr>
          <w:gridAfter w:val="2"/>
          <w:wAfter w:w="3971" w:type="dxa"/>
          <w:cantSplit/>
        </w:trPr>
        <w:tc>
          <w:tcPr>
            <w:tcW w:w="1985" w:type="dxa"/>
          </w:tcPr>
          <w:p w:rsidR="00000000" w:rsidRDefault="00C311ED">
            <w:pPr>
              <w:rPr>
                <w:b/>
                <w:bCs/>
              </w:rPr>
            </w:pPr>
            <w:r>
              <w:rPr>
                <w:b/>
                <w:bCs/>
              </w:rPr>
              <w:t>Age</w:t>
            </w:r>
          </w:p>
        </w:tc>
        <w:tc>
          <w:tcPr>
            <w:tcW w:w="1985" w:type="dxa"/>
          </w:tcPr>
          <w:p w:rsidR="00000000" w:rsidRDefault="00C311ED">
            <w:pPr>
              <w:jc w:val="center"/>
              <w:rPr>
                <w:b/>
                <w:bCs/>
              </w:rPr>
            </w:pPr>
            <w:r>
              <w:rPr>
                <w:b/>
                <w:bCs/>
              </w:rPr>
              <w:t>0-17</w:t>
            </w:r>
          </w:p>
        </w:tc>
        <w:tc>
          <w:tcPr>
            <w:tcW w:w="1985" w:type="dxa"/>
          </w:tcPr>
          <w:p w:rsidR="00000000" w:rsidRDefault="00C311ED">
            <w:pPr>
              <w:jc w:val="center"/>
              <w:rPr>
                <w:b/>
                <w:bCs/>
              </w:rPr>
            </w:pPr>
            <w:r>
              <w:rPr>
                <w:b/>
                <w:bCs/>
              </w:rPr>
              <w:t>18-34</w:t>
            </w:r>
          </w:p>
        </w:tc>
        <w:tc>
          <w:tcPr>
            <w:tcW w:w="1985" w:type="dxa"/>
          </w:tcPr>
          <w:p w:rsidR="00000000" w:rsidRDefault="00C311ED">
            <w:pPr>
              <w:jc w:val="center"/>
              <w:rPr>
                <w:b/>
                <w:bCs/>
              </w:rPr>
            </w:pPr>
            <w:r>
              <w:rPr>
                <w:b/>
                <w:bCs/>
              </w:rPr>
              <w:t>35-64</w:t>
            </w:r>
          </w:p>
        </w:tc>
        <w:tc>
          <w:tcPr>
            <w:tcW w:w="1985" w:type="dxa"/>
            <w:tcBorders>
              <w:right w:val="single" w:sz="4" w:space="0" w:color="auto"/>
            </w:tcBorders>
          </w:tcPr>
          <w:p w:rsidR="00000000" w:rsidRDefault="00C311ED">
            <w:pPr>
              <w:jc w:val="center"/>
              <w:rPr>
                <w:b/>
                <w:bCs/>
              </w:rPr>
            </w:pPr>
            <w:r>
              <w:rPr>
                <w:b/>
                <w:bCs/>
              </w:rPr>
              <w:t>65+</w:t>
            </w:r>
          </w:p>
        </w:tc>
      </w:tr>
      <w:tr w:rsidR="00000000">
        <w:tblPrEx>
          <w:tblCellMar>
            <w:top w:w="0" w:type="dxa"/>
            <w:bottom w:w="0" w:type="dxa"/>
          </w:tblCellMar>
        </w:tblPrEx>
        <w:trPr>
          <w:gridAfter w:val="2"/>
          <w:wAfter w:w="3971" w:type="dxa"/>
          <w:cantSplit/>
        </w:trPr>
        <w:tc>
          <w:tcPr>
            <w:tcW w:w="1985" w:type="dxa"/>
          </w:tcPr>
          <w:p w:rsidR="00000000" w:rsidRDefault="00C311ED">
            <w:pPr>
              <w:rPr>
                <w:b/>
                <w:bCs/>
              </w:rPr>
            </w:pPr>
            <w:r>
              <w:rPr>
                <w:b/>
                <w:bCs/>
              </w:rPr>
              <w:t>Number of Consumers</w:t>
            </w:r>
          </w:p>
        </w:tc>
        <w:tc>
          <w:tcPr>
            <w:tcW w:w="1985" w:type="dxa"/>
            <w:vAlign w:val="center"/>
          </w:tcPr>
          <w:p w:rsidR="00000000" w:rsidRDefault="00C311ED">
            <w:pPr>
              <w:jc w:val="center"/>
            </w:pPr>
            <w:r>
              <w:t>963</w:t>
            </w:r>
          </w:p>
        </w:tc>
        <w:tc>
          <w:tcPr>
            <w:tcW w:w="1985" w:type="dxa"/>
            <w:vAlign w:val="center"/>
          </w:tcPr>
          <w:p w:rsidR="00000000" w:rsidRDefault="00C311ED">
            <w:pPr>
              <w:jc w:val="center"/>
            </w:pPr>
            <w:r>
              <w:t>1457</w:t>
            </w:r>
          </w:p>
        </w:tc>
        <w:tc>
          <w:tcPr>
            <w:tcW w:w="1985" w:type="dxa"/>
            <w:vAlign w:val="center"/>
          </w:tcPr>
          <w:p w:rsidR="00000000" w:rsidRDefault="00C311ED">
            <w:pPr>
              <w:jc w:val="center"/>
            </w:pPr>
            <w:r>
              <w:t>2134</w:t>
            </w:r>
          </w:p>
        </w:tc>
        <w:tc>
          <w:tcPr>
            <w:tcW w:w="1985" w:type="dxa"/>
            <w:tcBorders>
              <w:right w:val="single" w:sz="4" w:space="0" w:color="auto"/>
            </w:tcBorders>
            <w:vAlign w:val="center"/>
          </w:tcPr>
          <w:p w:rsidR="00000000" w:rsidRDefault="00C311ED">
            <w:pPr>
              <w:jc w:val="center"/>
            </w:pPr>
            <w:r>
              <w:t>126</w:t>
            </w:r>
          </w:p>
        </w:tc>
      </w:tr>
      <w:tr w:rsidR="00000000">
        <w:tblPrEx>
          <w:tblCellMar>
            <w:top w:w="0" w:type="dxa"/>
            <w:bottom w:w="0" w:type="dxa"/>
          </w:tblCellMar>
        </w:tblPrEx>
        <w:trPr>
          <w:cantSplit/>
        </w:trPr>
        <w:tc>
          <w:tcPr>
            <w:tcW w:w="1985" w:type="dxa"/>
            <w:tcBorders>
              <w:left w:val="nil"/>
              <w:right w:val="nil"/>
            </w:tcBorders>
          </w:tcPr>
          <w:p w:rsidR="00000000" w:rsidRDefault="00C311ED">
            <w:pPr>
              <w:rPr>
                <w:b/>
                <w:bCs/>
              </w:rPr>
            </w:pPr>
          </w:p>
        </w:tc>
        <w:tc>
          <w:tcPr>
            <w:tcW w:w="1985" w:type="dxa"/>
            <w:tcBorders>
              <w:left w:val="nil"/>
              <w:right w:val="nil"/>
            </w:tcBorders>
          </w:tcPr>
          <w:p w:rsidR="00000000" w:rsidRDefault="00C311ED">
            <w:pPr>
              <w:jc w:val="center"/>
            </w:pPr>
          </w:p>
        </w:tc>
        <w:tc>
          <w:tcPr>
            <w:tcW w:w="1985" w:type="dxa"/>
            <w:tcBorders>
              <w:left w:val="nil"/>
              <w:right w:val="nil"/>
            </w:tcBorders>
          </w:tcPr>
          <w:p w:rsidR="00000000" w:rsidRDefault="00C311ED">
            <w:pPr>
              <w:jc w:val="center"/>
            </w:pPr>
          </w:p>
        </w:tc>
        <w:tc>
          <w:tcPr>
            <w:tcW w:w="1985" w:type="dxa"/>
            <w:tcBorders>
              <w:left w:val="nil"/>
              <w:right w:val="nil"/>
            </w:tcBorders>
          </w:tcPr>
          <w:p w:rsidR="00000000" w:rsidRDefault="00C311ED">
            <w:pPr>
              <w:jc w:val="center"/>
            </w:pPr>
          </w:p>
        </w:tc>
        <w:tc>
          <w:tcPr>
            <w:tcW w:w="1985" w:type="dxa"/>
            <w:tcBorders>
              <w:left w:val="nil"/>
              <w:right w:val="nil"/>
            </w:tcBorders>
          </w:tcPr>
          <w:p w:rsidR="00000000" w:rsidRDefault="00C311ED">
            <w:pPr>
              <w:jc w:val="center"/>
            </w:pPr>
          </w:p>
        </w:tc>
        <w:tc>
          <w:tcPr>
            <w:tcW w:w="3971" w:type="dxa"/>
            <w:gridSpan w:val="2"/>
            <w:tcBorders>
              <w:top w:val="nil"/>
              <w:left w:val="nil"/>
              <w:right w:val="nil"/>
            </w:tcBorders>
          </w:tcPr>
          <w:p w:rsidR="00000000" w:rsidRDefault="00C311ED">
            <w:pPr>
              <w:rPr>
                <w:sz w:val="20"/>
              </w:rPr>
            </w:pPr>
          </w:p>
        </w:tc>
      </w:tr>
      <w:tr w:rsidR="00000000">
        <w:tblPrEx>
          <w:tblCellMar>
            <w:top w:w="0" w:type="dxa"/>
            <w:bottom w:w="0" w:type="dxa"/>
          </w:tblCellMar>
        </w:tblPrEx>
        <w:tc>
          <w:tcPr>
            <w:tcW w:w="1985" w:type="dxa"/>
          </w:tcPr>
          <w:p w:rsidR="00000000" w:rsidRDefault="00C311ED">
            <w:pPr>
              <w:rPr>
                <w:b/>
                <w:bCs/>
              </w:rPr>
            </w:pPr>
            <w:r>
              <w:rPr>
                <w:b/>
                <w:bCs/>
              </w:rPr>
              <w:t>Diagnosis</w:t>
            </w:r>
          </w:p>
        </w:tc>
        <w:tc>
          <w:tcPr>
            <w:tcW w:w="1985" w:type="dxa"/>
          </w:tcPr>
          <w:p w:rsidR="00000000" w:rsidRDefault="00C311ED">
            <w:pPr>
              <w:jc w:val="center"/>
              <w:rPr>
                <w:b/>
                <w:bCs/>
              </w:rPr>
            </w:pPr>
            <w:r>
              <w:rPr>
                <w:b/>
                <w:bCs/>
              </w:rPr>
              <w:t>MR</w:t>
            </w:r>
          </w:p>
        </w:tc>
        <w:tc>
          <w:tcPr>
            <w:tcW w:w="1985" w:type="dxa"/>
          </w:tcPr>
          <w:p w:rsidR="00000000" w:rsidRDefault="00C311ED">
            <w:pPr>
              <w:jc w:val="center"/>
              <w:rPr>
                <w:b/>
                <w:bCs/>
              </w:rPr>
            </w:pPr>
            <w:r>
              <w:rPr>
                <w:b/>
                <w:bCs/>
              </w:rPr>
              <w:t>MR Child</w:t>
            </w:r>
          </w:p>
        </w:tc>
        <w:tc>
          <w:tcPr>
            <w:tcW w:w="1985" w:type="dxa"/>
          </w:tcPr>
          <w:p w:rsidR="00000000" w:rsidRDefault="00C311ED">
            <w:pPr>
              <w:jc w:val="center"/>
              <w:rPr>
                <w:b/>
                <w:bCs/>
              </w:rPr>
            </w:pPr>
            <w:r>
              <w:rPr>
                <w:b/>
                <w:bCs/>
              </w:rPr>
              <w:t>CMI</w:t>
            </w:r>
          </w:p>
        </w:tc>
        <w:tc>
          <w:tcPr>
            <w:tcW w:w="1985" w:type="dxa"/>
          </w:tcPr>
          <w:p w:rsidR="00000000" w:rsidRDefault="00C311ED">
            <w:pPr>
              <w:jc w:val="center"/>
              <w:rPr>
                <w:b/>
                <w:bCs/>
              </w:rPr>
            </w:pPr>
            <w:r>
              <w:rPr>
                <w:b/>
                <w:bCs/>
              </w:rPr>
              <w:t>DD</w:t>
            </w:r>
          </w:p>
        </w:tc>
        <w:tc>
          <w:tcPr>
            <w:tcW w:w="1985" w:type="dxa"/>
          </w:tcPr>
          <w:p w:rsidR="00000000" w:rsidRDefault="00C311ED">
            <w:pPr>
              <w:jc w:val="center"/>
              <w:rPr>
                <w:b/>
                <w:bCs/>
              </w:rPr>
            </w:pPr>
            <w:r>
              <w:rPr>
                <w:b/>
                <w:bCs/>
              </w:rPr>
              <w:t>BI</w:t>
            </w:r>
          </w:p>
        </w:tc>
        <w:tc>
          <w:tcPr>
            <w:tcW w:w="1986" w:type="dxa"/>
          </w:tcPr>
          <w:p w:rsidR="00000000" w:rsidRDefault="00C311ED">
            <w:pPr>
              <w:jc w:val="center"/>
              <w:rPr>
                <w:b/>
                <w:bCs/>
              </w:rPr>
            </w:pPr>
            <w:r>
              <w:rPr>
                <w:b/>
                <w:bCs/>
              </w:rPr>
              <w:t>SED</w:t>
            </w:r>
          </w:p>
        </w:tc>
      </w:tr>
      <w:tr w:rsidR="00000000">
        <w:tblPrEx>
          <w:tblCellMar>
            <w:top w:w="0" w:type="dxa"/>
            <w:bottom w:w="0" w:type="dxa"/>
          </w:tblCellMar>
        </w:tblPrEx>
        <w:tc>
          <w:tcPr>
            <w:tcW w:w="1985" w:type="dxa"/>
            <w:tcBorders>
              <w:bottom w:val="single" w:sz="4" w:space="0" w:color="auto"/>
            </w:tcBorders>
          </w:tcPr>
          <w:p w:rsidR="00000000" w:rsidRDefault="00C311ED">
            <w:pPr>
              <w:rPr>
                <w:b/>
                <w:bCs/>
              </w:rPr>
            </w:pPr>
            <w:r>
              <w:rPr>
                <w:b/>
                <w:bCs/>
              </w:rPr>
              <w:t>Number of Cons</w:t>
            </w:r>
            <w:r>
              <w:rPr>
                <w:b/>
                <w:bCs/>
              </w:rPr>
              <w:t>umers</w:t>
            </w:r>
          </w:p>
        </w:tc>
        <w:tc>
          <w:tcPr>
            <w:tcW w:w="1985" w:type="dxa"/>
            <w:tcBorders>
              <w:bottom w:val="single" w:sz="4" w:space="0" w:color="auto"/>
            </w:tcBorders>
            <w:vAlign w:val="center"/>
          </w:tcPr>
          <w:p w:rsidR="00000000" w:rsidRDefault="00C311ED">
            <w:pPr>
              <w:jc w:val="center"/>
            </w:pPr>
            <w:r>
              <w:t>2410</w:t>
            </w:r>
          </w:p>
        </w:tc>
        <w:tc>
          <w:tcPr>
            <w:tcW w:w="1985" w:type="dxa"/>
            <w:tcBorders>
              <w:bottom w:val="single" w:sz="4" w:space="0" w:color="auto"/>
            </w:tcBorders>
            <w:vAlign w:val="center"/>
          </w:tcPr>
          <w:p w:rsidR="00000000" w:rsidRDefault="00C311ED">
            <w:pPr>
              <w:jc w:val="center"/>
            </w:pPr>
            <w:r>
              <w:t>653</w:t>
            </w:r>
          </w:p>
        </w:tc>
        <w:tc>
          <w:tcPr>
            <w:tcW w:w="1985" w:type="dxa"/>
            <w:tcBorders>
              <w:bottom w:val="single" w:sz="4" w:space="0" w:color="auto"/>
            </w:tcBorders>
            <w:vAlign w:val="center"/>
          </w:tcPr>
          <w:p w:rsidR="00000000" w:rsidRDefault="00C311ED">
            <w:pPr>
              <w:jc w:val="center"/>
            </w:pPr>
            <w:r>
              <w:t>923</w:t>
            </w:r>
          </w:p>
        </w:tc>
        <w:tc>
          <w:tcPr>
            <w:tcW w:w="1985" w:type="dxa"/>
            <w:tcBorders>
              <w:bottom w:val="single" w:sz="4" w:space="0" w:color="auto"/>
            </w:tcBorders>
            <w:vAlign w:val="center"/>
          </w:tcPr>
          <w:p w:rsidR="00000000" w:rsidRDefault="00C311ED">
            <w:pPr>
              <w:jc w:val="center"/>
            </w:pPr>
            <w:r>
              <w:t>215</w:t>
            </w:r>
          </w:p>
        </w:tc>
        <w:tc>
          <w:tcPr>
            <w:tcW w:w="1985" w:type="dxa"/>
            <w:tcBorders>
              <w:bottom w:val="single" w:sz="4" w:space="0" w:color="auto"/>
            </w:tcBorders>
            <w:vAlign w:val="center"/>
          </w:tcPr>
          <w:p w:rsidR="00000000" w:rsidRDefault="00C311ED">
            <w:pPr>
              <w:jc w:val="center"/>
            </w:pPr>
            <w:r>
              <w:t>245</w:t>
            </w:r>
          </w:p>
        </w:tc>
        <w:tc>
          <w:tcPr>
            <w:tcW w:w="1986" w:type="dxa"/>
            <w:tcBorders>
              <w:bottom w:val="single" w:sz="4" w:space="0" w:color="auto"/>
            </w:tcBorders>
            <w:vAlign w:val="center"/>
          </w:tcPr>
          <w:p w:rsidR="00000000" w:rsidRDefault="00C311ED">
            <w:pPr>
              <w:jc w:val="center"/>
            </w:pPr>
            <w:r>
              <w:t>234</w:t>
            </w:r>
          </w:p>
        </w:tc>
      </w:tr>
      <w:tr w:rsidR="00000000">
        <w:tblPrEx>
          <w:tblCellMar>
            <w:top w:w="0" w:type="dxa"/>
            <w:bottom w:w="0" w:type="dxa"/>
          </w:tblCellMar>
        </w:tblPrEx>
        <w:tc>
          <w:tcPr>
            <w:tcW w:w="1985" w:type="dxa"/>
            <w:tcBorders>
              <w:left w:val="nil"/>
              <w:right w:val="nil"/>
            </w:tcBorders>
          </w:tcPr>
          <w:p w:rsidR="00000000" w:rsidRDefault="00C311ED">
            <w:pPr>
              <w:rPr>
                <w:b/>
                <w:bCs/>
              </w:rPr>
            </w:pPr>
          </w:p>
        </w:tc>
        <w:tc>
          <w:tcPr>
            <w:tcW w:w="1985" w:type="dxa"/>
            <w:tcBorders>
              <w:left w:val="nil"/>
              <w:right w:val="nil"/>
            </w:tcBorders>
          </w:tcPr>
          <w:p w:rsidR="00000000" w:rsidRDefault="00C311ED">
            <w:pPr>
              <w:jc w:val="center"/>
            </w:pPr>
          </w:p>
        </w:tc>
        <w:tc>
          <w:tcPr>
            <w:tcW w:w="1985" w:type="dxa"/>
            <w:tcBorders>
              <w:left w:val="nil"/>
              <w:bottom w:val="nil"/>
              <w:right w:val="nil"/>
            </w:tcBorders>
          </w:tcPr>
          <w:p w:rsidR="00000000" w:rsidRDefault="00C311ED">
            <w:pPr>
              <w:jc w:val="center"/>
            </w:pPr>
          </w:p>
        </w:tc>
        <w:tc>
          <w:tcPr>
            <w:tcW w:w="1985" w:type="dxa"/>
            <w:tcBorders>
              <w:left w:val="nil"/>
              <w:bottom w:val="nil"/>
              <w:right w:val="nil"/>
            </w:tcBorders>
          </w:tcPr>
          <w:p w:rsidR="00000000" w:rsidRDefault="00C311ED">
            <w:pPr>
              <w:jc w:val="center"/>
            </w:pPr>
          </w:p>
        </w:tc>
        <w:tc>
          <w:tcPr>
            <w:tcW w:w="1985" w:type="dxa"/>
            <w:tcBorders>
              <w:left w:val="nil"/>
              <w:bottom w:val="nil"/>
              <w:right w:val="nil"/>
            </w:tcBorders>
          </w:tcPr>
          <w:p w:rsidR="00000000" w:rsidRDefault="00C311ED">
            <w:pPr>
              <w:jc w:val="center"/>
            </w:pPr>
          </w:p>
        </w:tc>
        <w:tc>
          <w:tcPr>
            <w:tcW w:w="1985" w:type="dxa"/>
            <w:tcBorders>
              <w:left w:val="nil"/>
              <w:bottom w:val="nil"/>
              <w:right w:val="nil"/>
            </w:tcBorders>
          </w:tcPr>
          <w:p w:rsidR="00000000" w:rsidRDefault="00C311ED">
            <w:pPr>
              <w:jc w:val="center"/>
            </w:pPr>
            <w:r>
              <w:rPr>
                <w:noProof/>
                <w:sz w:val="20"/>
              </w:rPr>
              <w:pict>
                <v:shapetype id="_x0000_t202" coordsize="21600,21600" o:spt="202" path="m,l,21600r21600,l21600,xe">
                  <v:stroke joinstyle="miter"/>
                  <v:path gradientshapeok="t" o:connecttype="rect"/>
                </v:shapetype>
                <v:shape id="_x0000_s1038" type="#_x0000_t202" style="position:absolute;left:0;text-align:left;margin-left:25.75pt;margin-top:4.4pt;width:90.4pt;height:99pt;z-index:251652096;mso-position-horizontal-relative:text;mso-position-vertical-relative:text" stroked="f">
                  <v:textbox style="mso-next-textbox:#_x0000_s1038">
                    <w:txbxContent>
                      <w:p w:rsidR="00000000" w:rsidRDefault="00C311ED">
                        <w:pPr>
                          <w:rPr>
                            <w:sz w:val="16"/>
                          </w:rPr>
                        </w:pPr>
                        <w:r>
                          <w:rPr>
                            <w:noProof/>
                          </w:rPr>
                          <w:drawing>
                            <wp:inline distT="0" distB="0" distL="0" distR="0">
                              <wp:extent cx="958215" cy="967105"/>
                              <wp:effectExtent l="19050" t="0" r="0" b="0"/>
                              <wp:docPr id="3" name="Picture 3" descr="Data\IowaQuar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IowaQuarter.jpeg"/>
                                      <pic:cNvPicPr>
                                        <a:picLocks noChangeAspect="1" noChangeArrowheads="1"/>
                                      </pic:cNvPicPr>
                                    </pic:nvPicPr>
                                    <pic:blipFill>
                                      <a:blip r:embed="rId9"/>
                                      <a:srcRect/>
                                      <a:stretch>
                                        <a:fillRect/>
                                      </a:stretch>
                                    </pic:blipFill>
                                    <pic:spPr bwMode="auto">
                                      <a:xfrm>
                                        <a:off x="0" y="0"/>
                                        <a:ext cx="958215" cy="967105"/>
                                      </a:xfrm>
                                      <a:prstGeom prst="rect">
                                        <a:avLst/>
                                      </a:prstGeom>
                                      <a:noFill/>
                                      <a:ln w="9525">
                                        <a:noFill/>
                                        <a:miter lim="800000"/>
                                        <a:headEnd/>
                                        <a:tailEnd/>
                                      </a:ln>
                                    </pic:spPr>
                                  </pic:pic>
                                </a:graphicData>
                              </a:graphic>
                            </wp:inline>
                          </w:drawing>
                        </w:r>
                      </w:p>
                      <w:p w:rsidR="00000000" w:rsidRDefault="00C311ED">
                        <w:pPr>
                          <w:jc w:val="center"/>
                          <w:rPr>
                            <w:sz w:val="16"/>
                          </w:rPr>
                        </w:pPr>
                        <w:r>
                          <w:rPr>
                            <w:sz w:val="16"/>
                          </w:rPr>
                          <w:t>State Quarter</w:t>
                        </w:r>
                      </w:p>
                    </w:txbxContent>
                  </v:textbox>
                </v:shape>
              </w:pict>
            </w:r>
          </w:p>
        </w:tc>
        <w:tc>
          <w:tcPr>
            <w:tcW w:w="1986" w:type="dxa"/>
            <w:tcBorders>
              <w:left w:val="nil"/>
              <w:bottom w:val="nil"/>
              <w:right w:val="nil"/>
            </w:tcBorders>
          </w:tcPr>
          <w:p w:rsidR="00000000" w:rsidRDefault="00C311ED">
            <w:pPr>
              <w:jc w:val="center"/>
            </w:pPr>
          </w:p>
        </w:tc>
      </w:tr>
      <w:tr w:rsidR="00000000">
        <w:tblPrEx>
          <w:tblCellMar>
            <w:top w:w="0" w:type="dxa"/>
            <w:bottom w:w="0" w:type="dxa"/>
          </w:tblCellMar>
        </w:tblPrEx>
        <w:tc>
          <w:tcPr>
            <w:tcW w:w="1985" w:type="dxa"/>
          </w:tcPr>
          <w:p w:rsidR="00000000" w:rsidRDefault="00C311ED">
            <w:pPr>
              <w:rPr>
                <w:b/>
                <w:bCs/>
              </w:rPr>
            </w:pPr>
            <w:r>
              <w:rPr>
                <w:b/>
                <w:bCs/>
              </w:rPr>
              <w:t>Female</w:t>
            </w:r>
          </w:p>
        </w:tc>
        <w:tc>
          <w:tcPr>
            <w:tcW w:w="1985" w:type="dxa"/>
          </w:tcPr>
          <w:p w:rsidR="00000000" w:rsidRDefault="00C311ED">
            <w:pPr>
              <w:jc w:val="center"/>
            </w:pPr>
            <w:r>
              <w:t>2123</w:t>
            </w:r>
          </w:p>
        </w:tc>
        <w:tc>
          <w:tcPr>
            <w:tcW w:w="1985" w:type="dxa"/>
            <w:tcBorders>
              <w:top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6" w:type="dxa"/>
            <w:tcBorders>
              <w:top w:val="nil"/>
              <w:left w:val="nil"/>
              <w:bottom w:val="nil"/>
              <w:right w:val="nil"/>
            </w:tcBorders>
          </w:tcPr>
          <w:p w:rsidR="00000000" w:rsidRDefault="00C311ED">
            <w:pPr>
              <w:jc w:val="center"/>
            </w:pPr>
          </w:p>
        </w:tc>
      </w:tr>
      <w:tr w:rsidR="00000000">
        <w:tblPrEx>
          <w:tblCellMar>
            <w:top w:w="0" w:type="dxa"/>
            <w:bottom w:w="0" w:type="dxa"/>
          </w:tblCellMar>
        </w:tblPrEx>
        <w:tc>
          <w:tcPr>
            <w:tcW w:w="1985" w:type="dxa"/>
            <w:tcBorders>
              <w:bottom w:val="single" w:sz="4" w:space="0" w:color="auto"/>
            </w:tcBorders>
          </w:tcPr>
          <w:p w:rsidR="00000000" w:rsidRDefault="00C311ED">
            <w:pPr>
              <w:rPr>
                <w:b/>
                <w:bCs/>
              </w:rPr>
            </w:pPr>
            <w:r>
              <w:rPr>
                <w:b/>
                <w:bCs/>
              </w:rPr>
              <w:t>Male</w:t>
            </w:r>
          </w:p>
        </w:tc>
        <w:tc>
          <w:tcPr>
            <w:tcW w:w="1985" w:type="dxa"/>
            <w:tcBorders>
              <w:bottom w:val="single" w:sz="4" w:space="0" w:color="auto"/>
            </w:tcBorders>
          </w:tcPr>
          <w:p w:rsidR="00000000" w:rsidRDefault="00C311ED">
            <w:pPr>
              <w:jc w:val="center"/>
            </w:pPr>
            <w:r>
              <w:t>2557</w:t>
            </w:r>
          </w:p>
        </w:tc>
        <w:tc>
          <w:tcPr>
            <w:tcW w:w="1985" w:type="dxa"/>
            <w:tcBorders>
              <w:top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6" w:type="dxa"/>
            <w:tcBorders>
              <w:top w:val="nil"/>
              <w:left w:val="nil"/>
              <w:bottom w:val="nil"/>
              <w:right w:val="nil"/>
            </w:tcBorders>
          </w:tcPr>
          <w:p w:rsidR="00000000" w:rsidRDefault="00C311ED">
            <w:pPr>
              <w:jc w:val="center"/>
            </w:pPr>
          </w:p>
        </w:tc>
      </w:tr>
      <w:tr w:rsidR="00000000">
        <w:tblPrEx>
          <w:tblCellMar>
            <w:top w:w="0" w:type="dxa"/>
            <w:bottom w:w="0" w:type="dxa"/>
          </w:tblCellMar>
        </w:tblPrEx>
        <w:tc>
          <w:tcPr>
            <w:tcW w:w="1985" w:type="dxa"/>
            <w:tcBorders>
              <w:left w:val="nil"/>
              <w:right w:val="nil"/>
            </w:tcBorders>
          </w:tcPr>
          <w:p w:rsidR="00000000" w:rsidRDefault="00C311ED">
            <w:pPr>
              <w:rPr>
                <w:b/>
                <w:bCs/>
              </w:rPr>
            </w:pPr>
          </w:p>
        </w:tc>
        <w:tc>
          <w:tcPr>
            <w:tcW w:w="1985" w:type="dxa"/>
            <w:tcBorders>
              <w:left w:val="nil"/>
              <w:right w:val="nil"/>
            </w:tcBorders>
          </w:tcPr>
          <w:p w:rsidR="00000000" w:rsidRDefault="00C311ED">
            <w:pPr>
              <w:jc w:val="center"/>
            </w:pPr>
          </w:p>
        </w:tc>
        <w:tc>
          <w:tcPr>
            <w:tcW w:w="1985" w:type="dxa"/>
            <w:tcBorders>
              <w:top w:val="nil"/>
              <w:left w:val="nil"/>
              <w:right w:val="nil"/>
            </w:tcBorders>
          </w:tcPr>
          <w:p w:rsidR="00000000" w:rsidRDefault="00C311ED">
            <w:pPr>
              <w:jc w:val="center"/>
            </w:pPr>
          </w:p>
        </w:tc>
        <w:tc>
          <w:tcPr>
            <w:tcW w:w="1985" w:type="dxa"/>
            <w:tcBorders>
              <w:top w:val="nil"/>
              <w:left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6" w:type="dxa"/>
            <w:tcBorders>
              <w:top w:val="nil"/>
              <w:left w:val="nil"/>
              <w:bottom w:val="nil"/>
              <w:right w:val="nil"/>
            </w:tcBorders>
          </w:tcPr>
          <w:p w:rsidR="00000000" w:rsidRDefault="00C311ED">
            <w:pPr>
              <w:jc w:val="center"/>
            </w:pPr>
          </w:p>
        </w:tc>
      </w:tr>
      <w:tr w:rsidR="00000000">
        <w:tblPrEx>
          <w:tblCellMar>
            <w:top w:w="0" w:type="dxa"/>
            <w:bottom w:w="0" w:type="dxa"/>
          </w:tblCellMar>
        </w:tblPrEx>
        <w:tc>
          <w:tcPr>
            <w:tcW w:w="1985" w:type="dxa"/>
          </w:tcPr>
          <w:p w:rsidR="00000000" w:rsidRDefault="00C311ED">
            <w:pPr>
              <w:rPr>
                <w:b/>
                <w:bCs/>
              </w:rPr>
            </w:pPr>
            <w:r>
              <w:rPr>
                <w:b/>
                <w:bCs/>
              </w:rPr>
              <w:t>Years with TCM</w:t>
            </w:r>
          </w:p>
        </w:tc>
        <w:tc>
          <w:tcPr>
            <w:tcW w:w="1985" w:type="dxa"/>
          </w:tcPr>
          <w:p w:rsidR="00000000" w:rsidRDefault="00C311ED">
            <w:pPr>
              <w:jc w:val="center"/>
              <w:rPr>
                <w:b/>
                <w:bCs/>
              </w:rPr>
            </w:pPr>
            <w:r>
              <w:rPr>
                <w:b/>
                <w:bCs/>
              </w:rPr>
              <w:t>0-5</w:t>
            </w:r>
          </w:p>
        </w:tc>
        <w:tc>
          <w:tcPr>
            <w:tcW w:w="1985" w:type="dxa"/>
          </w:tcPr>
          <w:p w:rsidR="00000000" w:rsidRDefault="00C311ED">
            <w:pPr>
              <w:jc w:val="center"/>
              <w:rPr>
                <w:b/>
                <w:bCs/>
              </w:rPr>
            </w:pPr>
            <w:r>
              <w:rPr>
                <w:b/>
                <w:bCs/>
              </w:rPr>
              <w:t>6-10</w:t>
            </w:r>
          </w:p>
        </w:tc>
        <w:tc>
          <w:tcPr>
            <w:tcW w:w="1985" w:type="dxa"/>
          </w:tcPr>
          <w:p w:rsidR="00000000" w:rsidRDefault="00C311ED">
            <w:pPr>
              <w:jc w:val="center"/>
              <w:rPr>
                <w:b/>
                <w:bCs/>
              </w:rPr>
            </w:pPr>
            <w:r>
              <w:rPr>
                <w:b/>
                <w:bCs/>
              </w:rPr>
              <w:t>11+</w:t>
            </w:r>
          </w:p>
        </w:tc>
        <w:tc>
          <w:tcPr>
            <w:tcW w:w="1985" w:type="dxa"/>
            <w:tcBorders>
              <w:top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6" w:type="dxa"/>
            <w:tcBorders>
              <w:top w:val="nil"/>
              <w:left w:val="nil"/>
              <w:bottom w:val="nil"/>
              <w:right w:val="nil"/>
            </w:tcBorders>
          </w:tcPr>
          <w:p w:rsidR="00000000" w:rsidRDefault="00C311ED">
            <w:pPr>
              <w:jc w:val="center"/>
            </w:pPr>
          </w:p>
        </w:tc>
      </w:tr>
      <w:tr w:rsidR="00000000">
        <w:tblPrEx>
          <w:tblCellMar>
            <w:top w:w="0" w:type="dxa"/>
            <w:bottom w:w="0" w:type="dxa"/>
          </w:tblCellMar>
        </w:tblPrEx>
        <w:tc>
          <w:tcPr>
            <w:tcW w:w="1985" w:type="dxa"/>
            <w:tcBorders>
              <w:bottom w:val="single" w:sz="4" w:space="0" w:color="auto"/>
            </w:tcBorders>
          </w:tcPr>
          <w:p w:rsidR="00000000" w:rsidRDefault="00C311ED">
            <w:pPr>
              <w:rPr>
                <w:b/>
                <w:bCs/>
              </w:rPr>
            </w:pPr>
            <w:r>
              <w:rPr>
                <w:b/>
                <w:bCs/>
              </w:rPr>
              <w:t>Number of Consumers</w:t>
            </w:r>
          </w:p>
        </w:tc>
        <w:tc>
          <w:tcPr>
            <w:tcW w:w="1985" w:type="dxa"/>
            <w:tcBorders>
              <w:bottom w:val="single" w:sz="4" w:space="0" w:color="auto"/>
            </w:tcBorders>
            <w:vAlign w:val="center"/>
          </w:tcPr>
          <w:p w:rsidR="00000000" w:rsidRDefault="00C311ED">
            <w:pPr>
              <w:jc w:val="center"/>
            </w:pPr>
            <w:r>
              <w:t>2978</w:t>
            </w:r>
          </w:p>
        </w:tc>
        <w:tc>
          <w:tcPr>
            <w:tcW w:w="1985" w:type="dxa"/>
            <w:tcBorders>
              <w:bottom w:val="single" w:sz="4" w:space="0" w:color="auto"/>
            </w:tcBorders>
            <w:vAlign w:val="center"/>
          </w:tcPr>
          <w:p w:rsidR="00000000" w:rsidRDefault="00C311ED">
            <w:pPr>
              <w:jc w:val="center"/>
            </w:pPr>
            <w:r>
              <w:t>1028</w:t>
            </w:r>
          </w:p>
        </w:tc>
        <w:tc>
          <w:tcPr>
            <w:tcW w:w="1985" w:type="dxa"/>
            <w:tcBorders>
              <w:bottom w:val="single" w:sz="4" w:space="0" w:color="auto"/>
            </w:tcBorders>
            <w:vAlign w:val="center"/>
          </w:tcPr>
          <w:p w:rsidR="00000000" w:rsidRDefault="00C311ED">
            <w:pPr>
              <w:jc w:val="center"/>
            </w:pPr>
            <w:r>
              <w:t>674</w:t>
            </w:r>
          </w:p>
        </w:tc>
        <w:tc>
          <w:tcPr>
            <w:tcW w:w="1985" w:type="dxa"/>
            <w:tcBorders>
              <w:top w:val="nil"/>
              <w:bottom w:val="nil"/>
              <w:right w:val="nil"/>
            </w:tcBorders>
          </w:tcPr>
          <w:p w:rsidR="00000000" w:rsidRDefault="00C311ED">
            <w:pPr>
              <w:jc w:val="center"/>
            </w:pPr>
          </w:p>
        </w:tc>
        <w:tc>
          <w:tcPr>
            <w:tcW w:w="1985" w:type="dxa"/>
            <w:tcBorders>
              <w:top w:val="nil"/>
              <w:left w:val="nil"/>
              <w:bottom w:val="nil"/>
              <w:right w:val="nil"/>
            </w:tcBorders>
          </w:tcPr>
          <w:p w:rsidR="00000000" w:rsidRDefault="00C311ED">
            <w:pPr>
              <w:jc w:val="center"/>
            </w:pPr>
          </w:p>
        </w:tc>
        <w:tc>
          <w:tcPr>
            <w:tcW w:w="1986" w:type="dxa"/>
            <w:tcBorders>
              <w:top w:val="nil"/>
              <w:left w:val="nil"/>
              <w:bottom w:val="nil"/>
              <w:right w:val="nil"/>
            </w:tcBorders>
          </w:tcPr>
          <w:p w:rsidR="00000000" w:rsidRDefault="00C311ED">
            <w:pPr>
              <w:jc w:val="center"/>
            </w:pPr>
          </w:p>
        </w:tc>
      </w:tr>
    </w:tbl>
    <w:p w:rsidR="00000000" w:rsidRDefault="00C311ED"/>
    <w:p w:rsidR="00000000" w:rsidRDefault="00C311ED">
      <w:r>
        <w:t>Consumers referred to TCM for service are checked to ensure they meet eligibility requirements.  If th</w:t>
      </w:r>
      <w:r>
        <w:t>e consumer meets eligibility and wishes to receive TCM services a case is opened.  A case may close for any number of reasons including but not limited to: voluntary withdrawal by the consumer, change of case management providers or the consumer progressin</w:t>
      </w:r>
      <w:r>
        <w:t xml:space="preserve">g to a point where services are no longer needed.  Below is a breakdown of referrals, opened and closed cases for 2006.  </w:t>
      </w:r>
    </w:p>
    <w:p w:rsidR="00000000" w:rsidRDefault="00C311ED"/>
    <w:tbl>
      <w:tblPr>
        <w:tblW w:w="0" w:type="auto"/>
        <w:tblInd w:w="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tblGrid>
      <w:tr w:rsidR="00000000">
        <w:tblPrEx>
          <w:tblCellMar>
            <w:top w:w="0" w:type="dxa"/>
            <w:bottom w:w="0" w:type="dxa"/>
          </w:tblCellMar>
        </w:tblPrEx>
        <w:tc>
          <w:tcPr>
            <w:tcW w:w="2448" w:type="dxa"/>
          </w:tcPr>
          <w:p w:rsidR="00000000" w:rsidRDefault="00C311ED">
            <w:pPr>
              <w:rPr>
                <w:b/>
                <w:bCs/>
              </w:rPr>
            </w:pPr>
            <w:r>
              <w:rPr>
                <w:b/>
                <w:bCs/>
              </w:rPr>
              <w:t>Referrals for service</w:t>
            </w:r>
          </w:p>
        </w:tc>
        <w:tc>
          <w:tcPr>
            <w:tcW w:w="1440" w:type="dxa"/>
          </w:tcPr>
          <w:p w:rsidR="00000000" w:rsidRDefault="00C311ED">
            <w:pPr>
              <w:jc w:val="center"/>
            </w:pPr>
            <w:r>
              <w:t>893</w:t>
            </w:r>
          </w:p>
        </w:tc>
      </w:tr>
      <w:tr w:rsidR="00000000">
        <w:tblPrEx>
          <w:tblCellMar>
            <w:top w:w="0" w:type="dxa"/>
            <w:bottom w:w="0" w:type="dxa"/>
          </w:tblCellMar>
        </w:tblPrEx>
        <w:tc>
          <w:tcPr>
            <w:tcW w:w="2448" w:type="dxa"/>
          </w:tcPr>
          <w:p w:rsidR="00000000" w:rsidRDefault="00C311ED">
            <w:pPr>
              <w:rPr>
                <w:b/>
                <w:bCs/>
              </w:rPr>
            </w:pPr>
            <w:r>
              <w:rPr>
                <w:b/>
                <w:bCs/>
              </w:rPr>
              <w:t>Opened Cases</w:t>
            </w:r>
          </w:p>
        </w:tc>
        <w:tc>
          <w:tcPr>
            <w:tcW w:w="1440" w:type="dxa"/>
          </w:tcPr>
          <w:p w:rsidR="00000000" w:rsidRDefault="00C311ED">
            <w:pPr>
              <w:jc w:val="center"/>
            </w:pPr>
            <w:r>
              <w:t>759</w:t>
            </w:r>
          </w:p>
        </w:tc>
      </w:tr>
      <w:tr w:rsidR="00000000">
        <w:tblPrEx>
          <w:tblCellMar>
            <w:top w:w="0" w:type="dxa"/>
            <w:bottom w:w="0" w:type="dxa"/>
          </w:tblCellMar>
        </w:tblPrEx>
        <w:tc>
          <w:tcPr>
            <w:tcW w:w="2448" w:type="dxa"/>
          </w:tcPr>
          <w:p w:rsidR="00000000" w:rsidRDefault="00C311ED">
            <w:pPr>
              <w:rPr>
                <w:b/>
                <w:bCs/>
              </w:rPr>
            </w:pPr>
            <w:r>
              <w:rPr>
                <w:b/>
                <w:bCs/>
              </w:rPr>
              <w:t>Closed Cases</w:t>
            </w:r>
          </w:p>
        </w:tc>
        <w:tc>
          <w:tcPr>
            <w:tcW w:w="1440" w:type="dxa"/>
          </w:tcPr>
          <w:p w:rsidR="00000000" w:rsidRDefault="00C311ED">
            <w:pPr>
              <w:jc w:val="center"/>
            </w:pPr>
            <w:r>
              <w:t>625</w:t>
            </w:r>
          </w:p>
        </w:tc>
      </w:tr>
    </w:tbl>
    <w:p w:rsidR="00000000" w:rsidRDefault="00C311ED"/>
    <w:p w:rsidR="00000000" w:rsidRDefault="00C311ED">
      <w:r>
        <w:t>The average referral was assigned to a case manager 3.1 days after fi</w:t>
      </w:r>
      <w:r>
        <w:t>rst being entered into the TCM system. The average length of time for a determination to be made regarding a referred case (accepted or rejected) was 29.4 days.</w:t>
      </w:r>
    </w:p>
    <w:p w:rsidR="00000000" w:rsidRDefault="00C311ED">
      <w:pPr>
        <w:pStyle w:val="Title"/>
        <w:rPr>
          <w:sz w:val="48"/>
        </w:rPr>
      </w:pPr>
      <w:r>
        <w:rPr>
          <w:sz w:val="20"/>
        </w:rPr>
        <w:br w:type="page"/>
      </w:r>
      <w:r>
        <w:rPr>
          <w:sz w:val="48"/>
        </w:rPr>
        <w:lastRenderedPageBreak/>
        <w:t>Consumer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2203"/>
        <w:gridCol w:w="4277"/>
        <w:gridCol w:w="2268"/>
      </w:tblGrid>
      <w:tr w:rsidR="00000000">
        <w:tblPrEx>
          <w:tblCellMar>
            <w:top w:w="0" w:type="dxa"/>
            <w:bottom w:w="0" w:type="dxa"/>
          </w:tblCellMar>
        </w:tblPrEx>
        <w:tc>
          <w:tcPr>
            <w:tcW w:w="4428" w:type="dxa"/>
            <w:vAlign w:val="center"/>
          </w:tcPr>
          <w:p w:rsidR="00000000" w:rsidRDefault="00C311ED">
            <w:pPr>
              <w:rPr>
                <w:b/>
                <w:bCs/>
              </w:rPr>
            </w:pPr>
            <w:r>
              <w:rPr>
                <w:b/>
                <w:bCs/>
              </w:rPr>
              <w:t>Consumers who had one or more medical hospitalization</w:t>
            </w:r>
          </w:p>
        </w:tc>
        <w:tc>
          <w:tcPr>
            <w:tcW w:w="2203" w:type="dxa"/>
            <w:vAlign w:val="center"/>
          </w:tcPr>
          <w:p w:rsidR="00000000" w:rsidRDefault="00C311ED">
            <w:pPr>
              <w:jc w:val="center"/>
            </w:pPr>
            <w:r>
              <w:t>329</w:t>
            </w:r>
          </w:p>
        </w:tc>
        <w:tc>
          <w:tcPr>
            <w:tcW w:w="4277" w:type="dxa"/>
            <w:vAlign w:val="center"/>
          </w:tcPr>
          <w:p w:rsidR="00000000" w:rsidRDefault="00C311ED">
            <w:pPr>
              <w:rPr>
                <w:b/>
                <w:bCs/>
              </w:rPr>
            </w:pPr>
            <w:r>
              <w:rPr>
                <w:b/>
                <w:bCs/>
              </w:rPr>
              <w:t>Consumers with a crimi</w:t>
            </w:r>
            <w:r>
              <w:rPr>
                <w:b/>
                <w:bCs/>
              </w:rPr>
              <w:t>nal conviction</w:t>
            </w:r>
          </w:p>
        </w:tc>
        <w:tc>
          <w:tcPr>
            <w:tcW w:w="2268" w:type="dxa"/>
            <w:vAlign w:val="center"/>
          </w:tcPr>
          <w:p w:rsidR="00000000" w:rsidRDefault="00C311ED">
            <w:pPr>
              <w:jc w:val="center"/>
            </w:pPr>
            <w:r>
              <w:t>51</w:t>
            </w:r>
          </w:p>
        </w:tc>
      </w:tr>
      <w:tr w:rsidR="00000000">
        <w:tblPrEx>
          <w:tblCellMar>
            <w:top w:w="0" w:type="dxa"/>
            <w:bottom w:w="0" w:type="dxa"/>
          </w:tblCellMar>
        </w:tblPrEx>
        <w:tc>
          <w:tcPr>
            <w:tcW w:w="4428" w:type="dxa"/>
            <w:vAlign w:val="center"/>
          </w:tcPr>
          <w:p w:rsidR="00000000" w:rsidRDefault="00C311ED">
            <w:pPr>
              <w:rPr>
                <w:b/>
                <w:bCs/>
                <w:sz w:val="16"/>
              </w:rPr>
            </w:pPr>
          </w:p>
        </w:tc>
        <w:tc>
          <w:tcPr>
            <w:tcW w:w="2203" w:type="dxa"/>
            <w:vAlign w:val="center"/>
          </w:tcPr>
          <w:p w:rsidR="00000000" w:rsidRDefault="00C311ED">
            <w:pPr>
              <w:jc w:val="center"/>
              <w:rPr>
                <w:sz w:val="16"/>
              </w:rPr>
            </w:pPr>
          </w:p>
        </w:tc>
        <w:tc>
          <w:tcPr>
            <w:tcW w:w="4277" w:type="dxa"/>
            <w:vAlign w:val="center"/>
          </w:tcPr>
          <w:p w:rsidR="00000000" w:rsidRDefault="00C311ED">
            <w:pPr>
              <w:rPr>
                <w:b/>
                <w:bCs/>
                <w:sz w:val="16"/>
              </w:rPr>
            </w:pPr>
          </w:p>
        </w:tc>
        <w:tc>
          <w:tcPr>
            <w:tcW w:w="2268" w:type="dxa"/>
            <w:vAlign w:val="center"/>
          </w:tcPr>
          <w:p w:rsidR="00000000" w:rsidRDefault="00C311ED">
            <w:pPr>
              <w:jc w:val="center"/>
              <w:rPr>
                <w:sz w:val="16"/>
              </w:rPr>
            </w:pPr>
          </w:p>
        </w:tc>
      </w:tr>
      <w:tr w:rsidR="00000000">
        <w:tblPrEx>
          <w:tblCellMar>
            <w:top w:w="0" w:type="dxa"/>
            <w:bottom w:w="0" w:type="dxa"/>
          </w:tblCellMar>
        </w:tblPrEx>
        <w:tc>
          <w:tcPr>
            <w:tcW w:w="4428" w:type="dxa"/>
            <w:vAlign w:val="center"/>
          </w:tcPr>
          <w:p w:rsidR="00000000" w:rsidRDefault="00C311ED">
            <w:pPr>
              <w:rPr>
                <w:b/>
                <w:bCs/>
              </w:rPr>
            </w:pPr>
            <w:r>
              <w:rPr>
                <w:b/>
                <w:bCs/>
              </w:rPr>
              <w:t>Consumers with one or more psychiatric hospitalization</w:t>
            </w:r>
          </w:p>
        </w:tc>
        <w:tc>
          <w:tcPr>
            <w:tcW w:w="2203" w:type="dxa"/>
            <w:vAlign w:val="center"/>
          </w:tcPr>
          <w:p w:rsidR="00000000" w:rsidRDefault="00C311ED">
            <w:pPr>
              <w:jc w:val="center"/>
            </w:pPr>
            <w:r>
              <w:t>301</w:t>
            </w:r>
          </w:p>
        </w:tc>
        <w:tc>
          <w:tcPr>
            <w:tcW w:w="4277" w:type="dxa"/>
            <w:vAlign w:val="center"/>
          </w:tcPr>
          <w:p w:rsidR="00000000" w:rsidRDefault="00C311ED">
            <w:pPr>
              <w:rPr>
                <w:b/>
                <w:bCs/>
              </w:rPr>
            </w:pPr>
            <w:r>
              <w:rPr>
                <w:b/>
                <w:bCs/>
              </w:rPr>
              <w:t>Consumers with a founded abuse report</w:t>
            </w:r>
          </w:p>
        </w:tc>
        <w:tc>
          <w:tcPr>
            <w:tcW w:w="2268" w:type="dxa"/>
            <w:vAlign w:val="center"/>
          </w:tcPr>
          <w:p w:rsidR="00000000" w:rsidRDefault="00C311ED">
            <w:pPr>
              <w:jc w:val="center"/>
            </w:pPr>
            <w:r>
              <w:t>26</w:t>
            </w:r>
          </w:p>
        </w:tc>
      </w:tr>
      <w:tr w:rsidR="00000000">
        <w:tblPrEx>
          <w:tblCellMar>
            <w:top w:w="0" w:type="dxa"/>
            <w:bottom w:w="0" w:type="dxa"/>
          </w:tblCellMar>
        </w:tblPrEx>
        <w:tc>
          <w:tcPr>
            <w:tcW w:w="4428" w:type="dxa"/>
            <w:vAlign w:val="center"/>
          </w:tcPr>
          <w:p w:rsidR="00000000" w:rsidRDefault="00C311ED">
            <w:pPr>
              <w:rPr>
                <w:b/>
                <w:bCs/>
                <w:sz w:val="16"/>
              </w:rPr>
            </w:pPr>
          </w:p>
        </w:tc>
        <w:tc>
          <w:tcPr>
            <w:tcW w:w="2203" w:type="dxa"/>
            <w:vAlign w:val="center"/>
          </w:tcPr>
          <w:p w:rsidR="00000000" w:rsidRDefault="00C311ED">
            <w:pPr>
              <w:jc w:val="center"/>
              <w:rPr>
                <w:sz w:val="16"/>
              </w:rPr>
            </w:pPr>
          </w:p>
        </w:tc>
        <w:tc>
          <w:tcPr>
            <w:tcW w:w="4277" w:type="dxa"/>
            <w:vAlign w:val="center"/>
          </w:tcPr>
          <w:p w:rsidR="00000000" w:rsidRDefault="00C311ED">
            <w:pPr>
              <w:rPr>
                <w:b/>
                <w:bCs/>
                <w:sz w:val="16"/>
              </w:rPr>
            </w:pPr>
          </w:p>
        </w:tc>
        <w:tc>
          <w:tcPr>
            <w:tcW w:w="2268" w:type="dxa"/>
            <w:vAlign w:val="center"/>
          </w:tcPr>
          <w:p w:rsidR="00000000" w:rsidRDefault="00C311ED">
            <w:pPr>
              <w:jc w:val="center"/>
              <w:rPr>
                <w:sz w:val="16"/>
              </w:rPr>
            </w:pPr>
          </w:p>
        </w:tc>
      </w:tr>
      <w:tr w:rsidR="00000000">
        <w:tblPrEx>
          <w:tblCellMar>
            <w:top w:w="0" w:type="dxa"/>
            <w:bottom w:w="0" w:type="dxa"/>
          </w:tblCellMar>
        </w:tblPrEx>
        <w:tc>
          <w:tcPr>
            <w:tcW w:w="4428" w:type="dxa"/>
            <w:vAlign w:val="center"/>
          </w:tcPr>
          <w:p w:rsidR="00000000" w:rsidRDefault="00C311ED">
            <w:pPr>
              <w:rPr>
                <w:b/>
                <w:bCs/>
              </w:rPr>
            </w:pPr>
            <w:r>
              <w:rPr>
                <w:b/>
                <w:bCs/>
              </w:rPr>
              <w:t>Consumers who had one or more 23-hour observation</w:t>
            </w:r>
          </w:p>
        </w:tc>
        <w:tc>
          <w:tcPr>
            <w:tcW w:w="2203" w:type="dxa"/>
            <w:vAlign w:val="center"/>
          </w:tcPr>
          <w:p w:rsidR="00000000" w:rsidRDefault="00C311ED">
            <w:pPr>
              <w:jc w:val="center"/>
            </w:pPr>
            <w:r>
              <w:t>55</w:t>
            </w:r>
          </w:p>
        </w:tc>
        <w:tc>
          <w:tcPr>
            <w:tcW w:w="4277" w:type="dxa"/>
            <w:vAlign w:val="center"/>
          </w:tcPr>
          <w:p w:rsidR="00000000" w:rsidRDefault="00C311ED">
            <w:pPr>
              <w:rPr>
                <w:b/>
                <w:bCs/>
              </w:rPr>
            </w:pPr>
            <w:r>
              <w:rPr>
                <w:b/>
                <w:bCs/>
              </w:rPr>
              <w:t>Consumers who live in their own or a relative’s home</w:t>
            </w:r>
          </w:p>
        </w:tc>
        <w:tc>
          <w:tcPr>
            <w:tcW w:w="2268" w:type="dxa"/>
            <w:vAlign w:val="center"/>
          </w:tcPr>
          <w:p w:rsidR="00000000" w:rsidRDefault="00C311ED">
            <w:pPr>
              <w:jc w:val="center"/>
            </w:pPr>
            <w:r>
              <w:t>3,840</w:t>
            </w:r>
          </w:p>
        </w:tc>
      </w:tr>
      <w:tr w:rsidR="00000000">
        <w:tblPrEx>
          <w:tblCellMar>
            <w:top w:w="0" w:type="dxa"/>
            <w:bottom w:w="0" w:type="dxa"/>
          </w:tblCellMar>
        </w:tblPrEx>
        <w:tc>
          <w:tcPr>
            <w:tcW w:w="4428" w:type="dxa"/>
            <w:vAlign w:val="center"/>
          </w:tcPr>
          <w:p w:rsidR="00000000" w:rsidRDefault="00C311ED">
            <w:pPr>
              <w:rPr>
                <w:b/>
                <w:bCs/>
                <w:sz w:val="16"/>
              </w:rPr>
            </w:pPr>
          </w:p>
        </w:tc>
        <w:tc>
          <w:tcPr>
            <w:tcW w:w="2203" w:type="dxa"/>
            <w:vAlign w:val="center"/>
          </w:tcPr>
          <w:p w:rsidR="00000000" w:rsidRDefault="00C311ED">
            <w:pPr>
              <w:jc w:val="center"/>
              <w:rPr>
                <w:sz w:val="16"/>
              </w:rPr>
            </w:pPr>
          </w:p>
        </w:tc>
        <w:tc>
          <w:tcPr>
            <w:tcW w:w="4277" w:type="dxa"/>
            <w:vAlign w:val="center"/>
          </w:tcPr>
          <w:p w:rsidR="00000000" w:rsidRDefault="00C311ED">
            <w:pPr>
              <w:rPr>
                <w:b/>
                <w:bCs/>
                <w:sz w:val="16"/>
              </w:rPr>
            </w:pPr>
          </w:p>
        </w:tc>
        <w:tc>
          <w:tcPr>
            <w:tcW w:w="2268" w:type="dxa"/>
            <w:vAlign w:val="center"/>
          </w:tcPr>
          <w:p w:rsidR="00000000" w:rsidRDefault="00C311ED">
            <w:pPr>
              <w:jc w:val="center"/>
              <w:rPr>
                <w:sz w:val="16"/>
              </w:rPr>
            </w:pPr>
          </w:p>
        </w:tc>
      </w:tr>
      <w:tr w:rsidR="00000000">
        <w:tblPrEx>
          <w:tblCellMar>
            <w:top w:w="0" w:type="dxa"/>
            <w:bottom w:w="0" w:type="dxa"/>
          </w:tblCellMar>
        </w:tblPrEx>
        <w:tc>
          <w:tcPr>
            <w:tcW w:w="4428" w:type="dxa"/>
            <w:vAlign w:val="center"/>
          </w:tcPr>
          <w:p w:rsidR="00000000" w:rsidRDefault="00C311ED">
            <w:pPr>
              <w:rPr>
                <w:b/>
                <w:bCs/>
              </w:rPr>
            </w:pPr>
            <w:r>
              <w:rPr>
                <w:b/>
                <w:bCs/>
              </w:rPr>
              <w:t>Consumer</w:t>
            </w:r>
            <w:r>
              <w:rPr>
                <w:b/>
                <w:bCs/>
              </w:rPr>
              <w:t>s who work</w:t>
            </w:r>
          </w:p>
        </w:tc>
        <w:tc>
          <w:tcPr>
            <w:tcW w:w="2203" w:type="dxa"/>
            <w:vAlign w:val="center"/>
          </w:tcPr>
          <w:p w:rsidR="00000000" w:rsidRDefault="00C311ED">
            <w:pPr>
              <w:jc w:val="center"/>
            </w:pPr>
            <w:r>
              <w:t>2,187</w:t>
            </w:r>
          </w:p>
        </w:tc>
        <w:tc>
          <w:tcPr>
            <w:tcW w:w="4277" w:type="dxa"/>
            <w:vAlign w:val="center"/>
          </w:tcPr>
          <w:p w:rsidR="00000000" w:rsidRDefault="00C311ED">
            <w:pPr>
              <w:rPr>
                <w:b/>
                <w:bCs/>
              </w:rPr>
            </w:pPr>
            <w:r>
              <w:rPr>
                <w:b/>
                <w:bCs/>
              </w:rPr>
              <w:t>Avg monthly income for working consumers</w:t>
            </w:r>
          </w:p>
        </w:tc>
        <w:tc>
          <w:tcPr>
            <w:tcW w:w="2268" w:type="dxa"/>
            <w:vAlign w:val="center"/>
          </w:tcPr>
          <w:p w:rsidR="00000000" w:rsidRDefault="00C311ED">
            <w:pPr>
              <w:jc w:val="center"/>
            </w:pPr>
            <w:r>
              <w:t>$225.17</w:t>
            </w:r>
          </w:p>
        </w:tc>
      </w:tr>
      <w:tr w:rsidR="00000000">
        <w:tblPrEx>
          <w:tblCellMar>
            <w:top w:w="0" w:type="dxa"/>
            <w:bottom w:w="0" w:type="dxa"/>
          </w:tblCellMar>
        </w:tblPrEx>
        <w:tc>
          <w:tcPr>
            <w:tcW w:w="4428" w:type="dxa"/>
            <w:vAlign w:val="center"/>
          </w:tcPr>
          <w:p w:rsidR="00000000" w:rsidRDefault="00C311ED">
            <w:pPr>
              <w:rPr>
                <w:b/>
                <w:bCs/>
                <w:sz w:val="16"/>
              </w:rPr>
            </w:pPr>
          </w:p>
        </w:tc>
        <w:tc>
          <w:tcPr>
            <w:tcW w:w="2203" w:type="dxa"/>
            <w:vAlign w:val="center"/>
          </w:tcPr>
          <w:p w:rsidR="00000000" w:rsidRDefault="00C311ED">
            <w:pPr>
              <w:jc w:val="center"/>
              <w:rPr>
                <w:sz w:val="16"/>
              </w:rPr>
            </w:pPr>
          </w:p>
        </w:tc>
        <w:tc>
          <w:tcPr>
            <w:tcW w:w="4277" w:type="dxa"/>
            <w:vAlign w:val="center"/>
          </w:tcPr>
          <w:p w:rsidR="00000000" w:rsidRDefault="00C311ED">
            <w:pPr>
              <w:rPr>
                <w:b/>
                <w:bCs/>
                <w:sz w:val="16"/>
              </w:rPr>
            </w:pPr>
          </w:p>
        </w:tc>
        <w:tc>
          <w:tcPr>
            <w:tcW w:w="2268" w:type="dxa"/>
            <w:vAlign w:val="center"/>
          </w:tcPr>
          <w:p w:rsidR="00000000" w:rsidRDefault="00C311ED">
            <w:pPr>
              <w:jc w:val="center"/>
              <w:rPr>
                <w:sz w:val="16"/>
              </w:rPr>
            </w:pPr>
          </w:p>
        </w:tc>
      </w:tr>
      <w:tr w:rsidR="00000000">
        <w:tblPrEx>
          <w:tblCellMar>
            <w:top w:w="0" w:type="dxa"/>
            <w:bottom w:w="0" w:type="dxa"/>
          </w:tblCellMar>
        </w:tblPrEx>
        <w:tc>
          <w:tcPr>
            <w:tcW w:w="4428" w:type="dxa"/>
            <w:vAlign w:val="center"/>
          </w:tcPr>
          <w:p w:rsidR="00000000" w:rsidRDefault="00C311ED">
            <w:pPr>
              <w:rPr>
                <w:b/>
                <w:bCs/>
              </w:rPr>
            </w:pPr>
            <w:r>
              <w:rPr>
                <w:b/>
                <w:bCs/>
              </w:rPr>
              <w:t>Consumers by work setting</w:t>
            </w:r>
          </w:p>
        </w:tc>
        <w:tc>
          <w:tcPr>
            <w:tcW w:w="2203" w:type="dxa"/>
            <w:vAlign w:val="center"/>
          </w:tcPr>
          <w:p w:rsidR="00000000" w:rsidRDefault="00C311ED">
            <w:pPr>
              <w:jc w:val="center"/>
            </w:pPr>
          </w:p>
        </w:tc>
        <w:tc>
          <w:tcPr>
            <w:tcW w:w="4277" w:type="dxa"/>
            <w:vAlign w:val="center"/>
          </w:tcPr>
          <w:p w:rsidR="00000000" w:rsidRDefault="00C311ED">
            <w:pPr>
              <w:rPr>
                <w:b/>
                <w:bCs/>
              </w:rPr>
            </w:pPr>
            <w:r>
              <w:rPr>
                <w:b/>
                <w:bCs/>
              </w:rPr>
              <w:t>Avg montly income by work setting</w:t>
            </w:r>
          </w:p>
        </w:tc>
        <w:tc>
          <w:tcPr>
            <w:tcW w:w="2268" w:type="dxa"/>
            <w:vAlign w:val="center"/>
          </w:tcPr>
          <w:p w:rsidR="00000000" w:rsidRDefault="00C311ED">
            <w:pPr>
              <w:jc w:val="center"/>
            </w:pPr>
          </w:p>
        </w:tc>
      </w:tr>
      <w:tr w:rsidR="00000000">
        <w:tblPrEx>
          <w:tblCellMar>
            <w:top w:w="0" w:type="dxa"/>
            <w:bottom w:w="0" w:type="dxa"/>
          </w:tblCellMar>
        </w:tblPrEx>
        <w:tc>
          <w:tcPr>
            <w:tcW w:w="4428" w:type="dxa"/>
            <w:vAlign w:val="center"/>
          </w:tcPr>
          <w:p w:rsidR="00000000" w:rsidRDefault="00C311ED">
            <w:pPr>
              <w:rPr>
                <w:b/>
                <w:bCs/>
                <w:sz w:val="16"/>
              </w:rPr>
            </w:pPr>
          </w:p>
        </w:tc>
        <w:tc>
          <w:tcPr>
            <w:tcW w:w="2203" w:type="dxa"/>
            <w:vAlign w:val="center"/>
          </w:tcPr>
          <w:p w:rsidR="00000000" w:rsidRDefault="00C311ED">
            <w:pPr>
              <w:jc w:val="center"/>
              <w:rPr>
                <w:sz w:val="16"/>
              </w:rPr>
            </w:pPr>
          </w:p>
        </w:tc>
        <w:tc>
          <w:tcPr>
            <w:tcW w:w="4277" w:type="dxa"/>
            <w:vAlign w:val="center"/>
          </w:tcPr>
          <w:p w:rsidR="00000000" w:rsidRDefault="00C311ED">
            <w:pPr>
              <w:rPr>
                <w:b/>
                <w:bCs/>
                <w:sz w:val="16"/>
              </w:rPr>
            </w:pPr>
          </w:p>
        </w:tc>
        <w:tc>
          <w:tcPr>
            <w:tcW w:w="2268" w:type="dxa"/>
            <w:vAlign w:val="center"/>
          </w:tcPr>
          <w:p w:rsidR="00000000" w:rsidRDefault="00C311ED">
            <w:pPr>
              <w:jc w:val="center"/>
              <w:rPr>
                <w:sz w:val="16"/>
              </w:rPr>
            </w:pPr>
          </w:p>
        </w:tc>
      </w:tr>
      <w:tr w:rsidR="00000000">
        <w:tblPrEx>
          <w:tblCellMar>
            <w:top w:w="0" w:type="dxa"/>
            <w:bottom w:w="0" w:type="dxa"/>
          </w:tblCellMar>
        </w:tblPrEx>
        <w:tc>
          <w:tcPr>
            <w:tcW w:w="4428" w:type="dxa"/>
            <w:vAlign w:val="center"/>
          </w:tcPr>
          <w:p w:rsidR="00000000" w:rsidRDefault="00C311ED">
            <w:pPr>
              <w:pStyle w:val="Heading2"/>
            </w:pPr>
            <w:r>
              <w:t>Competitive</w:t>
            </w:r>
          </w:p>
        </w:tc>
        <w:tc>
          <w:tcPr>
            <w:tcW w:w="2203" w:type="dxa"/>
            <w:vAlign w:val="center"/>
          </w:tcPr>
          <w:p w:rsidR="00000000" w:rsidRDefault="00C311ED">
            <w:pPr>
              <w:jc w:val="center"/>
            </w:pPr>
            <w:r>
              <w:t>394</w:t>
            </w:r>
          </w:p>
        </w:tc>
        <w:tc>
          <w:tcPr>
            <w:tcW w:w="4277" w:type="dxa"/>
            <w:vAlign w:val="center"/>
          </w:tcPr>
          <w:p w:rsidR="00000000" w:rsidRDefault="00C311ED">
            <w:pPr>
              <w:pStyle w:val="Heading2"/>
            </w:pPr>
            <w:r>
              <w:t>Competitive</w:t>
            </w:r>
          </w:p>
        </w:tc>
        <w:tc>
          <w:tcPr>
            <w:tcW w:w="2268" w:type="dxa"/>
            <w:vAlign w:val="center"/>
          </w:tcPr>
          <w:p w:rsidR="00000000" w:rsidRDefault="00C311ED">
            <w:pPr>
              <w:jc w:val="center"/>
            </w:pPr>
            <w:r>
              <w:t>$516.10</w:t>
            </w:r>
          </w:p>
        </w:tc>
      </w:tr>
      <w:tr w:rsidR="00000000">
        <w:tblPrEx>
          <w:tblCellMar>
            <w:top w:w="0" w:type="dxa"/>
            <w:bottom w:w="0" w:type="dxa"/>
          </w:tblCellMar>
        </w:tblPrEx>
        <w:tc>
          <w:tcPr>
            <w:tcW w:w="4428" w:type="dxa"/>
            <w:vAlign w:val="center"/>
          </w:tcPr>
          <w:p w:rsidR="00000000" w:rsidRDefault="00C311ED">
            <w:pPr>
              <w:jc w:val="right"/>
              <w:rPr>
                <w:b/>
                <w:bCs/>
              </w:rPr>
            </w:pPr>
            <w:r>
              <w:rPr>
                <w:b/>
                <w:bCs/>
              </w:rPr>
              <w:t>Supported</w:t>
            </w:r>
          </w:p>
        </w:tc>
        <w:tc>
          <w:tcPr>
            <w:tcW w:w="2203" w:type="dxa"/>
            <w:vAlign w:val="center"/>
          </w:tcPr>
          <w:p w:rsidR="00000000" w:rsidRDefault="00C311ED">
            <w:pPr>
              <w:jc w:val="center"/>
            </w:pPr>
            <w:r>
              <w:t>478</w:t>
            </w:r>
          </w:p>
        </w:tc>
        <w:tc>
          <w:tcPr>
            <w:tcW w:w="4277" w:type="dxa"/>
            <w:vAlign w:val="center"/>
          </w:tcPr>
          <w:p w:rsidR="00000000" w:rsidRDefault="00C311ED">
            <w:pPr>
              <w:jc w:val="right"/>
              <w:rPr>
                <w:b/>
                <w:bCs/>
              </w:rPr>
            </w:pPr>
            <w:r>
              <w:rPr>
                <w:b/>
                <w:bCs/>
              </w:rPr>
              <w:t>Supported</w:t>
            </w:r>
          </w:p>
        </w:tc>
        <w:tc>
          <w:tcPr>
            <w:tcW w:w="2268" w:type="dxa"/>
            <w:vAlign w:val="center"/>
          </w:tcPr>
          <w:p w:rsidR="00000000" w:rsidRDefault="00C311ED">
            <w:pPr>
              <w:jc w:val="center"/>
            </w:pPr>
            <w:r>
              <w:t>$327.08</w:t>
            </w:r>
          </w:p>
        </w:tc>
      </w:tr>
      <w:tr w:rsidR="00000000">
        <w:tblPrEx>
          <w:tblCellMar>
            <w:top w:w="0" w:type="dxa"/>
            <w:bottom w:w="0" w:type="dxa"/>
          </w:tblCellMar>
        </w:tblPrEx>
        <w:tc>
          <w:tcPr>
            <w:tcW w:w="4428" w:type="dxa"/>
            <w:vAlign w:val="center"/>
          </w:tcPr>
          <w:p w:rsidR="00000000" w:rsidRDefault="00C311ED">
            <w:pPr>
              <w:jc w:val="right"/>
              <w:rPr>
                <w:b/>
                <w:bCs/>
              </w:rPr>
            </w:pPr>
            <w:r>
              <w:rPr>
                <w:b/>
                <w:bCs/>
              </w:rPr>
              <w:t>Sheltered</w:t>
            </w:r>
          </w:p>
        </w:tc>
        <w:tc>
          <w:tcPr>
            <w:tcW w:w="2203" w:type="dxa"/>
            <w:vAlign w:val="center"/>
          </w:tcPr>
          <w:p w:rsidR="00000000" w:rsidRDefault="00C311ED">
            <w:pPr>
              <w:jc w:val="center"/>
            </w:pPr>
            <w:r>
              <w:t>1,668</w:t>
            </w:r>
          </w:p>
        </w:tc>
        <w:tc>
          <w:tcPr>
            <w:tcW w:w="4277" w:type="dxa"/>
            <w:vAlign w:val="center"/>
          </w:tcPr>
          <w:p w:rsidR="00000000" w:rsidRDefault="00C311ED">
            <w:pPr>
              <w:jc w:val="right"/>
              <w:rPr>
                <w:b/>
                <w:bCs/>
              </w:rPr>
            </w:pPr>
            <w:r>
              <w:rPr>
                <w:b/>
                <w:bCs/>
              </w:rPr>
              <w:t>Sheltered</w:t>
            </w:r>
          </w:p>
        </w:tc>
        <w:tc>
          <w:tcPr>
            <w:tcW w:w="2268" w:type="dxa"/>
            <w:vAlign w:val="center"/>
          </w:tcPr>
          <w:p w:rsidR="00000000" w:rsidRDefault="00C311ED">
            <w:pPr>
              <w:jc w:val="center"/>
            </w:pPr>
            <w:r>
              <w:t>$146.51</w:t>
            </w:r>
          </w:p>
        </w:tc>
      </w:tr>
    </w:tbl>
    <w:p w:rsidR="00000000" w:rsidRDefault="00C311ED">
      <w:pPr>
        <w:pStyle w:val="Title"/>
        <w:rPr>
          <w:sz w:val="16"/>
        </w:rPr>
      </w:pPr>
    </w:p>
    <w:p w:rsidR="00000000" w:rsidRDefault="00C311ED">
      <w:pPr>
        <w:pStyle w:val="Title"/>
        <w:rPr>
          <w:sz w:val="24"/>
        </w:rPr>
      </w:pPr>
      <w:r>
        <w:rPr>
          <w:noProof/>
        </w:rPr>
        <w:drawing>
          <wp:inline distT="0" distB="0" distL="0" distR="0">
            <wp:extent cx="6128385" cy="1459230"/>
            <wp:effectExtent l="19050" t="0" r="0" b="0"/>
            <wp:docPr id="4" name="Picture 4" descr="C:\Documents and Settings\dkarrer\Application Data\Microsoft\Media Catalog\Downloaded Clips\cl51\j0202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karrer\Application Data\Microsoft\Media Catalog\Downloaded Clips\cl51\j0202652.wmf"/>
                    <pic:cNvPicPr>
                      <a:picLocks noChangeAspect="1" noChangeArrowheads="1"/>
                    </pic:cNvPicPr>
                  </pic:nvPicPr>
                  <pic:blipFill>
                    <a:blip r:embed="rId10"/>
                    <a:srcRect/>
                    <a:stretch>
                      <a:fillRect/>
                    </a:stretch>
                  </pic:blipFill>
                  <pic:spPr bwMode="auto">
                    <a:xfrm>
                      <a:off x="0" y="0"/>
                      <a:ext cx="6128385" cy="1459230"/>
                    </a:xfrm>
                    <a:prstGeom prst="rect">
                      <a:avLst/>
                    </a:prstGeom>
                    <a:noFill/>
                    <a:ln w="9525">
                      <a:noFill/>
                      <a:miter lim="800000"/>
                      <a:headEnd/>
                      <a:tailEnd/>
                    </a:ln>
                  </pic:spPr>
                </pic:pic>
              </a:graphicData>
            </a:graphic>
          </wp:inline>
        </w:drawing>
      </w:r>
    </w:p>
    <w:p w:rsidR="00000000" w:rsidRDefault="00C311ED">
      <w:pPr>
        <w:pStyle w:val="Title"/>
        <w:rPr>
          <w:sz w:val="16"/>
        </w:rPr>
      </w:pPr>
      <w:r>
        <w:rPr>
          <w:sz w:val="16"/>
        </w:rPr>
        <w:t>Des Moin</w:t>
      </w:r>
      <w:r>
        <w:rPr>
          <w:sz w:val="16"/>
        </w:rPr>
        <w:t>es Skyline</w:t>
      </w:r>
    </w:p>
    <w:p w:rsidR="00000000" w:rsidRDefault="00C311ED">
      <w:pPr>
        <w:pStyle w:val="Title"/>
        <w:rPr>
          <w:sz w:val="16"/>
        </w:rPr>
      </w:pPr>
    </w:p>
    <w:p w:rsidR="00000000" w:rsidRDefault="00C311ED">
      <w:pPr>
        <w:pStyle w:val="Title"/>
        <w:rPr>
          <w:sz w:val="52"/>
        </w:rPr>
      </w:pPr>
      <w:r>
        <w:rPr>
          <w:sz w:val="52"/>
        </w:rPr>
        <w:t>Case Manager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2160"/>
        <w:gridCol w:w="4320"/>
        <w:gridCol w:w="2268"/>
      </w:tblGrid>
      <w:tr w:rsidR="00000000">
        <w:tblPrEx>
          <w:tblCellMar>
            <w:top w:w="0" w:type="dxa"/>
            <w:bottom w:w="0" w:type="dxa"/>
          </w:tblCellMar>
        </w:tblPrEx>
        <w:tc>
          <w:tcPr>
            <w:tcW w:w="4428" w:type="dxa"/>
          </w:tcPr>
          <w:p w:rsidR="00000000" w:rsidRDefault="00C311ED">
            <w:pPr>
              <w:pStyle w:val="Title"/>
              <w:jc w:val="left"/>
              <w:rPr>
                <w:sz w:val="24"/>
              </w:rPr>
            </w:pPr>
            <w:r>
              <w:rPr>
                <w:sz w:val="24"/>
              </w:rPr>
              <w:t xml:space="preserve">Number of case </w:t>
            </w:r>
          </w:p>
          <w:p w:rsidR="00000000" w:rsidRDefault="00C311ED">
            <w:pPr>
              <w:pStyle w:val="Title"/>
              <w:jc w:val="left"/>
              <w:rPr>
                <w:sz w:val="24"/>
              </w:rPr>
            </w:pPr>
            <w:r>
              <w:rPr>
                <w:sz w:val="24"/>
              </w:rPr>
              <w:t>managers in 2006</w:t>
            </w:r>
          </w:p>
        </w:tc>
        <w:tc>
          <w:tcPr>
            <w:tcW w:w="2160" w:type="dxa"/>
            <w:vAlign w:val="center"/>
          </w:tcPr>
          <w:p w:rsidR="00000000" w:rsidRDefault="00C311ED">
            <w:pPr>
              <w:pStyle w:val="Title"/>
              <w:rPr>
                <w:b w:val="0"/>
                <w:bCs w:val="0"/>
                <w:sz w:val="24"/>
              </w:rPr>
            </w:pPr>
            <w:r>
              <w:rPr>
                <w:b w:val="0"/>
                <w:bCs w:val="0"/>
                <w:sz w:val="24"/>
              </w:rPr>
              <w:t>134</w:t>
            </w:r>
          </w:p>
        </w:tc>
        <w:tc>
          <w:tcPr>
            <w:tcW w:w="4320" w:type="dxa"/>
          </w:tcPr>
          <w:p w:rsidR="00000000" w:rsidRDefault="00C311ED">
            <w:pPr>
              <w:pStyle w:val="Title"/>
              <w:jc w:val="left"/>
              <w:rPr>
                <w:sz w:val="24"/>
              </w:rPr>
            </w:pPr>
          </w:p>
        </w:tc>
        <w:tc>
          <w:tcPr>
            <w:tcW w:w="2268" w:type="dxa"/>
            <w:vAlign w:val="center"/>
          </w:tcPr>
          <w:p w:rsidR="00000000" w:rsidRDefault="00C311ED">
            <w:pPr>
              <w:pStyle w:val="Title"/>
              <w:rPr>
                <w:sz w:val="24"/>
              </w:rPr>
            </w:pPr>
          </w:p>
        </w:tc>
      </w:tr>
      <w:tr w:rsidR="00000000">
        <w:tblPrEx>
          <w:tblCellMar>
            <w:top w:w="0" w:type="dxa"/>
            <w:bottom w:w="0" w:type="dxa"/>
          </w:tblCellMar>
        </w:tblPrEx>
        <w:tc>
          <w:tcPr>
            <w:tcW w:w="4428" w:type="dxa"/>
          </w:tcPr>
          <w:p w:rsidR="00000000" w:rsidRDefault="00C311ED">
            <w:pPr>
              <w:pStyle w:val="Title"/>
              <w:jc w:val="left"/>
              <w:rPr>
                <w:sz w:val="16"/>
              </w:rPr>
            </w:pPr>
          </w:p>
        </w:tc>
        <w:tc>
          <w:tcPr>
            <w:tcW w:w="2160" w:type="dxa"/>
            <w:vAlign w:val="center"/>
          </w:tcPr>
          <w:p w:rsidR="00000000" w:rsidRDefault="00C311ED">
            <w:pPr>
              <w:pStyle w:val="Title"/>
              <w:rPr>
                <w:b w:val="0"/>
                <w:bCs w:val="0"/>
                <w:sz w:val="16"/>
              </w:rPr>
            </w:pPr>
          </w:p>
        </w:tc>
        <w:tc>
          <w:tcPr>
            <w:tcW w:w="4320" w:type="dxa"/>
          </w:tcPr>
          <w:p w:rsidR="00000000" w:rsidRDefault="00C311ED">
            <w:pPr>
              <w:pStyle w:val="Title"/>
              <w:jc w:val="left"/>
              <w:rPr>
                <w:sz w:val="16"/>
              </w:rPr>
            </w:pPr>
          </w:p>
        </w:tc>
        <w:tc>
          <w:tcPr>
            <w:tcW w:w="2268" w:type="dxa"/>
            <w:vAlign w:val="center"/>
          </w:tcPr>
          <w:p w:rsidR="00000000" w:rsidRDefault="00C311ED">
            <w:pPr>
              <w:pStyle w:val="Title"/>
              <w:rPr>
                <w:sz w:val="16"/>
              </w:rPr>
            </w:pPr>
          </w:p>
        </w:tc>
      </w:tr>
      <w:tr w:rsidR="00000000">
        <w:tblPrEx>
          <w:tblCellMar>
            <w:top w:w="0" w:type="dxa"/>
            <w:bottom w:w="0" w:type="dxa"/>
          </w:tblCellMar>
        </w:tblPrEx>
        <w:tc>
          <w:tcPr>
            <w:tcW w:w="4428" w:type="dxa"/>
          </w:tcPr>
          <w:p w:rsidR="00000000" w:rsidRDefault="00C311ED">
            <w:pPr>
              <w:pStyle w:val="Title"/>
              <w:jc w:val="left"/>
              <w:rPr>
                <w:sz w:val="24"/>
              </w:rPr>
            </w:pPr>
            <w:r>
              <w:rPr>
                <w:sz w:val="24"/>
              </w:rPr>
              <w:t>OAPs completed</w:t>
            </w:r>
          </w:p>
        </w:tc>
        <w:tc>
          <w:tcPr>
            <w:tcW w:w="2160" w:type="dxa"/>
            <w:vAlign w:val="center"/>
          </w:tcPr>
          <w:p w:rsidR="00000000" w:rsidRDefault="00C311ED">
            <w:pPr>
              <w:pStyle w:val="Title"/>
              <w:rPr>
                <w:b w:val="0"/>
                <w:bCs w:val="0"/>
                <w:sz w:val="24"/>
              </w:rPr>
            </w:pPr>
            <w:r>
              <w:rPr>
                <w:b w:val="0"/>
                <w:bCs w:val="0"/>
                <w:sz w:val="24"/>
              </w:rPr>
              <w:t>4,654</w:t>
            </w:r>
          </w:p>
        </w:tc>
        <w:tc>
          <w:tcPr>
            <w:tcW w:w="4320" w:type="dxa"/>
          </w:tcPr>
          <w:p w:rsidR="00000000" w:rsidRDefault="00C311ED">
            <w:pPr>
              <w:pStyle w:val="Title"/>
              <w:jc w:val="left"/>
              <w:rPr>
                <w:sz w:val="24"/>
              </w:rPr>
            </w:pPr>
            <w:r>
              <w:rPr>
                <w:sz w:val="24"/>
              </w:rPr>
              <w:t>Number of narrative contacts made</w:t>
            </w:r>
          </w:p>
        </w:tc>
        <w:tc>
          <w:tcPr>
            <w:tcW w:w="2268" w:type="dxa"/>
            <w:vAlign w:val="center"/>
          </w:tcPr>
          <w:p w:rsidR="00000000" w:rsidRDefault="00C311ED">
            <w:pPr>
              <w:pStyle w:val="Title"/>
              <w:rPr>
                <w:b w:val="0"/>
                <w:bCs w:val="0"/>
                <w:sz w:val="24"/>
              </w:rPr>
            </w:pPr>
            <w:r>
              <w:rPr>
                <w:b w:val="0"/>
                <w:bCs w:val="0"/>
                <w:sz w:val="24"/>
              </w:rPr>
              <w:t>136,391</w:t>
            </w:r>
          </w:p>
        </w:tc>
      </w:tr>
      <w:tr w:rsidR="00000000">
        <w:tblPrEx>
          <w:tblCellMar>
            <w:top w:w="0" w:type="dxa"/>
            <w:bottom w:w="0" w:type="dxa"/>
          </w:tblCellMar>
        </w:tblPrEx>
        <w:tc>
          <w:tcPr>
            <w:tcW w:w="4428" w:type="dxa"/>
          </w:tcPr>
          <w:p w:rsidR="00000000" w:rsidRDefault="00C311ED">
            <w:pPr>
              <w:pStyle w:val="Title"/>
              <w:jc w:val="left"/>
              <w:rPr>
                <w:sz w:val="16"/>
              </w:rPr>
            </w:pPr>
          </w:p>
        </w:tc>
        <w:tc>
          <w:tcPr>
            <w:tcW w:w="2160" w:type="dxa"/>
            <w:vAlign w:val="center"/>
          </w:tcPr>
          <w:p w:rsidR="00000000" w:rsidRDefault="00C311ED">
            <w:pPr>
              <w:pStyle w:val="Title"/>
              <w:rPr>
                <w:b w:val="0"/>
                <w:bCs w:val="0"/>
                <w:sz w:val="16"/>
              </w:rPr>
            </w:pPr>
          </w:p>
        </w:tc>
        <w:tc>
          <w:tcPr>
            <w:tcW w:w="4320" w:type="dxa"/>
          </w:tcPr>
          <w:p w:rsidR="00000000" w:rsidRDefault="00C311ED">
            <w:pPr>
              <w:pStyle w:val="Title"/>
              <w:jc w:val="left"/>
              <w:rPr>
                <w:sz w:val="16"/>
              </w:rPr>
            </w:pPr>
          </w:p>
        </w:tc>
        <w:tc>
          <w:tcPr>
            <w:tcW w:w="2268" w:type="dxa"/>
            <w:vAlign w:val="center"/>
          </w:tcPr>
          <w:p w:rsidR="00000000" w:rsidRDefault="00C311ED">
            <w:pPr>
              <w:pStyle w:val="Title"/>
              <w:rPr>
                <w:b w:val="0"/>
                <w:bCs w:val="0"/>
                <w:sz w:val="16"/>
              </w:rPr>
            </w:pPr>
          </w:p>
        </w:tc>
      </w:tr>
      <w:tr w:rsidR="00000000">
        <w:tblPrEx>
          <w:tblCellMar>
            <w:top w:w="0" w:type="dxa"/>
            <w:bottom w:w="0" w:type="dxa"/>
          </w:tblCellMar>
        </w:tblPrEx>
        <w:tc>
          <w:tcPr>
            <w:tcW w:w="4428" w:type="dxa"/>
          </w:tcPr>
          <w:p w:rsidR="00000000" w:rsidRDefault="00C311ED">
            <w:pPr>
              <w:pStyle w:val="Title"/>
              <w:jc w:val="left"/>
              <w:rPr>
                <w:sz w:val="24"/>
              </w:rPr>
            </w:pPr>
            <w:r>
              <w:rPr>
                <w:sz w:val="24"/>
              </w:rPr>
              <w:t>Avg number of goals per OAP</w:t>
            </w:r>
          </w:p>
        </w:tc>
        <w:tc>
          <w:tcPr>
            <w:tcW w:w="2160" w:type="dxa"/>
            <w:vAlign w:val="center"/>
          </w:tcPr>
          <w:p w:rsidR="00000000" w:rsidRDefault="00C311ED">
            <w:pPr>
              <w:pStyle w:val="Title"/>
              <w:rPr>
                <w:b w:val="0"/>
                <w:bCs w:val="0"/>
                <w:sz w:val="24"/>
              </w:rPr>
            </w:pPr>
            <w:r>
              <w:rPr>
                <w:b w:val="0"/>
                <w:bCs w:val="0"/>
                <w:sz w:val="24"/>
              </w:rPr>
              <w:t>3.44</w:t>
            </w:r>
          </w:p>
        </w:tc>
        <w:tc>
          <w:tcPr>
            <w:tcW w:w="4320" w:type="dxa"/>
          </w:tcPr>
          <w:p w:rsidR="00000000" w:rsidRDefault="00C311ED">
            <w:pPr>
              <w:pStyle w:val="Title"/>
              <w:jc w:val="left"/>
              <w:rPr>
                <w:sz w:val="24"/>
              </w:rPr>
            </w:pPr>
            <w:r>
              <w:rPr>
                <w:sz w:val="24"/>
              </w:rPr>
              <w:t>Total narrative minutes</w:t>
            </w:r>
          </w:p>
        </w:tc>
        <w:tc>
          <w:tcPr>
            <w:tcW w:w="2268" w:type="dxa"/>
            <w:vAlign w:val="center"/>
          </w:tcPr>
          <w:p w:rsidR="00000000" w:rsidRDefault="00C311ED">
            <w:pPr>
              <w:pStyle w:val="Title"/>
              <w:rPr>
                <w:b w:val="0"/>
                <w:bCs w:val="0"/>
                <w:sz w:val="24"/>
              </w:rPr>
            </w:pPr>
            <w:r>
              <w:rPr>
                <w:b w:val="0"/>
                <w:bCs w:val="0"/>
                <w:sz w:val="24"/>
              </w:rPr>
              <w:t>2,679,252</w:t>
            </w:r>
          </w:p>
        </w:tc>
      </w:tr>
      <w:tr w:rsidR="00000000">
        <w:tblPrEx>
          <w:tblCellMar>
            <w:top w:w="0" w:type="dxa"/>
            <w:bottom w:w="0" w:type="dxa"/>
          </w:tblCellMar>
        </w:tblPrEx>
        <w:tc>
          <w:tcPr>
            <w:tcW w:w="4428" w:type="dxa"/>
          </w:tcPr>
          <w:p w:rsidR="00000000" w:rsidRDefault="00C311ED">
            <w:pPr>
              <w:pStyle w:val="Title"/>
              <w:jc w:val="left"/>
              <w:rPr>
                <w:sz w:val="16"/>
              </w:rPr>
            </w:pPr>
          </w:p>
        </w:tc>
        <w:tc>
          <w:tcPr>
            <w:tcW w:w="2160" w:type="dxa"/>
            <w:vAlign w:val="center"/>
          </w:tcPr>
          <w:p w:rsidR="00000000" w:rsidRDefault="00C311ED">
            <w:pPr>
              <w:pStyle w:val="Title"/>
              <w:rPr>
                <w:b w:val="0"/>
                <w:bCs w:val="0"/>
                <w:sz w:val="16"/>
              </w:rPr>
            </w:pPr>
          </w:p>
        </w:tc>
        <w:tc>
          <w:tcPr>
            <w:tcW w:w="4320" w:type="dxa"/>
          </w:tcPr>
          <w:p w:rsidR="00000000" w:rsidRDefault="00C311ED">
            <w:pPr>
              <w:pStyle w:val="Title"/>
              <w:jc w:val="left"/>
              <w:rPr>
                <w:sz w:val="16"/>
              </w:rPr>
            </w:pPr>
          </w:p>
        </w:tc>
        <w:tc>
          <w:tcPr>
            <w:tcW w:w="2268" w:type="dxa"/>
            <w:vAlign w:val="center"/>
          </w:tcPr>
          <w:p w:rsidR="00000000" w:rsidRDefault="00C311ED">
            <w:pPr>
              <w:pStyle w:val="Title"/>
              <w:rPr>
                <w:b w:val="0"/>
                <w:bCs w:val="0"/>
                <w:sz w:val="16"/>
              </w:rPr>
            </w:pPr>
          </w:p>
        </w:tc>
      </w:tr>
      <w:tr w:rsidR="00000000">
        <w:tblPrEx>
          <w:tblCellMar>
            <w:top w:w="0" w:type="dxa"/>
            <w:bottom w:w="0" w:type="dxa"/>
          </w:tblCellMar>
        </w:tblPrEx>
        <w:tc>
          <w:tcPr>
            <w:tcW w:w="4428" w:type="dxa"/>
          </w:tcPr>
          <w:p w:rsidR="00000000" w:rsidRDefault="00C311ED">
            <w:pPr>
              <w:pStyle w:val="Title"/>
              <w:jc w:val="left"/>
              <w:rPr>
                <w:sz w:val="24"/>
              </w:rPr>
            </w:pPr>
            <w:r>
              <w:rPr>
                <w:sz w:val="24"/>
              </w:rPr>
              <w:t>Avg number of service activities per go</w:t>
            </w:r>
            <w:r>
              <w:rPr>
                <w:sz w:val="24"/>
              </w:rPr>
              <w:t>al</w:t>
            </w:r>
          </w:p>
        </w:tc>
        <w:tc>
          <w:tcPr>
            <w:tcW w:w="2160" w:type="dxa"/>
            <w:vAlign w:val="center"/>
          </w:tcPr>
          <w:p w:rsidR="00000000" w:rsidRDefault="00C311ED">
            <w:pPr>
              <w:pStyle w:val="Title"/>
              <w:rPr>
                <w:b w:val="0"/>
                <w:bCs w:val="0"/>
                <w:sz w:val="24"/>
              </w:rPr>
            </w:pPr>
            <w:r>
              <w:rPr>
                <w:b w:val="0"/>
                <w:bCs w:val="0"/>
                <w:sz w:val="24"/>
              </w:rPr>
              <w:t>3.3</w:t>
            </w:r>
          </w:p>
        </w:tc>
        <w:tc>
          <w:tcPr>
            <w:tcW w:w="4320" w:type="dxa"/>
          </w:tcPr>
          <w:p w:rsidR="00000000" w:rsidRDefault="00C311ED">
            <w:pPr>
              <w:pStyle w:val="Title"/>
              <w:jc w:val="left"/>
              <w:rPr>
                <w:sz w:val="24"/>
              </w:rPr>
            </w:pPr>
            <w:r>
              <w:rPr>
                <w:sz w:val="24"/>
              </w:rPr>
              <w:t>Average duration per narrative contact</w:t>
            </w:r>
          </w:p>
        </w:tc>
        <w:tc>
          <w:tcPr>
            <w:tcW w:w="2268" w:type="dxa"/>
            <w:vAlign w:val="center"/>
          </w:tcPr>
          <w:p w:rsidR="00000000" w:rsidRDefault="00C311ED">
            <w:pPr>
              <w:pStyle w:val="Title"/>
              <w:rPr>
                <w:b w:val="0"/>
                <w:bCs w:val="0"/>
                <w:sz w:val="24"/>
              </w:rPr>
            </w:pPr>
            <w:r>
              <w:rPr>
                <w:b w:val="0"/>
                <w:bCs w:val="0"/>
                <w:sz w:val="24"/>
              </w:rPr>
              <w:t>19.64</w:t>
            </w:r>
          </w:p>
        </w:tc>
      </w:tr>
    </w:tbl>
    <w:p w:rsidR="00000000" w:rsidRDefault="00C311ED">
      <w:pPr>
        <w:pStyle w:val="Title"/>
        <w:jc w:val="left"/>
        <w:rPr>
          <w:sz w:val="16"/>
        </w:rPr>
      </w:pPr>
    </w:p>
    <w:p w:rsidR="00000000" w:rsidRDefault="00C311ED">
      <w:pPr>
        <w:pStyle w:val="Title"/>
        <w:rPr>
          <w:sz w:val="48"/>
        </w:rPr>
      </w:pPr>
      <w:r>
        <w:rPr>
          <w:sz w:val="20"/>
        </w:rPr>
        <w:br w:type="page"/>
      </w:r>
      <w:r>
        <w:rPr>
          <w:sz w:val="48"/>
        </w:rPr>
        <w:lastRenderedPageBreak/>
        <w:t>Consumer Safety</w:t>
      </w:r>
    </w:p>
    <w:p w:rsidR="00000000" w:rsidRDefault="00C311ED">
      <w:pPr>
        <w:jc w:val="center"/>
      </w:pPr>
    </w:p>
    <w:tbl>
      <w:tblPr>
        <w:tblW w:w="0" w:type="auto"/>
        <w:tblInd w:w="540" w:type="dxa"/>
        <w:tblLook w:val="0000"/>
      </w:tblPr>
      <w:tblGrid>
        <w:gridCol w:w="6850"/>
        <w:gridCol w:w="6866"/>
      </w:tblGrid>
      <w:tr w:rsidR="00000000">
        <w:tblPrEx>
          <w:tblCellMar>
            <w:top w:w="0" w:type="dxa"/>
            <w:bottom w:w="0" w:type="dxa"/>
          </w:tblCellMar>
        </w:tblPrEx>
        <w:trPr>
          <w:trHeight w:val="3267"/>
        </w:trPr>
        <w:tc>
          <w:tcPr>
            <w:tcW w:w="6948" w:type="dxa"/>
          </w:tcPr>
          <w:p w:rsidR="00000000" w:rsidRDefault="00C311ED">
            <w:pPr>
              <w:rPr>
                <w:b/>
                <w:bCs/>
                <w:i/>
                <w:iCs/>
                <w:sz w:val="19"/>
              </w:rPr>
            </w:pPr>
            <w:r>
              <w:rPr>
                <w:noProof/>
                <w:sz w:val="20"/>
              </w:rPr>
              <w:drawing>
                <wp:anchor distT="0" distB="0" distL="114300" distR="114300" simplePos="0" relativeHeight="251653120" behindDoc="0" locked="0" layoutInCell="1" allowOverlap="1">
                  <wp:simplePos x="0" y="0"/>
                  <wp:positionH relativeFrom="column">
                    <wp:posOffset>-114300</wp:posOffset>
                  </wp:positionH>
                  <wp:positionV relativeFrom="paragraph">
                    <wp:posOffset>16510</wp:posOffset>
                  </wp:positionV>
                  <wp:extent cx="4248785" cy="2171700"/>
                  <wp:effectExtent l="0" t="0" r="0" b="2540"/>
                  <wp:wrapNone/>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bCs/>
                <w:sz w:val="19"/>
              </w:rPr>
              <w:t xml:space="preserve">Figure 1. </w:t>
            </w:r>
            <w:r>
              <w:rPr>
                <w:b/>
                <w:bCs/>
                <w:i/>
                <w:iCs/>
                <w:sz w:val="19"/>
              </w:rPr>
              <w:t>Frequency Distribution of all Incidents in 2006 (by incident type)</w:t>
            </w:r>
          </w:p>
          <w:p w:rsidR="00000000" w:rsidRDefault="00C311ED">
            <w:pPr>
              <w:rPr>
                <w:i/>
                <w:iCs/>
                <w:sz w:val="20"/>
              </w:rPr>
            </w:pPr>
          </w:p>
          <w:p w:rsidR="00000000" w:rsidRDefault="00C311ED">
            <w:pPr>
              <w:jc w:val="center"/>
              <w:rPr>
                <w:sz w:val="20"/>
              </w:rPr>
            </w:pPr>
          </w:p>
          <w:p w:rsidR="00000000" w:rsidRDefault="00C311ED">
            <w:pPr>
              <w:jc w:val="center"/>
              <w:rPr>
                <w:sz w:val="20"/>
              </w:rPr>
            </w:pPr>
          </w:p>
          <w:p w:rsidR="00000000" w:rsidRDefault="00C311ED">
            <w:pPr>
              <w:jc w:val="center"/>
              <w:rPr>
                <w:sz w:val="20"/>
              </w:rPr>
            </w:pPr>
          </w:p>
          <w:p w:rsidR="00000000" w:rsidRDefault="00C311ED">
            <w:pPr>
              <w:jc w:val="center"/>
              <w:rPr>
                <w:sz w:val="20"/>
              </w:rPr>
            </w:pPr>
          </w:p>
          <w:p w:rsidR="00000000" w:rsidRDefault="00C311ED">
            <w:pPr>
              <w:jc w:val="center"/>
              <w:rPr>
                <w:sz w:val="20"/>
              </w:rPr>
            </w:pPr>
          </w:p>
          <w:p w:rsidR="00000000" w:rsidRDefault="00C311ED">
            <w:pPr>
              <w:jc w:val="center"/>
              <w:rPr>
                <w:sz w:val="20"/>
              </w:rPr>
            </w:pPr>
          </w:p>
          <w:p w:rsidR="00000000" w:rsidRDefault="00C311ED">
            <w:pPr>
              <w:jc w:val="center"/>
              <w:rPr>
                <w:sz w:val="20"/>
              </w:rPr>
            </w:pPr>
          </w:p>
          <w:p w:rsidR="00000000" w:rsidRDefault="00C311ED">
            <w:pPr>
              <w:jc w:val="center"/>
              <w:rPr>
                <w:sz w:val="20"/>
              </w:rPr>
            </w:pPr>
          </w:p>
          <w:p w:rsidR="00000000" w:rsidRDefault="00C311ED">
            <w:pPr>
              <w:rPr>
                <w:sz w:val="20"/>
              </w:rPr>
            </w:pPr>
          </w:p>
          <w:p w:rsidR="00000000" w:rsidRDefault="00C311ED">
            <w:pPr>
              <w:rPr>
                <w:sz w:val="20"/>
              </w:rPr>
            </w:pPr>
          </w:p>
        </w:tc>
        <w:tc>
          <w:tcPr>
            <w:tcW w:w="6948" w:type="dxa"/>
          </w:tcPr>
          <w:p w:rsidR="00000000" w:rsidRDefault="00C311ED">
            <w:pPr>
              <w:numPr>
                <w:ilvl w:val="0"/>
                <w:numId w:val="7"/>
              </w:numPr>
              <w:rPr>
                <w:sz w:val="20"/>
              </w:rPr>
            </w:pPr>
            <w:r>
              <w:rPr>
                <w:sz w:val="20"/>
              </w:rPr>
              <w:t>Incidents involving the intervention of law enforcement were the most common in 2006 (n=497, 34</w:t>
            </w:r>
            <w:r>
              <w:rPr>
                <w:sz w:val="20"/>
              </w:rPr>
              <w:t xml:space="preserve">.5%) as compared to 19% (n=273) in 2005.  </w:t>
            </w:r>
          </w:p>
          <w:p w:rsidR="00000000" w:rsidRDefault="00C311ED">
            <w:pPr>
              <w:numPr>
                <w:ilvl w:val="0"/>
                <w:numId w:val="7"/>
              </w:numPr>
              <w:rPr>
                <w:sz w:val="20"/>
              </w:rPr>
            </w:pPr>
            <w:r>
              <w:rPr>
                <w:sz w:val="20"/>
              </w:rPr>
              <w:t>The next two most frequent types of incidents were those involving emergency mental health treatment (n=361, 27.3%) and physical injury (n=291, 22.0%).  In 2005 emergency mental health was 18% (n=267) and physical</w:t>
            </w:r>
            <w:r>
              <w:rPr>
                <w:sz w:val="20"/>
              </w:rPr>
              <w:t xml:space="preserve"> injury was 20% (n=294)</w:t>
            </w:r>
          </w:p>
          <w:p w:rsidR="00000000" w:rsidRDefault="00C311ED">
            <w:pPr>
              <w:numPr>
                <w:ilvl w:val="0"/>
                <w:numId w:val="7"/>
              </w:numPr>
              <w:rPr>
                <w:sz w:val="20"/>
              </w:rPr>
            </w:pPr>
            <w:r>
              <w:rPr>
                <w:sz w:val="20"/>
              </w:rPr>
              <w:t>The remaining three incident types occurred at frequencies of less than 10%.  In 2005 prescription medication errors were the highest number of incident reports (35% n=507).  In 2006 we redefined prescription medication errors to on</w:t>
            </w:r>
            <w:r>
              <w:rPr>
                <w:sz w:val="20"/>
              </w:rPr>
              <w:t>ly include those errors by staff, not consumer refusals, which are significantly high.</w:t>
            </w:r>
          </w:p>
          <w:p w:rsidR="00000000" w:rsidRDefault="00C311ED">
            <w:pPr>
              <w:numPr>
                <w:ilvl w:val="0"/>
                <w:numId w:val="7"/>
              </w:numPr>
              <w:rPr>
                <w:sz w:val="20"/>
              </w:rPr>
            </w:pPr>
            <w:r>
              <w:rPr>
                <w:sz w:val="20"/>
              </w:rPr>
              <w:t>There were 27 consumer deaths in 2006; these amounted to 2.0% of all incidents.</w:t>
            </w:r>
          </w:p>
        </w:tc>
      </w:tr>
      <w:tr w:rsidR="00000000">
        <w:tblPrEx>
          <w:tblCellMar>
            <w:top w:w="0" w:type="dxa"/>
            <w:bottom w:w="0" w:type="dxa"/>
          </w:tblCellMar>
        </w:tblPrEx>
        <w:tc>
          <w:tcPr>
            <w:tcW w:w="6948" w:type="dxa"/>
          </w:tcPr>
          <w:p w:rsidR="00000000" w:rsidRDefault="00C311ED">
            <w:pPr>
              <w:rPr>
                <w:b/>
                <w:bCs/>
                <w:i/>
                <w:iCs/>
                <w:sz w:val="19"/>
              </w:rPr>
            </w:pPr>
            <w:r>
              <w:rPr>
                <w:b/>
                <w:bCs/>
                <w:noProof/>
                <w:sz w:val="19"/>
              </w:rPr>
              <w:drawing>
                <wp:anchor distT="0" distB="0" distL="114300" distR="114300" simplePos="0" relativeHeight="251654144" behindDoc="0" locked="0" layoutInCell="1" allowOverlap="1">
                  <wp:simplePos x="0" y="0"/>
                  <wp:positionH relativeFrom="column">
                    <wp:posOffset>0</wp:posOffset>
                  </wp:positionH>
                  <wp:positionV relativeFrom="paragraph">
                    <wp:posOffset>-635</wp:posOffset>
                  </wp:positionV>
                  <wp:extent cx="3780155" cy="1981200"/>
                  <wp:effectExtent l="0" t="0" r="1270" b="635"/>
                  <wp:wrapNone/>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b/>
                <w:bCs/>
                <w:sz w:val="19"/>
              </w:rPr>
              <w:t xml:space="preserve">Figure 2. </w:t>
            </w:r>
            <w:r>
              <w:rPr>
                <w:b/>
                <w:bCs/>
                <w:i/>
                <w:iCs/>
                <w:sz w:val="19"/>
              </w:rPr>
              <w:t>Frequency Distribution of all Outcomes in 2006 (by incident severity)</w:t>
            </w: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p>
          <w:p w:rsidR="00000000" w:rsidRDefault="00C311ED">
            <w:pPr>
              <w:rPr>
                <w:sz w:val="20"/>
              </w:rPr>
            </w:pPr>
            <w:r>
              <w:rPr>
                <w:b/>
                <w:bCs/>
                <w:noProof/>
                <w:sz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133985</wp:posOffset>
                  </wp:positionV>
                  <wp:extent cx="3645535" cy="1828800"/>
                  <wp:effectExtent l="0" t="635" r="2540" b="0"/>
                  <wp:wrapNone/>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6948" w:type="dxa"/>
          </w:tcPr>
          <w:p w:rsidR="00000000" w:rsidRDefault="00C311ED">
            <w:pPr>
              <w:jc w:val="center"/>
              <w:rPr>
                <w:sz w:val="20"/>
              </w:rPr>
            </w:pPr>
          </w:p>
          <w:p w:rsidR="00000000" w:rsidRDefault="00C311ED">
            <w:pPr>
              <w:numPr>
                <w:ilvl w:val="0"/>
                <w:numId w:val="8"/>
              </w:numPr>
              <w:tabs>
                <w:tab w:val="num" w:pos="900"/>
              </w:tabs>
              <w:rPr>
                <w:sz w:val="20"/>
              </w:rPr>
            </w:pPr>
            <w:r>
              <w:rPr>
                <w:sz w:val="20"/>
              </w:rPr>
              <w:t xml:space="preserve">Over half of the reported incidents in 2006 required professional intervention (n=769, 58.4%).  </w:t>
            </w:r>
          </w:p>
          <w:p w:rsidR="00000000" w:rsidRDefault="00C311ED">
            <w:pPr>
              <w:numPr>
                <w:ilvl w:val="0"/>
                <w:numId w:val="8"/>
              </w:numPr>
              <w:tabs>
                <w:tab w:val="num" w:pos="900"/>
              </w:tabs>
              <w:rPr>
                <w:sz w:val="20"/>
              </w:rPr>
            </w:pPr>
            <w:r>
              <w:rPr>
                <w:sz w:val="20"/>
              </w:rPr>
              <w:t>A significant proportion (n=455, 34.6%) of incidents resulted in treatment involving jail, hospital care, or mental health commitment.</w:t>
            </w:r>
          </w:p>
          <w:p w:rsidR="00000000" w:rsidRDefault="00C311ED">
            <w:pPr>
              <w:numPr>
                <w:ilvl w:val="0"/>
                <w:numId w:val="8"/>
              </w:numPr>
              <w:rPr>
                <w:sz w:val="20"/>
              </w:rPr>
            </w:pPr>
            <w:r>
              <w:rPr>
                <w:sz w:val="20"/>
              </w:rPr>
              <w:t xml:space="preserve">Relatively few </w:t>
            </w:r>
            <w:r>
              <w:rPr>
                <w:sz w:val="20"/>
              </w:rPr>
              <w:t>incidents were resolved by direct staff (64, 4.9%), however, a large number of incidents required assistance beyond the capacity of direct care staff.  This is significantly lower than last year, as most of the incidents resolved by direct staff were presc</w:t>
            </w:r>
            <w:r>
              <w:rPr>
                <w:sz w:val="20"/>
              </w:rPr>
              <w:t>ription medication errors.</w:t>
            </w:r>
          </w:p>
        </w:tc>
      </w:tr>
      <w:tr w:rsidR="00000000">
        <w:tblPrEx>
          <w:tblCellMar>
            <w:top w:w="0" w:type="dxa"/>
            <w:bottom w:w="0" w:type="dxa"/>
          </w:tblCellMar>
        </w:tblPrEx>
        <w:tc>
          <w:tcPr>
            <w:tcW w:w="6948" w:type="dxa"/>
          </w:tcPr>
          <w:p w:rsidR="00000000" w:rsidRDefault="00C311ED">
            <w:pPr>
              <w:rPr>
                <w:b/>
                <w:bCs/>
                <w:i/>
                <w:iCs/>
                <w:sz w:val="19"/>
              </w:rPr>
            </w:pPr>
            <w:r>
              <w:rPr>
                <w:b/>
                <w:bCs/>
                <w:sz w:val="19"/>
              </w:rPr>
              <w:t xml:space="preserve">Figure 3. </w:t>
            </w:r>
            <w:r>
              <w:rPr>
                <w:b/>
                <w:bCs/>
                <w:i/>
                <w:iCs/>
                <w:sz w:val="19"/>
              </w:rPr>
              <w:t>Frequency Distribution of all Incidents in 2006 by Consumer Diagnosis</w:t>
            </w: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b/>
                <w:bCs/>
                <w:i/>
                <w:iCs/>
                <w:sz w:val="19"/>
              </w:rPr>
            </w:pPr>
          </w:p>
          <w:p w:rsidR="00000000" w:rsidRDefault="00C311ED">
            <w:pPr>
              <w:rPr>
                <w:sz w:val="20"/>
              </w:rPr>
            </w:pPr>
          </w:p>
        </w:tc>
        <w:tc>
          <w:tcPr>
            <w:tcW w:w="6948" w:type="dxa"/>
          </w:tcPr>
          <w:p w:rsidR="00000000" w:rsidRDefault="00C311ED">
            <w:pPr>
              <w:ind w:left="360"/>
              <w:rPr>
                <w:sz w:val="20"/>
              </w:rPr>
            </w:pPr>
          </w:p>
          <w:p w:rsidR="00000000" w:rsidRDefault="00C311ED">
            <w:pPr>
              <w:numPr>
                <w:ilvl w:val="0"/>
                <w:numId w:val="9"/>
              </w:numPr>
              <w:rPr>
                <w:sz w:val="20"/>
              </w:rPr>
            </w:pPr>
            <w:r>
              <w:rPr>
                <w:sz w:val="20"/>
              </w:rPr>
              <w:t xml:space="preserve">MR adults (n=600, 45.3%) and CMI adults (n=443, 33.6%) were involved in the majority of incidents in 2006. </w:t>
            </w:r>
          </w:p>
          <w:p w:rsidR="00000000" w:rsidRDefault="00C311ED">
            <w:pPr>
              <w:numPr>
                <w:ilvl w:val="0"/>
                <w:numId w:val="9"/>
              </w:numPr>
              <w:rPr>
                <w:sz w:val="20"/>
              </w:rPr>
            </w:pPr>
            <w:r>
              <w:rPr>
                <w:sz w:val="20"/>
              </w:rPr>
              <w:t>Children with an SED diagno</w:t>
            </w:r>
            <w:r>
              <w:rPr>
                <w:sz w:val="20"/>
              </w:rPr>
              <w:t>sis were involved in numerous incidents (n=175, 13.4%).  SED Children were not tracked in 2005</w:t>
            </w:r>
          </w:p>
          <w:p w:rsidR="00000000" w:rsidRDefault="00C311ED">
            <w:pPr>
              <w:numPr>
                <w:ilvl w:val="0"/>
                <w:numId w:val="9"/>
              </w:numPr>
              <w:rPr>
                <w:sz w:val="20"/>
              </w:rPr>
            </w:pPr>
            <w:r>
              <w:rPr>
                <w:sz w:val="20"/>
              </w:rPr>
              <w:t>All BI consumers, DD adults, and MR children combined contributed to less than 10% of the total number of incidents.</w:t>
            </w:r>
          </w:p>
          <w:p w:rsidR="00000000" w:rsidRDefault="00C311ED">
            <w:pPr>
              <w:rPr>
                <w:sz w:val="20"/>
              </w:rPr>
            </w:pPr>
          </w:p>
        </w:tc>
      </w:tr>
    </w:tbl>
    <w:p w:rsidR="00000000" w:rsidRDefault="00C311ED">
      <w:pPr>
        <w:rPr>
          <w:sz w:val="20"/>
        </w:rPr>
      </w:pPr>
    </w:p>
    <w:p w:rsidR="00000000" w:rsidRDefault="00C311ED">
      <w:pPr>
        <w:pStyle w:val="Title"/>
        <w:rPr>
          <w:sz w:val="48"/>
        </w:rPr>
      </w:pPr>
      <w:r>
        <w:rPr>
          <w:sz w:val="20"/>
        </w:rPr>
        <w:br w:type="page"/>
      </w:r>
      <w:r>
        <w:rPr>
          <w:sz w:val="48"/>
        </w:rPr>
        <w:lastRenderedPageBreak/>
        <w:t>Child Safety</w:t>
      </w:r>
    </w:p>
    <w:p w:rsidR="00000000" w:rsidRDefault="00C311ED"/>
    <w:p w:rsidR="00000000" w:rsidRDefault="00C311ED">
      <w:pPr>
        <w:jc w:val="center"/>
        <w:rPr>
          <w:sz w:val="20"/>
        </w:rPr>
      </w:pPr>
      <w:r>
        <w:rPr>
          <w:noProof/>
          <w:sz w:val="20"/>
        </w:rPr>
        <w:drawing>
          <wp:inline distT="0" distB="0" distL="0" distR="0">
            <wp:extent cx="3587115" cy="273431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sz w:val="20"/>
        </w:rPr>
        <w:drawing>
          <wp:inline distT="0" distB="0" distL="0" distR="0">
            <wp:extent cx="3587115" cy="273431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C311ED">
      <w:pPr>
        <w:jc w:val="center"/>
        <w:rPr>
          <w:sz w:val="20"/>
          <w:u w:val="single"/>
        </w:rPr>
      </w:pPr>
    </w:p>
    <w:p w:rsidR="00000000" w:rsidRDefault="00C311ED">
      <w:pPr>
        <w:jc w:val="center"/>
        <w:rPr>
          <w:sz w:val="20"/>
        </w:rPr>
      </w:pPr>
    </w:p>
    <w:p w:rsidR="00000000" w:rsidRDefault="00C311ED">
      <w:pPr>
        <w:pStyle w:val="Heading1"/>
        <w:jc w:val="left"/>
        <w:rPr>
          <w:sz w:val="24"/>
        </w:rPr>
      </w:pPr>
      <w:r>
        <w:rPr>
          <w:sz w:val="24"/>
        </w:rPr>
        <w:t>Figure 1</w:t>
      </w:r>
    </w:p>
    <w:p w:rsidR="00000000" w:rsidRDefault="00C311ED">
      <w:pPr>
        <w:numPr>
          <w:ilvl w:val="0"/>
          <w:numId w:val="10"/>
        </w:numPr>
        <w:tabs>
          <w:tab w:val="left" w:pos="900"/>
        </w:tabs>
        <w:ind w:left="900"/>
        <w:rPr>
          <w:sz w:val="20"/>
        </w:rPr>
      </w:pPr>
      <w:r>
        <w:rPr>
          <w:sz w:val="20"/>
        </w:rPr>
        <w:t>DHS Case Management Served 653 mentally retarded children and 83 brain-injured children in 2006.</w:t>
      </w:r>
    </w:p>
    <w:p w:rsidR="00000000" w:rsidRDefault="00C311ED">
      <w:pPr>
        <w:numPr>
          <w:ilvl w:val="0"/>
          <w:numId w:val="10"/>
        </w:numPr>
        <w:tabs>
          <w:tab w:val="left" w:pos="900"/>
        </w:tabs>
        <w:ind w:left="900"/>
        <w:rPr>
          <w:sz w:val="20"/>
        </w:rPr>
      </w:pPr>
      <w:r>
        <w:rPr>
          <w:sz w:val="20"/>
        </w:rPr>
        <w:t>2.85% or 21 out of 736 children had an incident that involved a report to protective services.</w:t>
      </w:r>
    </w:p>
    <w:p w:rsidR="00000000" w:rsidRDefault="00C311ED">
      <w:pPr>
        <w:numPr>
          <w:ilvl w:val="0"/>
          <w:numId w:val="10"/>
        </w:numPr>
        <w:tabs>
          <w:tab w:val="left" w:pos="900"/>
        </w:tabs>
        <w:ind w:left="900"/>
        <w:rPr>
          <w:sz w:val="20"/>
        </w:rPr>
      </w:pPr>
      <w:r>
        <w:rPr>
          <w:sz w:val="20"/>
        </w:rPr>
        <w:t>1.49% or 11 out of 736 chi</w:t>
      </w:r>
      <w:r>
        <w:rPr>
          <w:sz w:val="20"/>
        </w:rPr>
        <w:t>ldren had an incident that involved a physical injury.</w:t>
      </w:r>
    </w:p>
    <w:p w:rsidR="00000000" w:rsidRDefault="00C311ED">
      <w:pPr>
        <w:numPr>
          <w:ilvl w:val="0"/>
          <w:numId w:val="10"/>
        </w:numPr>
        <w:tabs>
          <w:tab w:val="left" w:pos="900"/>
        </w:tabs>
        <w:ind w:left="900"/>
        <w:rPr>
          <w:sz w:val="20"/>
        </w:rPr>
      </w:pPr>
      <w:r>
        <w:rPr>
          <w:sz w:val="20"/>
        </w:rPr>
        <w:t>0.95% or 7 out of 736 children had an incident that involved the intervention of law enforcement.</w:t>
      </w:r>
    </w:p>
    <w:p w:rsidR="00000000" w:rsidRDefault="00C311ED">
      <w:pPr>
        <w:numPr>
          <w:ilvl w:val="0"/>
          <w:numId w:val="10"/>
        </w:numPr>
        <w:tabs>
          <w:tab w:val="left" w:pos="900"/>
        </w:tabs>
        <w:ind w:left="900"/>
        <w:rPr>
          <w:sz w:val="20"/>
        </w:rPr>
      </w:pPr>
      <w:r>
        <w:rPr>
          <w:sz w:val="20"/>
        </w:rPr>
        <w:t>There were 3 deaths among MR and BI children. All were due to illness.</w:t>
      </w:r>
    </w:p>
    <w:p w:rsidR="00000000" w:rsidRDefault="00C311ED">
      <w:pPr>
        <w:numPr>
          <w:ilvl w:val="0"/>
          <w:numId w:val="10"/>
        </w:numPr>
        <w:tabs>
          <w:tab w:val="left" w:pos="900"/>
        </w:tabs>
        <w:ind w:left="900"/>
        <w:rPr>
          <w:sz w:val="20"/>
        </w:rPr>
      </w:pPr>
      <w:r>
        <w:rPr>
          <w:sz w:val="20"/>
        </w:rPr>
        <w:t xml:space="preserve">A total of 41 MR/BI children or </w:t>
      </w:r>
      <w:r>
        <w:rPr>
          <w:sz w:val="20"/>
        </w:rPr>
        <w:t>6% of the population had one or more incident during the year.</w:t>
      </w:r>
    </w:p>
    <w:p w:rsidR="00000000" w:rsidRDefault="00C311ED">
      <w:pPr>
        <w:tabs>
          <w:tab w:val="left" w:pos="900"/>
        </w:tabs>
        <w:jc w:val="center"/>
        <w:rPr>
          <w:sz w:val="20"/>
        </w:rPr>
      </w:pPr>
    </w:p>
    <w:p w:rsidR="00000000" w:rsidRDefault="00C311ED">
      <w:pPr>
        <w:tabs>
          <w:tab w:val="left" w:pos="900"/>
        </w:tabs>
        <w:rPr>
          <w:sz w:val="20"/>
        </w:rPr>
      </w:pPr>
    </w:p>
    <w:p w:rsidR="00000000" w:rsidRDefault="00C311ED">
      <w:pPr>
        <w:pStyle w:val="Heading1"/>
        <w:jc w:val="left"/>
        <w:rPr>
          <w:sz w:val="24"/>
        </w:rPr>
      </w:pPr>
      <w:r>
        <w:rPr>
          <w:sz w:val="24"/>
        </w:rPr>
        <w:t>Figure 2</w:t>
      </w:r>
    </w:p>
    <w:p w:rsidR="00000000" w:rsidRDefault="00C311ED">
      <w:pPr>
        <w:numPr>
          <w:ilvl w:val="0"/>
          <w:numId w:val="11"/>
        </w:numPr>
        <w:tabs>
          <w:tab w:val="num" w:pos="900"/>
        </w:tabs>
        <w:ind w:left="900"/>
        <w:rPr>
          <w:sz w:val="20"/>
        </w:rPr>
      </w:pPr>
      <w:r>
        <w:rPr>
          <w:sz w:val="20"/>
        </w:rPr>
        <w:t>In 2006 DHS Case Management served 234 children with a serious emotional disturbance.</w:t>
      </w:r>
    </w:p>
    <w:p w:rsidR="00000000" w:rsidRDefault="00C311ED">
      <w:pPr>
        <w:numPr>
          <w:ilvl w:val="0"/>
          <w:numId w:val="11"/>
        </w:numPr>
        <w:tabs>
          <w:tab w:val="num" w:pos="900"/>
        </w:tabs>
        <w:ind w:left="900"/>
        <w:rPr>
          <w:sz w:val="20"/>
        </w:rPr>
      </w:pPr>
      <w:r>
        <w:rPr>
          <w:sz w:val="20"/>
        </w:rPr>
        <w:t>53 of the 234 children or 22.6% had an incident that involved the intervention of law enforcemen</w:t>
      </w:r>
      <w:r>
        <w:rPr>
          <w:sz w:val="20"/>
        </w:rPr>
        <w:t>t.</w:t>
      </w:r>
    </w:p>
    <w:p w:rsidR="00000000" w:rsidRDefault="00C311ED">
      <w:pPr>
        <w:numPr>
          <w:ilvl w:val="0"/>
          <w:numId w:val="11"/>
        </w:numPr>
        <w:tabs>
          <w:tab w:val="num" w:pos="900"/>
        </w:tabs>
        <w:ind w:left="900"/>
        <w:rPr>
          <w:sz w:val="20"/>
        </w:rPr>
      </w:pPr>
      <w:r>
        <w:rPr>
          <w:sz w:val="20"/>
        </w:rPr>
        <w:t>46 of the 234 children or 19.7% had an incident that involved a report to protective services.</w:t>
      </w:r>
    </w:p>
    <w:p w:rsidR="00000000" w:rsidRDefault="00C311ED">
      <w:pPr>
        <w:numPr>
          <w:ilvl w:val="0"/>
          <w:numId w:val="11"/>
        </w:numPr>
        <w:tabs>
          <w:tab w:val="num" w:pos="900"/>
        </w:tabs>
        <w:ind w:left="900"/>
        <w:rPr>
          <w:sz w:val="20"/>
        </w:rPr>
      </w:pPr>
      <w:r>
        <w:rPr>
          <w:sz w:val="20"/>
        </w:rPr>
        <w:t>25 of the 234 children or 10.7% had an incident that resulted in emergency mental health treatment.</w:t>
      </w:r>
    </w:p>
    <w:p w:rsidR="00000000" w:rsidRDefault="00C311ED">
      <w:pPr>
        <w:numPr>
          <w:ilvl w:val="0"/>
          <w:numId w:val="11"/>
        </w:numPr>
        <w:tabs>
          <w:tab w:val="num" w:pos="900"/>
        </w:tabs>
        <w:ind w:left="900"/>
        <w:rPr>
          <w:sz w:val="20"/>
        </w:rPr>
      </w:pPr>
      <w:r>
        <w:rPr>
          <w:sz w:val="20"/>
        </w:rPr>
        <w:t>10 of the 234 children or 4.35% had an incident that resul</w:t>
      </w:r>
      <w:r>
        <w:rPr>
          <w:sz w:val="20"/>
        </w:rPr>
        <w:t>ted in physical injury.</w:t>
      </w:r>
    </w:p>
    <w:p w:rsidR="00000000" w:rsidRDefault="00C311ED">
      <w:pPr>
        <w:numPr>
          <w:ilvl w:val="0"/>
          <w:numId w:val="11"/>
        </w:numPr>
        <w:tabs>
          <w:tab w:val="num" w:pos="900"/>
        </w:tabs>
        <w:ind w:left="900"/>
        <w:rPr>
          <w:sz w:val="20"/>
        </w:rPr>
      </w:pPr>
      <w:r>
        <w:rPr>
          <w:sz w:val="20"/>
        </w:rPr>
        <w:t>A total of 114 SED children or 48.7% of the population had one or more incident during the year.</w:t>
      </w:r>
    </w:p>
    <w:p w:rsidR="00000000" w:rsidRDefault="00C311ED">
      <w:pPr>
        <w:numPr>
          <w:ilvl w:val="0"/>
          <w:numId w:val="11"/>
        </w:numPr>
        <w:tabs>
          <w:tab w:val="num" w:pos="900"/>
        </w:tabs>
        <w:ind w:left="900"/>
        <w:rPr>
          <w:sz w:val="20"/>
        </w:rPr>
      </w:pPr>
      <w:r>
        <w:rPr>
          <w:sz w:val="20"/>
        </w:rPr>
        <w:t>The children served in 2006 (the start of the CMH waiver program) were referred to Case Management from Child Welfare.</w:t>
      </w:r>
    </w:p>
    <w:p w:rsidR="00000000" w:rsidRDefault="00C311ED">
      <w:pPr>
        <w:ind w:left="540"/>
      </w:pPr>
    </w:p>
    <w:p w:rsidR="00000000" w:rsidRDefault="00C311ED">
      <w:pPr>
        <w:pStyle w:val="Title"/>
        <w:rPr>
          <w:sz w:val="48"/>
        </w:rPr>
      </w:pPr>
      <w:r>
        <w:rPr>
          <w:sz w:val="20"/>
        </w:rPr>
        <w:br w:type="page"/>
      </w:r>
      <w:r>
        <w:rPr>
          <w:sz w:val="48"/>
        </w:rPr>
        <w:lastRenderedPageBreak/>
        <w:t>Child Mental H</w:t>
      </w:r>
      <w:r>
        <w:rPr>
          <w:sz w:val="48"/>
        </w:rPr>
        <w:t>ealth Outcomes</w:t>
      </w:r>
    </w:p>
    <w:p w:rsidR="00000000" w:rsidRDefault="00C311ED">
      <w:pPr>
        <w:jc w:val="center"/>
        <w:rPr>
          <w:b/>
          <w:bCs/>
          <w:sz w:val="32"/>
        </w:rPr>
      </w:pPr>
    </w:p>
    <w:p w:rsidR="00000000" w:rsidRDefault="00C311ED">
      <w:pPr>
        <w:pStyle w:val="BodyText"/>
        <w:rPr>
          <w:rFonts w:ascii="Times New Roman" w:hAnsi="Times New Roman" w:cs="Times New Roman"/>
        </w:rPr>
      </w:pPr>
      <w:r>
        <w:rPr>
          <w:rFonts w:ascii="Times New Roman" w:hAnsi="Times New Roman" w:cs="Times New Roman"/>
        </w:rPr>
        <w:t>Outcome Results were tabulated for 186 SED diagnosed children who received TCM services in the first year of the CMH waiver (October 2005 – September 2006)</w:t>
      </w:r>
    </w:p>
    <w:p w:rsidR="00000000" w:rsidRDefault="00C311ED">
      <w:pPr>
        <w:rPr>
          <w:b/>
          <w:bCs/>
          <w:szCs w:val="23"/>
        </w:rPr>
      </w:pPr>
      <w:r>
        <w:rPr>
          <w:b/>
          <w:bCs/>
          <w:noProof/>
          <w:sz w:val="20"/>
          <w:szCs w:val="23"/>
        </w:rPr>
        <w:pict>
          <v:shape id="_x0000_s1042" type="#_x0000_t202" style="position:absolute;margin-left:468pt;margin-top:5.1pt;width:197.9pt;height:146.45pt;z-index:251656192" filled="f" stroked="f">
            <v:textbox>
              <w:txbxContent>
                <w:p w:rsidR="00000000" w:rsidRDefault="00C311ED">
                  <w:r>
                    <w:rPr>
                      <w:noProof/>
                    </w:rPr>
                    <w:drawing>
                      <wp:inline distT="0" distB="0" distL="0" distR="0">
                        <wp:extent cx="2320925" cy="1758315"/>
                        <wp:effectExtent l="19050" t="0" r="3175" b="0"/>
                        <wp:docPr id="7" name="Picture 7" descr="C:\Access97\Access97\Clipart\Publisher\PE0128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ccess97\Access97\Clipart\Publisher\PE01286_.WMF"/>
                                <pic:cNvPicPr>
                                  <a:picLocks noChangeAspect="1" noChangeArrowheads="1"/>
                                </pic:cNvPicPr>
                              </pic:nvPicPr>
                              <pic:blipFill>
                                <a:blip r:embed="rId16"/>
                                <a:srcRect/>
                                <a:stretch>
                                  <a:fillRect/>
                                </a:stretch>
                              </pic:blipFill>
                              <pic:spPr bwMode="auto">
                                <a:xfrm>
                                  <a:off x="0" y="0"/>
                                  <a:ext cx="2320925" cy="1758315"/>
                                </a:xfrm>
                                <a:prstGeom prst="rect">
                                  <a:avLst/>
                                </a:prstGeom>
                                <a:noFill/>
                                <a:ln w="9525">
                                  <a:noFill/>
                                  <a:miter lim="800000"/>
                                  <a:headEnd/>
                                  <a:tailEnd/>
                                </a:ln>
                              </pic:spPr>
                            </pic:pic>
                          </a:graphicData>
                        </a:graphic>
                      </wp:inline>
                    </w:drawing>
                  </w:r>
                </w:p>
              </w:txbxContent>
            </v:textbox>
          </v:shape>
        </w:pict>
      </w:r>
    </w:p>
    <w:p w:rsidR="00000000" w:rsidRDefault="00C311ED">
      <w:pPr>
        <w:numPr>
          <w:ilvl w:val="0"/>
          <w:numId w:val="13"/>
        </w:numPr>
        <w:rPr>
          <w:b/>
          <w:bCs/>
          <w:szCs w:val="23"/>
        </w:rPr>
      </w:pPr>
      <w:r>
        <w:rPr>
          <w:b/>
          <w:bCs/>
          <w:szCs w:val="23"/>
        </w:rPr>
        <w:t>All children have received a dental exam within the past 12 months</w:t>
      </w:r>
    </w:p>
    <w:p w:rsidR="00000000" w:rsidRDefault="00C311ED">
      <w:pPr>
        <w:ind w:left="720" w:firstLine="360"/>
        <w:rPr>
          <w:szCs w:val="23"/>
        </w:rPr>
      </w:pPr>
      <w:r>
        <w:rPr>
          <w:szCs w:val="23"/>
        </w:rPr>
        <w:t>139 of 186 (</w:t>
      </w:r>
      <w:r>
        <w:rPr>
          <w:b/>
          <w:bCs/>
          <w:szCs w:val="23"/>
        </w:rPr>
        <w:t>74%</w:t>
      </w:r>
      <w:r>
        <w:rPr>
          <w:szCs w:val="23"/>
        </w:rPr>
        <w:t>) have received a dental exam within the past 12 months</w:t>
      </w:r>
    </w:p>
    <w:p w:rsidR="00000000" w:rsidRDefault="00C311ED">
      <w:pPr>
        <w:rPr>
          <w:szCs w:val="23"/>
        </w:rPr>
      </w:pPr>
      <w:r>
        <w:rPr>
          <w:szCs w:val="23"/>
        </w:rPr>
        <w:tab/>
      </w:r>
    </w:p>
    <w:p w:rsidR="00000000" w:rsidRDefault="00C311ED">
      <w:pPr>
        <w:numPr>
          <w:ilvl w:val="0"/>
          <w:numId w:val="13"/>
        </w:numPr>
        <w:rPr>
          <w:szCs w:val="23"/>
        </w:rPr>
      </w:pPr>
      <w:r>
        <w:rPr>
          <w:b/>
          <w:bCs/>
          <w:szCs w:val="23"/>
        </w:rPr>
        <w:t>All children have received a physical exam within the past 12 months</w:t>
      </w:r>
      <w:r>
        <w:rPr>
          <w:szCs w:val="23"/>
        </w:rPr>
        <w:tab/>
      </w:r>
    </w:p>
    <w:p w:rsidR="00000000" w:rsidRDefault="00C311ED">
      <w:pPr>
        <w:ind w:left="1080"/>
        <w:rPr>
          <w:szCs w:val="23"/>
        </w:rPr>
      </w:pPr>
      <w:r>
        <w:rPr>
          <w:szCs w:val="23"/>
        </w:rPr>
        <w:t>157 of 186 (</w:t>
      </w:r>
      <w:r>
        <w:rPr>
          <w:b/>
          <w:bCs/>
          <w:szCs w:val="23"/>
        </w:rPr>
        <w:t>84%</w:t>
      </w:r>
      <w:r>
        <w:rPr>
          <w:szCs w:val="23"/>
        </w:rPr>
        <w:t>) have received a physical exam within the past 12 months</w:t>
      </w:r>
    </w:p>
    <w:p w:rsidR="00000000" w:rsidRDefault="00C311ED">
      <w:pPr>
        <w:rPr>
          <w:b/>
          <w:bCs/>
          <w:szCs w:val="23"/>
        </w:rPr>
      </w:pPr>
    </w:p>
    <w:p w:rsidR="00000000" w:rsidRDefault="00C311ED">
      <w:pPr>
        <w:numPr>
          <w:ilvl w:val="0"/>
          <w:numId w:val="13"/>
        </w:numPr>
        <w:rPr>
          <w:szCs w:val="23"/>
        </w:rPr>
      </w:pPr>
      <w:r>
        <w:rPr>
          <w:b/>
          <w:bCs/>
          <w:szCs w:val="23"/>
        </w:rPr>
        <w:t>Children have lived in their own homes during entire p</w:t>
      </w:r>
      <w:r>
        <w:rPr>
          <w:b/>
          <w:bCs/>
          <w:szCs w:val="23"/>
        </w:rPr>
        <w:t>ast year?</w:t>
      </w:r>
    </w:p>
    <w:p w:rsidR="00000000" w:rsidRDefault="00C311ED">
      <w:pPr>
        <w:ind w:left="1080"/>
        <w:rPr>
          <w:szCs w:val="23"/>
        </w:rPr>
      </w:pPr>
      <w:r>
        <w:rPr>
          <w:szCs w:val="23"/>
        </w:rPr>
        <w:t>152 of 186 (</w:t>
      </w:r>
      <w:r>
        <w:rPr>
          <w:b/>
          <w:bCs/>
          <w:szCs w:val="23"/>
        </w:rPr>
        <w:t>82%</w:t>
      </w:r>
      <w:r>
        <w:rPr>
          <w:szCs w:val="23"/>
        </w:rPr>
        <w:t>) children lived in their own home for the entire past 12 months</w:t>
      </w:r>
    </w:p>
    <w:p w:rsidR="00000000" w:rsidRDefault="00C311ED">
      <w:pPr>
        <w:ind w:left="1080"/>
        <w:rPr>
          <w:b/>
          <w:bCs/>
          <w:szCs w:val="23"/>
        </w:rPr>
      </w:pPr>
      <w:r>
        <w:rPr>
          <w:szCs w:val="23"/>
        </w:rPr>
        <w:tab/>
      </w:r>
      <w:r>
        <w:rPr>
          <w:szCs w:val="23"/>
        </w:rPr>
        <w:tab/>
      </w:r>
      <w:r>
        <w:rPr>
          <w:b/>
          <w:bCs/>
          <w:szCs w:val="23"/>
        </w:rPr>
        <w:t xml:space="preserve"> </w:t>
      </w:r>
    </w:p>
    <w:p w:rsidR="00000000" w:rsidRDefault="00C311ED">
      <w:pPr>
        <w:numPr>
          <w:ilvl w:val="0"/>
          <w:numId w:val="13"/>
        </w:numPr>
      </w:pPr>
      <w:r>
        <w:rPr>
          <w:b/>
          <w:bCs/>
          <w:szCs w:val="23"/>
        </w:rPr>
        <w:t>School Success – Promoted to next grade level?</w:t>
      </w:r>
    </w:p>
    <w:p w:rsidR="00000000" w:rsidRDefault="00C311ED">
      <w:pPr>
        <w:ind w:left="1080"/>
        <w:rPr>
          <w:szCs w:val="23"/>
        </w:rPr>
      </w:pPr>
      <w:r>
        <w:rPr>
          <w:szCs w:val="23"/>
        </w:rPr>
        <w:t>169 of 173 (</w:t>
      </w:r>
      <w:r>
        <w:rPr>
          <w:b/>
          <w:bCs/>
          <w:szCs w:val="23"/>
        </w:rPr>
        <w:t>98%</w:t>
      </w:r>
      <w:r>
        <w:rPr>
          <w:szCs w:val="23"/>
        </w:rPr>
        <w:t xml:space="preserve">) children aged 7 and above were promoted to the next grade </w:t>
      </w:r>
      <w:r>
        <w:rPr>
          <w:szCs w:val="23"/>
        </w:rPr>
        <w:tab/>
        <w:t xml:space="preserve"> </w:t>
      </w:r>
    </w:p>
    <w:p w:rsidR="00000000" w:rsidRDefault="00C311ED">
      <w:pPr>
        <w:rPr>
          <w:szCs w:val="23"/>
        </w:rPr>
      </w:pPr>
      <w:r>
        <w:rPr>
          <w:szCs w:val="23"/>
        </w:rPr>
        <w:tab/>
        <w:t xml:space="preserve"> </w:t>
      </w:r>
    </w:p>
    <w:p w:rsidR="00000000" w:rsidRDefault="00C311ED">
      <w:pPr>
        <w:numPr>
          <w:ilvl w:val="0"/>
          <w:numId w:val="13"/>
        </w:numPr>
        <w:rPr>
          <w:b/>
          <w:bCs/>
          <w:szCs w:val="23"/>
        </w:rPr>
      </w:pPr>
      <w:r>
        <w:rPr>
          <w:b/>
          <w:bCs/>
          <w:szCs w:val="23"/>
        </w:rPr>
        <w:t>Attendance at School Appropriate –</w:t>
      </w:r>
      <w:r>
        <w:rPr>
          <w:b/>
          <w:bCs/>
          <w:szCs w:val="23"/>
        </w:rPr>
        <w:t xml:space="preserve">  </w:t>
      </w:r>
    </w:p>
    <w:p w:rsidR="00000000" w:rsidRDefault="00C311ED">
      <w:pPr>
        <w:ind w:left="1080"/>
        <w:rPr>
          <w:szCs w:val="23"/>
        </w:rPr>
      </w:pPr>
      <w:r>
        <w:rPr>
          <w:szCs w:val="23"/>
        </w:rPr>
        <w:t>159 of 173 (</w:t>
      </w:r>
      <w:r>
        <w:rPr>
          <w:b/>
          <w:bCs/>
          <w:szCs w:val="23"/>
        </w:rPr>
        <w:t>92%)</w:t>
      </w:r>
      <w:r>
        <w:rPr>
          <w:szCs w:val="23"/>
        </w:rPr>
        <w:t xml:space="preserve"> children aged 7 and above missed no more than 3 days of school. 3 of these 159 children were also involved with Law Enforcement.</w:t>
      </w:r>
    </w:p>
    <w:p w:rsidR="00000000" w:rsidRDefault="00C311ED">
      <w:pPr>
        <w:rPr>
          <w:szCs w:val="23"/>
        </w:rPr>
      </w:pPr>
    </w:p>
    <w:p w:rsidR="00000000" w:rsidRDefault="00C311ED">
      <w:pPr>
        <w:numPr>
          <w:ilvl w:val="0"/>
          <w:numId w:val="13"/>
        </w:numPr>
        <w:rPr>
          <w:b/>
          <w:bCs/>
          <w:szCs w:val="23"/>
        </w:rPr>
      </w:pPr>
      <w:r>
        <w:rPr>
          <w:b/>
          <w:bCs/>
          <w:szCs w:val="23"/>
        </w:rPr>
        <w:t>Arrested by Law Enforcement?</w:t>
      </w:r>
    </w:p>
    <w:p w:rsidR="00000000" w:rsidRDefault="00C311ED">
      <w:pPr>
        <w:ind w:left="1080"/>
        <w:rPr>
          <w:szCs w:val="23"/>
        </w:rPr>
      </w:pPr>
      <w:r>
        <w:rPr>
          <w:szCs w:val="23"/>
        </w:rPr>
        <w:t>174 of 186 (</w:t>
      </w:r>
      <w:r>
        <w:rPr>
          <w:b/>
          <w:bCs/>
          <w:szCs w:val="23"/>
        </w:rPr>
        <w:t>94%</w:t>
      </w:r>
      <w:r>
        <w:rPr>
          <w:szCs w:val="23"/>
        </w:rPr>
        <w:t>) children currently served by the waiver have not been arrest</w:t>
      </w:r>
      <w:r>
        <w:rPr>
          <w:szCs w:val="23"/>
        </w:rPr>
        <w:t xml:space="preserve">ed See Summary attachment for additional information on this outcome.  </w:t>
      </w:r>
    </w:p>
    <w:p w:rsidR="00000000" w:rsidRDefault="00C311ED">
      <w:pPr>
        <w:ind w:left="1080"/>
        <w:rPr>
          <w:szCs w:val="23"/>
        </w:rPr>
      </w:pPr>
      <w:r>
        <w:rPr>
          <w:szCs w:val="23"/>
        </w:rPr>
        <w:tab/>
      </w:r>
      <w:r>
        <w:rPr>
          <w:szCs w:val="23"/>
        </w:rPr>
        <w:tab/>
      </w:r>
    </w:p>
    <w:p w:rsidR="00000000" w:rsidRDefault="00C311ED">
      <w:pPr>
        <w:numPr>
          <w:ilvl w:val="0"/>
          <w:numId w:val="13"/>
        </w:numPr>
        <w:rPr>
          <w:b/>
          <w:bCs/>
          <w:szCs w:val="23"/>
        </w:rPr>
      </w:pPr>
      <w:r>
        <w:rPr>
          <w:b/>
          <w:bCs/>
          <w:szCs w:val="23"/>
        </w:rPr>
        <w:t xml:space="preserve">List Community Activities – </w:t>
      </w:r>
    </w:p>
    <w:p w:rsidR="00000000" w:rsidRDefault="00C311ED">
      <w:pPr>
        <w:ind w:left="1080"/>
        <w:rPr>
          <w:szCs w:val="23"/>
        </w:rPr>
      </w:pPr>
      <w:r>
        <w:rPr>
          <w:szCs w:val="23"/>
        </w:rPr>
        <w:t>153 of 186 (</w:t>
      </w:r>
      <w:r>
        <w:rPr>
          <w:b/>
          <w:bCs/>
          <w:szCs w:val="23"/>
        </w:rPr>
        <w:t>82%</w:t>
      </w:r>
      <w:r>
        <w:rPr>
          <w:szCs w:val="23"/>
        </w:rPr>
        <w:t xml:space="preserve">) children are involved in community and school activities including sports, church, work, 4-H and Y Club activities.  Even the youngest </w:t>
      </w:r>
      <w:r>
        <w:rPr>
          <w:szCs w:val="23"/>
        </w:rPr>
        <w:t>children in the group are involved in activities outside the home.</w:t>
      </w:r>
    </w:p>
    <w:p w:rsidR="00000000" w:rsidRDefault="00C311ED">
      <w:pPr>
        <w:rPr>
          <w:b/>
          <w:bCs/>
          <w:szCs w:val="23"/>
        </w:rPr>
      </w:pPr>
      <w:r>
        <w:rPr>
          <w:szCs w:val="23"/>
        </w:rPr>
        <w:tab/>
      </w:r>
    </w:p>
    <w:p w:rsidR="00000000" w:rsidRDefault="00C311ED">
      <w:pPr>
        <w:numPr>
          <w:ilvl w:val="0"/>
          <w:numId w:val="13"/>
        </w:numPr>
        <w:rPr>
          <w:szCs w:val="23"/>
        </w:rPr>
      </w:pPr>
      <w:r>
        <w:rPr>
          <w:b/>
          <w:bCs/>
          <w:szCs w:val="23"/>
        </w:rPr>
        <w:t>Children are safe in their own homes.</w:t>
      </w:r>
      <w:r>
        <w:rPr>
          <w:szCs w:val="23"/>
        </w:rPr>
        <w:tab/>
      </w:r>
      <w:r>
        <w:rPr>
          <w:szCs w:val="23"/>
        </w:rPr>
        <w:tab/>
      </w:r>
    </w:p>
    <w:p w:rsidR="00000000" w:rsidRDefault="00C311ED">
      <w:pPr>
        <w:ind w:left="1080"/>
        <w:rPr>
          <w:szCs w:val="23"/>
        </w:rPr>
      </w:pPr>
      <w:r>
        <w:rPr>
          <w:szCs w:val="23"/>
        </w:rPr>
        <w:t>By case manager assessment  178 of 186 (</w:t>
      </w:r>
      <w:r>
        <w:rPr>
          <w:b/>
          <w:bCs/>
          <w:szCs w:val="23"/>
        </w:rPr>
        <w:t>96%</w:t>
      </w:r>
      <w:r>
        <w:rPr>
          <w:szCs w:val="23"/>
        </w:rPr>
        <w:t>) children are safe,</w:t>
      </w:r>
    </w:p>
    <w:p w:rsidR="00000000" w:rsidRDefault="00C311ED">
      <w:pPr>
        <w:ind w:left="1080"/>
        <w:rPr>
          <w:szCs w:val="23"/>
        </w:rPr>
      </w:pPr>
      <w:r>
        <w:rPr>
          <w:szCs w:val="23"/>
        </w:rPr>
        <w:t>By case manager assessment  4 are not safe</w:t>
      </w:r>
    </w:p>
    <w:p w:rsidR="00000000" w:rsidRDefault="00C311ED">
      <w:pPr>
        <w:ind w:left="1080"/>
        <w:rPr>
          <w:szCs w:val="23"/>
        </w:rPr>
      </w:pPr>
      <w:r>
        <w:rPr>
          <w:szCs w:val="23"/>
        </w:rPr>
        <w:t>By case manager assessment  4 are possib</w:t>
      </w:r>
      <w:r>
        <w:rPr>
          <w:szCs w:val="23"/>
        </w:rPr>
        <w:t>ly not safe</w:t>
      </w:r>
    </w:p>
    <w:p w:rsidR="00000000" w:rsidRDefault="00C311ED">
      <w:pPr>
        <w:ind w:left="1080"/>
        <w:rPr>
          <w:sz w:val="20"/>
        </w:rPr>
      </w:pPr>
      <w:r>
        <w:rPr>
          <w:szCs w:val="23"/>
        </w:rPr>
        <w:t>Protective services has been contacted for all of those children for whom there was a safety concern.  The TCM supervisors are monitoring these cases with the TCM.</w:t>
      </w:r>
      <w:r>
        <w:rPr>
          <w:sz w:val="20"/>
          <w:szCs w:val="23"/>
        </w:rPr>
        <w:t xml:space="preserve">  </w:t>
      </w:r>
    </w:p>
    <w:p w:rsidR="00000000" w:rsidRDefault="00C311ED">
      <w:pPr>
        <w:pStyle w:val="Title"/>
        <w:rPr>
          <w:sz w:val="48"/>
        </w:rPr>
      </w:pPr>
      <w:r>
        <w:rPr>
          <w:sz w:val="20"/>
        </w:rPr>
        <w:br w:type="page"/>
      </w:r>
      <w:r>
        <w:rPr>
          <w:sz w:val="48"/>
        </w:rPr>
        <w:lastRenderedPageBreak/>
        <w:t>Quality Improvement</w:t>
      </w:r>
    </w:p>
    <w:p w:rsidR="00000000" w:rsidRDefault="00C311ED">
      <w:pPr>
        <w:jc w:val="center"/>
        <w:rPr>
          <w:sz w:val="20"/>
        </w:rPr>
      </w:pPr>
    </w:p>
    <w:p w:rsidR="00000000" w:rsidRDefault="00C311ED">
      <w:pPr>
        <w:pStyle w:val="BodyText"/>
        <w:rPr>
          <w:rFonts w:ascii="Times New Roman" w:hAnsi="Times New Roman" w:cs="Times New Roman"/>
          <w:b w:val="0"/>
          <w:bCs w:val="0"/>
          <w:sz w:val="20"/>
          <w:szCs w:val="20"/>
        </w:rPr>
      </w:pPr>
      <w:r>
        <w:rPr>
          <w:rFonts w:ascii="Times New Roman" w:hAnsi="Times New Roman" w:cs="Times New Roman"/>
          <w:b w:val="0"/>
          <w:bCs w:val="0"/>
          <w:sz w:val="20"/>
        </w:rPr>
        <w:t>The DHS Targeted Case Management Unit is the case manage</w:t>
      </w:r>
      <w:r>
        <w:rPr>
          <w:rFonts w:ascii="Times New Roman" w:hAnsi="Times New Roman" w:cs="Times New Roman"/>
          <w:b w:val="0"/>
          <w:bCs w:val="0"/>
          <w:sz w:val="20"/>
        </w:rPr>
        <w:t xml:space="preserve">ment provider of choice to 4,500 consumers.  To maintain this relationship, the Unit works continuously to provide excellent services to its consumers and to safeguard its accreditation. </w:t>
      </w:r>
    </w:p>
    <w:p w:rsidR="00000000" w:rsidRDefault="00C311ED">
      <w:pPr>
        <w:rPr>
          <w:bCs/>
          <w:sz w:val="20"/>
          <w:szCs w:val="20"/>
        </w:rPr>
      </w:pPr>
    </w:p>
    <w:p w:rsidR="00000000" w:rsidRDefault="00C311ED">
      <w:pPr>
        <w:rPr>
          <w:bCs/>
          <w:sz w:val="20"/>
          <w:szCs w:val="20"/>
        </w:rPr>
      </w:pPr>
      <w:r>
        <w:rPr>
          <w:b/>
          <w:sz w:val="20"/>
        </w:rPr>
        <w:t>Quality Team.</w:t>
      </w:r>
      <w:r>
        <w:rPr>
          <w:bCs/>
          <w:sz w:val="20"/>
        </w:rPr>
        <w:t xml:space="preserve">  The Quality Team identifies problems and solutions i</w:t>
      </w:r>
      <w:r>
        <w:rPr>
          <w:bCs/>
          <w:sz w:val="20"/>
        </w:rPr>
        <w:t>n policy and practice.  The team serves as a customer service and support to case managers and supervisors by providing technical support, training, and feedback</w:t>
      </w:r>
      <w:r>
        <w:rPr>
          <w:sz w:val="20"/>
        </w:rPr>
        <w:t>.  Quality Team services include continuous hands-on training with case managers; updated train</w:t>
      </w:r>
      <w:r>
        <w:rPr>
          <w:sz w:val="20"/>
        </w:rPr>
        <w:t>ing materials; more streamlined programs, policies, and procedures; in-depth case reviews for every case manager and supervisor, consultations, specialized studies, and data collection and analysis.</w:t>
      </w:r>
    </w:p>
    <w:p w:rsidR="00000000" w:rsidRDefault="00C311ED">
      <w:pPr>
        <w:rPr>
          <w:bCs/>
          <w:sz w:val="20"/>
          <w:szCs w:val="20"/>
        </w:rPr>
      </w:pPr>
    </w:p>
    <w:p w:rsidR="00000000" w:rsidRDefault="00C311ED">
      <w:pPr>
        <w:rPr>
          <w:bCs/>
          <w:sz w:val="20"/>
        </w:rPr>
      </w:pPr>
      <w:r>
        <w:rPr>
          <w:b/>
          <w:sz w:val="20"/>
        </w:rPr>
        <w:t>Quality Case Reviews and Documentation Improvements.</w:t>
      </w:r>
      <w:r>
        <w:rPr>
          <w:bCs/>
          <w:sz w:val="20"/>
        </w:rPr>
        <w:t xml:space="preserve">  To</w:t>
      </w:r>
      <w:r>
        <w:rPr>
          <w:bCs/>
          <w:sz w:val="20"/>
        </w:rPr>
        <w:t xml:space="preserve"> assist in maintaining high quality standards, the “case-reading” members of the Quality Team provide feedback to the case managers and supervisors on the quality of case documentation. The case reviews identify areas for improvement and training as well a</w:t>
      </w:r>
      <w:r>
        <w:rPr>
          <w:bCs/>
          <w:sz w:val="20"/>
        </w:rPr>
        <w:t xml:space="preserve">s examples of best practices to be replicated.  In 2006, 390 cases were reviewed, compared to 377 cases reviews in 2005. </w:t>
      </w:r>
    </w:p>
    <w:p w:rsidR="00000000" w:rsidRDefault="00C311ED">
      <w:pPr>
        <w:rPr>
          <w:bCs/>
          <w:sz w:val="20"/>
        </w:rPr>
      </w:pPr>
    </w:p>
    <w:p w:rsidR="00000000" w:rsidRDefault="00C311ED">
      <w:pPr>
        <w:pStyle w:val="BodyText3"/>
        <w:rPr>
          <w:rFonts w:ascii="Times New Roman" w:hAnsi="Times New Roman" w:cs="Times New Roman"/>
        </w:rPr>
      </w:pPr>
      <w:r>
        <w:rPr>
          <w:rFonts w:ascii="Times New Roman" w:hAnsi="Times New Roman" w:cs="Times New Roman"/>
        </w:rPr>
        <w:t>Data from the case readings is collected to measure Unit performance for several indicators and is used to help plan additional train</w:t>
      </w:r>
      <w:r>
        <w:rPr>
          <w:rFonts w:ascii="Times New Roman" w:hAnsi="Times New Roman" w:cs="Times New Roman"/>
        </w:rPr>
        <w:t xml:space="preserve">ing and determine if policy as well as procedures need clarification.  The highlight of 2006 was the steady improvement in the quality of work of case managers as evidenced by the case reading data.  </w:t>
      </w:r>
    </w:p>
    <w:p w:rsidR="00000000" w:rsidRDefault="00C311ED">
      <w:pPr>
        <w:pStyle w:val="BodyText3"/>
        <w:rPr>
          <w:rFonts w:ascii="Times New Roman" w:hAnsi="Times New Roman" w:cs="Times New Roman"/>
        </w:rPr>
      </w:pPr>
    </w:p>
    <w:p w:rsidR="00000000" w:rsidRDefault="00C311ED">
      <w:pPr>
        <w:pStyle w:val="BodyText3"/>
        <w:rPr>
          <w:rFonts w:ascii="Times New Roman" w:hAnsi="Times New Roman" w:cs="Times New Roman"/>
        </w:rPr>
      </w:pPr>
      <w:r>
        <w:rPr>
          <w:rFonts w:ascii="Times New Roman" w:hAnsi="Times New Roman" w:cs="Times New Roman"/>
        </w:rPr>
        <w:t>The chart below compares 2006 with years 2005 and 2004</w:t>
      </w:r>
      <w:r>
        <w:rPr>
          <w:rFonts w:ascii="Times New Roman" w:hAnsi="Times New Roman" w:cs="Times New Roman"/>
        </w:rPr>
        <w:t xml:space="preserve">, and clearly shows improvements in all key indicators from 2004 to 2006, with the average score for all indicators rising from 65% to 89%.  Improvements were also made for every indicator in 2006 over 2005.  The average of all indicators grew from 85% in </w:t>
      </w:r>
      <w:r>
        <w:rPr>
          <w:rFonts w:ascii="Times New Roman" w:hAnsi="Times New Roman" w:cs="Times New Roman"/>
        </w:rPr>
        <w:t>2005 to 89% in 2006.  In 2007, the Quality Team will continue to work with supervisors and case managers to continue this upward trend in these and other key indicators.</w:t>
      </w:r>
    </w:p>
    <w:p w:rsidR="00000000" w:rsidRDefault="00C311ED">
      <w:pPr>
        <w:rPr>
          <w:bCs/>
          <w:sz w:val="20"/>
        </w:rPr>
      </w:pPr>
    </w:p>
    <w:tbl>
      <w:tblPr>
        <w:tblW w:w="0" w:type="auto"/>
        <w:tblLook w:val="0000"/>
      </w:tblPr>
      <w:tblGrid>
        <w:gridCol w:w="7518"/>
        <w:gridCol w:w="6738"/>
      </w:tblGrid>
      <w:tr w:rsidR="00000000">
        <w:tblPrEx>
          <w:tblCellMar>
            <w:top w:w="0" w:type="dxa"/>
            <w:bottom w:w="0" w:type="dxa"/>
          </w:tblCellMar>
        </w:tblPrEx>
        <w:trPr>
          <w:trHeight w:val="5247"/>
        </w:trPr>
        <w:tc>
          <w:tcPr>
            <w:tcW w:w="6948" w:type="dxa"/>
          </w:tcPr>
          <w:p w:rsidR="00000000" w:rsidRDefault="00C311ED">
            <w:pPr>
              <w:jc w:val="center"/>
              <w:rPr>
                <w:b/>
                <w:i/>
                <w:iCs/>
                <w:sz w:val="20"/>
              </w:rPr>
            </w:pPr>
            <w:r>
              <w:rPr>
                <w:b/>
                <w:i/>
                <w:iCs/>
                <w:sz w:val="20"/>
              </w:rPr>
              <w:object w:dxaOrig="13596" w:dyaOrig="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4.85pt;height:249.9pt" o:ole="">
                  <v:imagedata r:id="rId17" o:title=""/>
                </v:shape>
                <o:OLEObject Type="Embed" ProgID="Excel.Sheet.8" ShapeID="_x0000_i1032" DrawAspect="Content" ObjectID="_1297584210" r:id="rId18"/>
              </w:object>
            </w:r>
          </w:p>
        </w:tc>
        <w:tc>
          <w:tcPr>
            <w:tcW w:w="6948" w:type="dxa"/>
          </w:tcPr>
          <w:p w:rsidR="00000000" w:rsidRDefault="00C311ED">
            <w:pPr>
              <w:rPr>
                <w:bCs/>
                <w:sz w:val="20"/>
                <w:szCs w:val="20"/>
              </w:rPr>
            </w:pPr>
            <w:r>
              <w:rPr>
                <w:bCs/>
                <w:sz w:val="20"/>
              </w:rPr>
              <w:t>The Unit’s 3-year Corrective Action Plan, based on the 200</w:t>
            </w:r>
            <w:r>
              <w:rPr>
                <w:bCs/>
                <w:sz w:val="20"/>
              </w:rPr>
              <w:t>4 Accreditation Survey, and the Unit’s self-initiated 2006 Practice Survey and Report provided the focus for training, clarification of policy, and streamlining of documentation and forms.  The Quality team members also participate in accreditation surveys</w:t>
            </w:r>
            <w:r>
              <w:rPr>
                <w:bCs/>
                <w:sz w:val="20"/>
              </w:rPr>
              <w:t xml:space="preserve"> of other TCM agencies and providers to gain additional insights on accreditation standards and to bring back examples of best practices from other TCM agencies.</w:t>
            </w:r>
          </w:p>
          <w:p w:rsidR="00000000" w:rsidRDefault="00C311ED">
            <w:pPr>
              <w:rPr>
                <w:bCs/>
                <w:sz w:val="20"/>
                <w:szCs w:val="20"/>
              </w:rPr>
            </w:pPr>
          </w:p>
          <w:p w:rsidR="00000000" w:rsidRDefault="00C311ED">
            <w:pPr>
              <w:rPr>
                <w:b/>
                <w:i/>
                <w:iCs/>
                <w:sz w:val="20"/>
              </w:rPr>
            </w:pPr>
            <w:r>
              <w:rPr>
                <w:b/>
                <w:sz w:val="20"/>
              </w:rPr>
              <w:t>Policy Clarification and Streamlining, Administrative Handbook, and Best Practice Book.</w:t>
            </w:r>
            <w:r>
              <w:rPr>
                <w:sz w:val="20"/>
              </w:rPr>
              <w:t xml:space="preserve">  Duri</w:t>
            </w:r>
            <w:r>
              <w:rPr>
                <w:sz w:val="20"/>
              </w:rPr>
              <w:t xml:space="preserve">ng 2006, policies in several key areas were clarified.  Toward the end of 2006, the DHS-TCM </w:t>
            </w:r>
            <w:r>
              <w:rPr>
                <w:i/>
                <w:iCs/>
                <w:sz w:val="20"/>
              </w:rPr>
              <w:t>Administrative Handbook</w:t>
            </w:r>
            <w:r>
              <w:rPr>
                <w:sz w:val="20"/>
              </w:rPr>
              <w:t xml:space="preserve"> of policies and procedures was rewritten to incorporate revisions from Iowa Administrative Code Chapter 24 as well as new Medicaid and docum</w:t>
            </w:r>
            <w:r>
              <w:rPr>
                <w:sz w:val="20"/>
              </w:rPr>
              <w:t xml:space="preserve">entation standards.  Improvements were also made to the </w:t>
            </w:r>
            <w:r>
              <w:rPr>
                <w:i/>
                <w:iCs/>
                <w:sz w:val="20"/>
              </w:rPr>
              <w:t>Best Practice Book</w:t>
            </w:r>
            <w:r>
              <w:rPr>
                <w:sz w:val="20"/>
              </w:rPr>
              <w:t xml:space="preserve">, a hands-on daily guide for case managers.  As 2006 drew to a close, the </w:t>
            </w:r>
            <w:r>
              <w:rPr>
                <w:i/>
                <w:iCs/>
                <w:sz w:val="20"/>
              </w:rPr>
              <w:t>Best Practice Book</w:t>
            </w:r>
            <w:r>
              <w:rPr>
                <w:sz w:val="20"/>
              </w:rPr>
              <w:t xml:space="preserve"> was going through a new edition and was expected to be finished in the Spring of 2007.</w:t>
            </w:r>
          </w:p>
        </w:tc>
      </w:tr>
    </w:tbl>
    <w:p w:rsidR="00000000" w:rsidRDefault="00C311ED">
      <w:pPr>
        <w:rPr>
          <w:sz w:val="20"/>
        </w:rPr>
      </w:pPr>
    </w:p>
    <w:p w:rsidR="00000000" w:rsidRDefault="00C311ED">
      <w:pPr>
        <w:jc w:val="center"/>
      </w:pPr>
      <w:r>
        <w:rPr>
          <w:sz w:val="20"/>
        </w:rPr>
        <w:br w:type="page"/>
      </w:r>
      <w:r>
        <w:rPr>
          <w:noProof/>
          <w:sz w:val="20"/>
        </w:rPr>
        <w:lastRenderedPageBreak/>
        <w:pict>
          <v:shape id="_x0000_s1043" type="#_x0000_t202" style="position:absolute;left:0;text-align:left;margin-left:9pt;margin-top:256.2pt;width:115.95pt;height:117pt;z-index:251657216" stroked="f">
            <v:textbox>
              <w:txbxContent>
                <w:p w:rsidR="00000000" w:rsidRDefault="00C311ED">
                  <w:r>
                    <w:rPr>
                      <w:noProof/>
                    </w:rPr>
                    <w:drawing>
                      <wp:inline distT="0" distB="0" distL="0" distR="0">
                        <wp:extent cx="1283970" cy="1125220"/>
                        <wp:effectExtent l="19050" t="0" r="0" b="0"/>
                        <wp:docPr id="10" name="Picture 10" descr="Data\State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StateRock.jpg"/>
                                <pic:cNvPicPr>
                                  <a:picLocks noChangeAspect="1" noChangeArrowheads="1"/>
                                </pic:cNvPicPr>
                              </pic:nvPicPr>
                              <pic:blipFill>
                                <a:blip r:embed="rId19"/>
                                <a:srcRect/>
                                <a:stretch>
                                  <a:fillRect/>
                                </a:stretch>
                              </pic:blipFill>
                              <pic:spPr bwMode="auto">
                                <a:xfrm>
                                  <a:off x="0" y="0"/>
                                  <a:ext cx="1283970" cy="1125220"/>
                                </a:xfrm>
                                <a:prstGeom prst="rect">
                                  <a:avLst/>
                                </a:prstGeom>
                                <a:noFill/>
                                <a:ln w="9525">
                                  <a:noFill/>
                                  <a:miter lim="800000"/>
                                  <a:headEnd/>
                                  <a:tailEnd/>
                                </a:ln>
                              </pic:spPr>
                            </pic:pic>
                          </a:graphicData>
                        </a:graphic>
                      </wp:inline>
                    </w:drawing>
                  </w:r>
                </w:p>
                <w:p w:rsidR="00000000" w:rsidRDefault="00C311ED">
                  <w:pPr>
                    <w:jc w:val="center"/>
                    <w:rPr>
                      <w:sz w:val="16"/>
                    </w:rPr>
                  </w:pPr>
                  <w:r>
                    <w:rPr>
                      <w:sz w:val="16"/>
                    </w:rPr>
                    <w:t>State Rock: Geode</w:t>
                  </w:r>
                </w:p>
              </w:txbxContent>
            </v:textbox>
          </v:shape>
        </w:pict>
      </w:r>
      <w:r>
        <w:object w:dxaOrig="7140" w:dyaOrig="5355">
          <v:shape id="_x0000_i1033" type="#_x0000_t75" style="width:558.7pt;height:417.45pt" o:ole="">
            <v:imagedata r:id="rId20" o:title=""/>
          </v:shape>
          <o:OLEObject Type="Embed" ProgID="PowerPoint.Show.8" ShapeID="_x0000_i1033" DrawAspect="Content" ObjectID="_1297584211" r:id="rId21"/>
        </w:object>
      </w:r>
    </w:p>
    <w:p w:rsidR="00000000" w:rsidRDefault="00C311ED">
      <w:pPr>
        <w:pStyle w:val="Header"/>
        <w:tabs>
          <w:tab w:val="clear" w:pos="4320"/>
          <w:tab w:val="clear" w:pos="8640"/>
        </w:tabs>
        <w:rPr>
          <w:sz w:val="28"/>
        </w:rPr>
      </w:pPr>
      <w:r>
        <w:rPr>
          <w:b/>
          <w:bCs/>
          <w:sz w:val="28"/>
        </w:rPr>
        <w:t>Division Administrator:</w:t>
      </w:r>
      <w:r>
        <w:rPr>
          <w:sz w:val="28"/>
        </w:rPr>
        <w:t xml:space="preserve"> </w:t>
      </w:r>
      <w:r>
        <w:rPr>
          <w:sz w:val="28"/>
        </w:rPr>
        <w:tab/>
        <w:t>Jeanne Nesbit</w:t>
      </w:r>
      <w:r>
        <w:rPr>
          <w:sz w:val="28"/>
        </w:rPr>
        <w:tab/>
      </w:r>
      <w:r>
        <w:rPr>
          <w:sz w:val="28"/>
        </w:rPr>
        <w:tab/>
      </w:r>
      <w:r>
        <w:rPr>
          <w:sz w:val="28"/>
        </w:rPr>
        <w:tab/>
      </w:r>
      <w:r>
        <w:rPr>
          <w:b/>
          <w:bCs/>
          <w:sz w:val="28"/>
        </w:rPr>
        <w:t>East Region Administrator:</w:t>
      </w:r>
      <w:r>
        <w:rPr>
          <w:sz w:val="28"/>
        </w:rPr>
        <w:tab/>
        <w:t>Kathy Jordan</w:t>
      </w:r>
    </w:p>
    <w:p w:rsidR="00000000" w:rsidRDefault="00C311ED">
      <w:pPr>
        <w:rPr>
          <w:sz w:val="28"/>
        </w:rPr>
      </w:pPr>
      <w:r>
        <w:rPr>
          <w:b/>
          <w:bCs/>
          <w:sz w:val="28"/>
        </w:rPr>
        <w:t>Bureau Chief:</w:t>
      </w:r>
      <w:r>
        <w:rPr>
          <w:sz w:val="28"/>
        </w:rPr>
        <w:tab/>
      </w:r>
      <w:r>
        <w:rPr>
          <w:sz w:val="28"/>
        </w:rPr>
        <w:tab/>
      </w:r>
      <w:r>
        <w:rPr>
          <w:sz w:val="28"/>
        </w:rPr>
        <w:tab/>
        <w:t>Diane Diamond</w:t>
      </w:r>
      <w:r>
        <w:rPr>
          <w:sz w:val="28"/>
        </w:rPr>
        <w:tab/>
      </w:r>
      <w:r>
        <w:rPr>
          <w:sz w:val="28"/>
        </w:rPr>
        <w:tab/>
      </w:r>
      <w:r>
        <w:rPr>
          <w:sz w:val="28"/>
        </w:rPr>
        <w:tab/>
      </w:r>
      <w:r>
        <w:rPr>
          <w:b/>
          <w:bCs/>
          <w:sz w:val="28"/>
        </w:rPr>
        <w:t>West Region Administrator:</w:t>
      </w:r>
      <w:r>
        <w:rPr>
          <w:sz w:val="28"/>
        </w:rPr>
        <w:tab/>
        <w:t>Linda Conrad</w:t>
      </w:r>
    </w:p>
    <w:p w:rsidR="00000000" w:rsidRDefault="00C311ED">
      <w:pPr>
        <w:rPr>
          <w:sz w:val="28"/>
        </w:rPr>
      </w:pPr>
    </w:p>
    <w:p w:rsidR="00000000" w:rsidRDefault="00C311ED">
      <w:pPr>
        <w:pStyle w:val="BodyText"/>
        <w:rPr>
          <w:rFonts w:ascii="Times New Roman" w:hAnsi="Times New Roman" w:cs="Times New Roman"/>
        </w:rPr>
      </w:pPr>
      <w:r>
        <w:rPr>
          <w:rFonts w:ascii="Times New Roman" w:hAnsi="Times New Roman" w:cs="Times New Roman"/>
        </w:rPr>
        <w:t xml:space="preserve">DHS Case Management employs an additional </w:t>
      </w:r>
      <w:r>
        <w:rPr>
          <w:rFonts w:ascii="Times New Roman" w:hAnsi="Times New Roman" w:cs="Times New Roman"/>
          <w:b w:val="0"/>
          <w:bCs w:val="0"/>
        </w:rPr>
        <w:t>13 Social Work Supervisors</w:t>
      </w:r>
      <w:r>
        <w:rPr>
          <w:rFonts w:ascii="Times New Roman" w:hAnsi="Times New Roman" w:cs="Times New Roman"/>
        </w:rPr>
        <w:t xml:space="preserve"> </w:t>
      </w:r>
      <w:r>
        <w:rPr>
          <w:rFonts w:ascii="Times New Roman" w:hAnsi="Times New Roman" w:cs="Times New Roman"/>
        </w:rPr>
        <w:t xml:space="preserve">who supervise </w:t>
      </w:r>
      <w:r>
        <w:rPr>
          <w:rFonts w:ascii="Times New Roman" w:hAnsi="Times New Roman" w:cs="Times New Roman"/>
          <w:b w:val="0"/>
          <w:bCs w:val="0"/>
        </w:rPr>
        <w:t>134 Case Managers</w:t>
      </w:r>
      <w:r>
        <w:rPr>
          <w:rFonts w:ascii="Times New Roman" w:hAnsi="Times New Roman" w:cs="Times New Roman"/>
        </w:rPr>
        <w:t xml:space="preserve">.  In 2006 an accounting supervisor was added to supervise the Unit’s </w:t>
      </w:r>
      <w:r>
        <w:rPr>
          <w:rFonts w:ascii="Times New Roman" w:hAnsi="Times New Roman" w:cs="Times New Roman"/>
          <w:b w:val="0"/>
          <w:bCs w:val="0"/>
        </w:rPr>
        <w:t>8 accounting related positions</w:t>
      </w:r>
      <w:r>
        <w:rPr>
          <w:rFonts w:ascii="Times New Roman" w:hAnsi="Times New Roman" w:cs="Times New Roman"/>
        </w:rPr>
        <w:t>.  Additionally 14 workers cover the areas of clerical support, computer support and quality assurance.</w:t>
      </w:r>
    </w:p>
    <w:p w:rsidR="00000000" w:rsidRDefault="00C311ED">
      <w:pPr>
        <w:pStyle w:val="Title"/>
        <w:rPr>
          <w:sz w:val="48"/>
        </w:rPr>
      </w:pPr>
      <w:r>
        <w:rPr>
          <w:sz w:val="20"/>
        </w:rPr>
        <w:br w:type="page"/>
      </w:r>
      <w:r>
        <w:rPr>
          <w:sz w:val="48"/>
        </w:rPr>
        <w:lastRenderedPageBreak/>
        <w:t>Advisory Board</w:t>
      </w:r>
    </w:p>
    <w:p w:rsidR="00000000" w:rsidRDefault="00C311ED">
      <w:pPr>
        <w:pStyle w:val="BodyText"/>
      </w:pPr>
    </w:p>
    <w:p w:rsidR="00000000" w:rsidRDefault="00C311ED">
      <w:pPr>
        <w:pStyle w:val="BodyText"/>
        <w:rPr>
          <w:rFonts w:ascii="Times New Roman" w:hAnsi="Times New Roman" w:cs="Times New Roman"/>
          <w:b w:val="0"/>
          <w:bCs w:val="0"/>
          <w:sz w:val="28"/>
        </w:rPr>
      </w:pPr>
      <w:r>
        <w:rPr>
          <w:rFonts w:ascii="Times New Roman" w:hAnsi="Times New Roman" w:cs="Times New Roman"/>
          <w:b w:val="0"/>
          <w:bCs w:val="0"/>
          <w:sz w:val="28"/>
        </w:rPr>
        <w:t xml:space="preserve">The </w:t>
      </w:r>
      <w:r>
        <w:rPr>
          <w:rFonts w:ascii="Times New Roman" w:hAnsi="Times New Roman" w:cs="Times New Roman"/>
          <w:b w:val="0"/>
          <w:bCs w:val="0"/>
          <w:sz w:val="28"/>
        </w:rPr>
        <w:t>Advisory Board of the DHS Targeted Case Management Unit serves as a consultative body.  The board meets at least three times annually to review Unit operations. Officials in contracted counties, provider agency staff, consumers and guardians can all be con</w:t>
      </w:r>
      <w:r>
        <w:rPr>
          <w:rFonts w:ascii="Times New Roman" w:hAnsi="Times New Roman" w:cs="Times New Roman"/>
          <w:b w:val="0"/>
          <w:bCs w:val="0"/>
          <w:sz w:val="28"/>
        </w:rPr>
        <w:t>sidered for membership. Membership is voluntary.  Terms do not expire, however members are free to withdraw at anytime.  Board members missing three or more consecutive meetings are considered to have voluntarily withdrawn and may be replaced.</w:t>
      </w:r>
    </w:p>
    <w:p w:rsidR="00000000" w:rsidRDefault="00C311ED">
      <w:pPr>
        <w:pStyle w:val="BodyText"/>
        <w:rPr>
          <w:rFonts w:ascii="Times New Roman" w:hAnsi="Times New Roman" w:cs="Times New Roman"/>
          <w:b w:val="0"/>
          <w:bCs w:val="0"/>
        </w:rPr>
      </w:pPr>
    </w:p>
    <w:p w:rsidR="00000000" w:rsidRDefault="00C311ED">
      <w:pPr>
        <w:pStyle w:val="BodyText"/>
        <w:rPr>
          <w:rFonts w:ascii="Times New Roman" w:hAnsi="Times New Roman" w:cs="Times New Roman"/>
        </w:rPr>
      </w:pPr>
      <w:r>
        <w:rPr>
          <w:rFonts w:ascii="Times New Roman" w:hAnsi="Times New Roman" w:cs="Times New Roman"/>
        </w:rPr>
        <w:t>The followi</w:t>
      </w:r>
      <w:r>
        <w:rPr>
          <w:rFonts w:ascii="Times New Roman" w:hAnsi="Times New Roman" w:cs="Times New Roman"/>
        </w:rPr>
        <w:t>ng persons were members of the 2006 DHS Targeted Case Management Advisory Board:</w:t>
      </w:r>
    </w:p>
    <w:p w:rsidR="00000000" w:rsidRDefault="00C311ED">
      <w:pPr>
        <w:pStyle w:val="BodyText"/>
        <w:rPr>
          <w:rFonts w:ascii="Times New Roman" w:hAnsi="Times New Roman" w:cs="Times New Roman"/>
          <w:b w:val="0"/>
          <w:bCs w:val="0"/>
        </w:rPr>
      </w:pP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noProof/>
          <w:sz w:val="20"/>
        </w:rPr>
        <w:pict>
          <v:shape id="_x0000_s1044" type="#_x0000_t202" style="position:absolute;left:0;text-align:left;margin-left:468pt;margin-top:16.7pt;width:3in;height:261pt;z-index:251658240" stroked="f">
            <v:textbox>
              <w:txbxContent>
                <w:p w:rsidR="00000000" w:rsidRDefault="00C311ED">
                  <w:r>
                    <w:rPr>
                      <w:noProof/>
                    </w:rPr>
                    <w:drawing>
                      <wp:inline distT="0" distB="0" distL="0" distR="0">
                        <wp:extent cx="2585085" cy="2901315"/>
                        <wp:effectExtent l="19050" t="0" r="5715" b="0"/>
                        <wp:docPr id="11" name="Picture 11" descr="http://www.pelhamweb.com/treefund/Red_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lhamweb.com/treefund/Red_Oak.jpg"/>
                                <pic:cNvPicPr>
                                  <a:picLocks noChangeAspect="1" noChangeArrowheads="1"/>
                                </pic:cNvPicPr>
                              </pic:nvPicPr>
                              <pic:blipFill>
                                <a:blip r:embed="rId22"/>
                                <a:srcRect/>
                                <a:stretch>
                                  <a:fillRect/>
                                </a:stretch>
                              </pic:blipFill>
                              <pic:spPr bwMode="auto">
                                <a:xfrm>
                                  <a:off x="0" y="0"/>
                                  <a:ext cx="2585085" cy="2901315"/>
                                </a:xfrm>
                                <a:prstGeom prst="rect">
                                  <a:avLst/>
                                </a:prstGeom>
                                <a:noFill/>
                                <a:ln w="9525">
                                  <a:noFill/>
                                  <a:miter lim="800000"/>
                                  <a:headEnd/>
                                  <a:tailEnd/>
                                </a:ln>
                              </pic:spPr>
                            </pic:pic>
                          </a:graphicData>
                        </a:graphic>
                      </wp:inline>
                    </w:drawing>
                  </w:r>
                </w:p>
                <w:p w:rsidR="00000000" w:rsidRDefault="00C311ED">
                  <w:pPr>
                    <w:jc w:val="center"/>
                    <w:rPr>
                      <w:sz w:val="16"/>
                    </w:rPr>
                  </w:pPr>
                  <w:r>
                    <w:rPr>
                      <w:sz w:val="16"/>
                    </w:rPr>
                    <w:t>State Tree: Oak Tree</w:t>
                  </w:r>
                </w:p>
              </w:txbxContent>
            </v:textbox>
          </v:shape>
        </w:pict>
      </w:r>
      <w:r>
        <w:rPr>
          <w:rFonts w:ascii="Times New Roman" w:hAnsi="Times New Roman" w:cs="Times New Roman"/>
          <w:b w:val="0"/>
          <w:bCs w:val="0"/>
          <w:sz w:val="32"/>
        </w:rPr>
        <w:t>Jill Eaton – CPC, Marshall County and Board Chair</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Terry Johnson – Administrator, Genesis Development</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Mary Williams – CPC, Benton County</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Louise Galbraith – CPC, Crawford Coun</w:t>
      </w:r>
      <w:r>
        <w:rPr>
          <w:rFonts w:ascii="Times New Roman" w:hAnsi="Times New Roman" w:cs="Times New Roman"/>
          <w:b w:val="0"/>
          <w:bCs w:val="0"/>
          <w:sz w:val="32"/>
        </w:rPr>
        <w:t>ty</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Jan Heikes – CPC, Winneshiek County</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Lori Elam – CPC, Scott County</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Chris Sparks – Administrator, Exceptional Persons Incorporated</w:t>
      </w:r>
    </w:p>
    <w:p w:rsidR="00000000" w:rsidRDefault="00C311ED">
      <w:pPr>
        <w:pStyle w:val="BodyText"/>
        <w:numPr>
          <w:ilvl w:val="0"/>
          <w:numId w:val="1"/>
        </w:numPr>
        <w:rPr>
          <w:rFonts w:ascii="Times New Roman" w:hAnsi="Times New Roman" w:cs="Times New Roman"/>
          <w:b w:val="0"/>
          <w:bCs w:val="0"/>
          <w:sz w:val="32"/>
        </w:rPr>
      </w:pPr>
      <w:r>
        <w:rPr>
          <w:rFonts w:ascii="Times New Roman" w:hAnsi="Times New Roman" w:cs="Times New Roman"/>
          <w:b w:val="0"/>
          <w:bCs w:val="0"/>
          <w:sz w:val="32"/>
        </w:rPr>
        <w:t xml:space="preserve">Lori Nosekabel – CPC, Clarke County </w:t>
      </w:r>
    </w:p>
    <w:p w:rsidR="00000000" w:rsidRDefault="00C311ED">
      <w:pPr>
        <w:pStyle w:val="BodyText"/>
        <w:rPr>
          <w:rFonts w:ascii="Times New Roman" w:hAnsi="Times New Roman" w:cs="Times New Roman"/>
          <w:b w:val="0"/>
          <w:bCs w:val="0"/>
          <w:sz w:val="32"/>
        </w:rPr>
      </w:pPr>
    </w:p>
    <w:p w:rsidR="00000000" w:rsidRDefault="00C311ED">
      <w:pPr>
        <w:pStyle w:val="BodyText"/>
        <w:rPr>
          <w:rFonts w:ascii="Times New Roman" w:hAnsi="Times New Roman" w:cs="Times New Roman"/>
        </w:rPr>
      </w:pPr>
      <w:r>
        <w:rPr>
          <w:rFonts w:ascii="Times New Roman" w:hAnsi="Times New Roman" w:cs="Times New Roman"/>
        </w:rPr>
        <w:t>Non board member meeting attendees for 2006 included:</w:t>
      </w:r>
    </w:p>
    <w:p w:rsidR="00000000" w:rsidRDefault="00C311ED">
      <w:pPr>
        <w:pStyle w:val="BodyText"/>
        <w:rPr>
          <w:rFonts w:ascii="Times New Roman" w:hAnsi="Times New Roman" w:cs="Times New Roman"/>
          <w:b w:val="0"/>
          <w:bCs w:val="0"/>
        </w:rPr>
      </w:pPr>
    </w:p>
    <w:p w:rsidR="00000000" w:rsidRDefault="00C311ED">
      <w:pPr>
        <w:pStyle w:val="BodyText"/>
        <w:numPr>
          <w:ilvl w:val="0"/>
          <w:numId w:val="2"/>
        </w:numPr>
        <w:rPr>
          <w:rFonts w:ascii="Times New Roman" w:hAnsi="Times New Roman" w:cs="Times New Roman"/>
          <w:b w:val="0"/>
          <w:bCs w:val="0"/>
          <w:sz w:val="32"/>
        </w:rPr>
      </w:pPr>
      <w:r>
        <w:rPr>
          <w:rFonts w:ascii="Times New Roman" w:hAnsi="Times New Roman" w:cs="Times New Roman"/>
          <w:b w:val="0"/>
          <w:bCs w:val="0"/>
          <w:sz w:val="32"/>
        </w:rPr>
        <w:t>Theresa Armstrong –Executive Of</w:t>
      </w:r>
      <w:r>
        <w:rPr>
          <w:rFonts w:ascii="Times New Roman" w:hAnsi="Times New Roman" w:cs="Times New Roman"/>
          <w:b w:val="0"/>
          <w:bCs w:val="0"/>
          <w:sz w:val="32"/>
        </w:rPr>
        <w:t>ficer, DHS TCM</w:t>
      </w:r>
    </w:p>
    <w:p w:rsidR="00000000" w:rsidRDefault="00C311ED">
      <w:pPr>
        <w:pStyle w:val="BodyText"/>
        <w:numPr>
          <w:ilvl w:val="0"/>
          <w:numId w:val="2"/>
        </w:numPr>
        <w:rPr>
          <w:rFonts w:ascii="Times New Roman" w:hAnsi="Times New Roman" w:cs="Times New Roman"/>
          <w:b w:val="0"/>
          <w:bCs w:val="0"/>
          <w:sz w:val="32"/>
        </w:rPr>
      </w:pPr>
      <w:r>
        <w:rPr>
          <w:rFonts w:ascii="Times New Roman" w:hAnsi="Times New Roman" w:cs="Times New Roman"/>
          <w:b w:val="0"/>
          <w:bCs w:val="0"/>
          <w:sz w:val="32"/>
        </w:rPr>
        <w:t>Kathy Peters – Accounting Supervisor, DHS TCM</w:t>
      </w:r>
    </w:p>
    <w:p w:rsidR="00000000" w:rsidRDefault="00C311ED">
      <w:pPr>
        <w:pStyle w:val="BodyText"/>
        <w:numPr>
          <w:ilvl w:val="0"/>
          <w:numId w:val="2"/>
        </w:numPr>
        <w:rPr>
          <w:rFonts w:ascii="Times New Roman" w:hAnsi="Times New Roman" w:cs="Times New Roman"/>
          <w:b w:val="0"/>
          <w:bCs w:val="0"/>
          <w:sz w:val="32"/>
        </w:rPr>
      </w:pPr>
      <w:r>
        <w:rPr>
          <w:rFonts w:ascii="Times New Roman" w:hAnsi="Times New Roman" w:cs="Times New Roman"/>
          <w:b w:val="0"/>
          <w:bCs w:val="0"/>
          <w:sz w:val="32"/>
        </w:rPr>
        <w:t>Kurt Brinkman – Accountant, DHS TCM</w:t>
      </w:r>
    </w:p>
    <w:p w:rsidR="00000000" w:rsidRDefault="00C311ED">
      <w:pPr>
        <w:pStyle w:val="BodyText"/>
        <w:numPr>
          <w:ilvl w:val="0"/>
          <w:numId w:val="2"/>
        </w:numPr>
        <w:rPr>
          <w:rFonts w:ascii="Times New Roman" w:hAnsi="Times New Roman" w:cs="Times New Roman"/>
          <w:b w:val="0"/>
          <w:bCs w:val="0"/>
          <w:sz w:val="32"/>
        </w:rPr>
      </w:pPr>
      <w:r>
        <w:rPr>
          <w:rFonts w:ascii="Times New Roman" w:hAnsi="Times New Roman" w:cs="Times New Roman"/>
          <w:b w:val="0"/>
          <w:bCs w:val="0"/>
          <w:sz w:val="32"/>
        </w:rPr>
        <w:t>Joe Wolfe – Social Work Supervisor, DHS TCM</w:t>
      </w:r>
    </w:p>
    <w:p w:rsidR="00000000" w:rsidRDefault="00C311ED">
      <w:pPr>
        <w:pStyle w:val="BodyText"/>
        <w:numPr>
          <w:ilvl w:val="0"/>
          <w:numId w:val="2"/>
        </w:numPr>
        <w:rPr>
          <w:rFonts w:ascii="Times New Roman" w:hAnsi="Times New Roman" w:cs="Times New Roman"/>
          <w:b w:val="0"/>
          <w:bCs w:val="0"/>
          <w:sz w:val="32"/>
        </w:rPr>
      </w:pPr>
      <w:r>
        <w:rPr>
          <w:rFonts w:ascii="Times New Roman" w:hAnsi="Times New Roman" w:cs="Times New Roman"/>
          <w:b w:val="0"/>
          <w:bCs w:val="0"/>
          <w:sz w:val="32"/>
        </w:rPr>
        <w:t>Jeffery Tourdot – Mental Health Coordinator, Scott County</w:t>
      </w:r>
    </w:p>
    <w:p w:rsidR="00000000" w:rsidRDefault="00C311ED"/>
    <w:p w:rsidR="00000000" w:rsidRDefault="00C311ED">
      <w:pPr>
        <w:pStyle w:val="BodyText2"/>
      </w:pPr>
      <w:r>
        <w:t>In 2006 the Advisory Board recommended changes to the su</w:t>
      </w:r>
      <w:r>
        <w:t>rvey process for both CPCs and Consumers of the DHS Case Management Unit.  These changes will be made for 2007.  The Board also reviewed the Unit’s budget, case weight system and audit information.</w:t>
      </w:r>
    </w:p>
    <w:p w:rsidR="00000000" w:rsidRDefault="00C311ED">
      <w:pPr>
        <w:pStyle w:val="Title"/>
        <w:rPr>
          <w:sz w:val="48"/>
        </w:rPr>
      </w:pPr>
      <w:r>
        <w:rPr>
          <w:sz w:val="20"/>
        </w:rPr>
        <w:br w:type="page"/>
      </w:r>
      <w:r>
        <w:rPr>
          <w:sz w:val="48"/>
        </w:rPr>
        <w:lastRenderedPageBreak/>
        <w:t>2006 Survey Results</w:t>
      </w:r>
    </w:p>
    <w:p w:rsidR="00000000" w:rsidRDefault="00C311ED">
      <w:pPr>
        <w:pStyle w:val="Title"/>
        <w:rPr>
          <w:sz w:val="24"/>
        </w:rPr>
      </w:pPr>
    </w:p>
    <w:p w:rsidR="00000000" w:rsidRDefault="00C311ED">
      <w:pPr>
        <w:pStyle w:val="Title"/>
        <w:jc w:val="left"/>
        <w:rPr>
          <w:b w:val="0"/>
          <w:bCs w:val="0"/>
          <w:sz w:val="24"/>
        </w:rPr>
      </w:pPr>
      <w:r>
        <w:rPr>
          <w:b w:val="0"/>
          <w:bCs w:val="0"/>
          <w:sz w:val="24"/>
        </w:rPr>
        <w:t>Every year the DHS Case Management U</w:t>
      </w:r>
      <w:r>
        <w:rPr>
          <w:b w:val="0"/>
          <w:bCs w:val="0"/>
          <w:sz w:val="24"/>
        </w:rPr>
        <w:t>nit conducts surveys with the counties and the consumers we serve. Data is collected to help us analyze everything from our management of county funds to our ability to meet consumer needs and of course satisfaction with the services provided.  Below is so</w:t>
      </w:r>
      <w:r>
        <w:rPr>
          <w:b w:val="0"/>
          <w:bCs w:val="0"/>
          <w:sz w:val="24"/>
        </w:rPr>
        <w:t>me of what we learned from the 2006 survey results.</w:t>
      </w:r>
    </w:p>
    <w:p w:rsidR="00000000" w:rsidRDefault="00C311ED">
      <w:pPr>
        <w:pStyle w:val="Title"/>
        <w:jc w:val="left"/>
        <w:rPr>
          <w:sz w:val="24"/>
        </w:rPr>
      </w:pPr>
    </w:p>
    <w:p w:rsidR="00000000" w:rsidRDefault="00C311ED">
      <w:pPr>
        <w:pStyle w:val="Title"/>
        <w:jc w:val="left"/>
        <w:rPr>
          <w:sz w:val="24"/>
        </w:rPr>
      </w:pPr>
      <w:r>
        <w:rPr>
          <w:noProof/>
          <w:sz w:val="20"/>
        </w:rPr>
        <w:pict>
          <v:shape id="_x0000_s1048" type="#_x0000_t202" style="position:absolute;margin-left:9pt;margin-top:11.4pt;width:315pt;height:423pt;z-index:251662336" stroked="f">
            <v:textbox style="mso-next-textbox:#_x0000_s1048">
              <w:txbxContent>
                <w:p w:rsidR="00000000" w:rsidRDefault="00C311ED">
                  <w:pPr>
                    <w:pStyle w:val="Heading1"/>
                    <w:rPr>
                      <w:b w:val="0"/>
                      <w:bCs w:val="0"/>
                      <w:sz w:val="32"/>
                    </w:rPr>
                  </w:pPr>
                  <w:r>
                    <w:rPr>
                      <w:sz w:val="32"/>
                    </w:rPr>
                    <w:t>CPC Survey</w:t>
                  </w:r>
                </w:p>
                <w:p w:rsidR="00000000" w:rsidRDefault="00C311ED">
                  <w:pPr>
                    <w:ind w:left="360"/>
                  </w:pPr>
                </w:p>
                <w:p w:rsidR="00000000" w:rsidRDefault="00C311ED">
                  <w:pPr>
                    <w:rPr>
                      <w:sz w:val="20"/>
                      <w:u w:val="single"/>
                    </w:rPr>
                  </w:pPr>
                  <w:r>
                    <w:rPr>
                      <w:sz w:val="20"/>
                      <w:u w:val="single"/>
                    </w:rPr>
                    <w:t xml:space="preserve">DHS Case Management is good at providing information: </w:t>
                  </w:r>
                </w:p>
                <w:p w:rsidR="00000000" w:rsidRDefault="00C311ED">
                  <w:pPr>
                    <w:ind w:left="360"/>
                    <w:rPr>
                      <w:sz w:val="20"/>
                    </w:rPr>
                  </w:pPr>
                </w:p>
                <w:p w:rsidR="00000000" w:rsidRDefault="00C311ED">
                  <w:pPr>
                    <w:numPr>
                      <w:ilvl w:val="0"/>
                      <w:numId w:val="3"/>
                    </w:numPr>
                    <w:rPr>
                      <w:sz w:val="20"/>
                    </w:rPr>
                  </w:pPr>
                  <w:r>
                    <w:rPr>
                      <w:sz w:val="20"/>
                    </w:rPr>
                    <w:t xml:space="preserve">Case Management is very good at keeping the CPC informed when changes are necessary – </w:t>
                  </w:r>
                  <w:r>
                    <w:rPr>
                      <w:b/>
                      <w:bCs/>
                      <w:sz w:val="20"/>
                    </w:rPr>
                    <w:t>Audubon, Guthrie, Green County CPC</w:t>
                  </w:r>
                </w:p>
                <w:p w:rsidR="00000000" w:rsidRDefault="00C311ED">
                  <w:pPr>
                    <w:numPr>
                      <w:ilvl w:val="0"/>
                      <w:numId w:val="3"/>
                    </w:numPr>
                    <w:rPr>
                      <w:sz w:val="20"/>
                    </w:rPr>
                  </w:pPr>
                  <w:r>
                    <w:rPr>
                      <w:sz w:val="20"/>
                    </w:rPr>
                    <w:t>Case Man</w:t>
                  </w:r>
                  <w:r>
                    <w:rPr>
                      <w:sz w:val="20"/>
                    </w:rPr>
                    <w:t xml:space="preserve">agers and supervisors keep the CPC informed of issues and situations affecting the county. – </w:t>
                  </w:r>
                  <w:r>
                    <w:rPr>
                      <w:b/>
                      <w:bCs/>
                      <w:sz w:val="20"/>
                    </w:rPr>
                    <w:t>Benton County CPC</w:t>
                  </w:r>
                </w:p>
                <w:p w:rsidR="00000000" w:rsidRDefault="00C311ED">
                  <w:pPr>
                    <w:numPr>
                      <w:ilvl w:val="0"/>
                      <w:numId w:val="3"/>
                    </w:numPr>
                    <w:rPr>
                      <w:sz w:val="20"/>
                    </w:rPr>
                  </w:pPr>
                  <w:r>
                    <w:rPr>
                      <w:sz w:val="20"/>
                    </w:rPr>
                    <w:t>The format used to update the Board of Supervisors regarding consumer services is wonderful and is now being used by TCM’s in other counties. –</w:t>
                  </w:r>
                  <w:r>
                    <w:rPr>
                      <w:b/>
                      <w:bCs/>
                      <w:sz w:val="20"/>
                    </w:rPr>
                    <w:t xml:space="preserve"> C</w:t>
                  </w:r>
                  <w:r>
                    <w:rPr>
                      <w:b/>
                      <w:bCs/>
                      <w:sz w:val="20"/>
                    </w:rPr>
                    <w:t>larke County CPC</w:t>
                  </w:r>
                </w:p>
                <w:p w:rsidR="00000000" w:rsidRDefault="00C311ED">
                  <w:pPr>
                    <w:rPr>
                      <w:b/>
                      <w:bCs/>
                      <w:sz w:val="20"/>
                    </w:rPr>
                  </w:pPr>
                </w:p>
                <w:p w:rsidR="00000000" w:rsidRDefault="00C311ED">
                  <w:pPr>
                    <w:rPr>
                      <w:sz w:val="20"/>
                    </w:rPr>
                  </w:pPr>
                  <w:r>
                    <w:rPr>
                      <w:sz w:val="20"/>
                      <w:u w:val="single"/>
                    </w:rPr>
                    <w:t>It is important to our CPCs to work with local case managers.</w:t>
                  </w:r>
                </w:p>
                <w:p w:rsidR="00000000" w:rsidRDefault="00C311ED">
                  <w:pPr>
                    <w:rPr>
                      <w:sz w:val="20"/>
                    </w:rPr>
                  </w:pPr>
                </w:p>
                <w:p w:rsidR="00000000" w:rsidRDefault="00C311ED">
                  <w:pPr>
                    <w:numPr>
                      <w:ilvl w:val="0"/>
                      <w:numId w:val="4"/>
                    </w:numPr>
                    <w:rPr>
                      <w:sz w:val="20"/>
                    </w:rPr>
                  </w:pPr>
                  <w:r>
                    <w:rPr>
                      <w:sz w:val="20"/>
                    </w:rPr>
                    <w:t xml:space="preserve">CPC likes to have the assigned case manager located in Clayton County. – </w:t>
                  </w:r>
                  <w:r>
                    <w:rPr>
                      <w:b/>
                      <w:bCs/>
                      <w:sz w:val="20"/>
                    </w:rPr>
                    <w:t>Clayton County CPC</w:t>
                  </w:r>
                </w:p>
                <w:p w:rsidR="00000000" w:rsidRDefault="00C311ED">
                  <w:pPr>
                    <w:numPr>
                      <w:ilvl w:val="0"/>
                      <w:numId w:val="4"/>
                    </w:numPr>
                    <w:rPr>
                      <w:sz w:val="20"/>
                    </w:rPr>
                  </w:pPr>
                  <w:r>
                    <w:rPr>
                      <w:sz w:val="20"/>
                    </w:rPr>
                    <w:t xml:space="preserve">More distant workers present more communication difficulty. – </w:t>
                  </w:r>
                  <w:r>
                    <w:rPr>
                      <w:b/>
                      <w:bCs/>
                      <w:sz w:val="20"/>
                    </w:rPr>
                    <w:t>Crawford County CPC</w:t>
                  </w:r>
                </w:p>
                <w:p w:rsidR="00000000" w:rsidRDefault="00C311ED">
                  <w:pPr>
                    <w:numPr>
                      <w:ilvl w:val="0"/>
                      <w:numId w:val="4"/>
                    </w:numPr>
                    <w:rPr>
                      <w:sz w:val="20"/>
                    </w:rPr>
                  </w:pPr>
                  <w:r>
                    <w:rPr>
                      <w:sz w:val="20"/>
                    </w:rPr>
                    <w:t>C</w:t>
                  </w:r>
                  <w:r>
                    <w:rPr>
                      <w:sz w:val="20"/>
                    </w:rPr>
                    <w:t xml:space="preserve">an’t always get a hold of workers particularly those not located in Delaware County. – </w:t>
                  </w:r>
                  <w:r>
                    <w:rPr>
                      <w:b/>
                      <w:bCs/>
                      <w:sz w:val="20"/>
                    </w:rPr>
                    <w:t>Delaware County CPC</w:t>
                  </w:r>
                </w:p>
                <w:p w:rsidR="00000000" w:rsidRDefault="00C311ED">
                  <w:pPr>
                    <w:numPr>
                      <w:ilvl w:val="0"/>
                      <w:numId w:val="4"/>
                    </w:numPr>
                    <w:rPr>
                      <w:sz w:val="20"/>
                    </w:rPr>
                  </w:pPr>
                  <w:r>
                    <w:rPr>
                      <w:sz w:val="20"/>
                    </w:rPr>
                    <w:t xml:space="preserve">Floaters may not always know the ins and outs of the county plan. – </w:t>
                  </w:r>
                  <w:r>
                    <w:rPr>
                      <w:b/>
                      <w:bCs/>
                      <w:sz w:val="20"/>
                    </w:rPr>
                    <w:t>Lee County CPC</w:t>
                  </w:r>
                </w:p>
                <w:p w:rsidR="00000000" w:rsidRDefault="00C311ED">
                  <w:pPr>
                    <w:rPr>
                      <w:b/>
                      <w:bCs/>
                      <w:sz w:val="20"/>
                    </w:rPr>
                  </w:pPr>
                </w:p>
                <w:p w:rsidR="00000000" w:rsidRDefault="00C311ED">
                  <w:pPr>
                    <w:rPr>
                      <w:sz w:val="20"/>
                    </w:rPr>
                  </w:pPr>
                  <w:r>
                    <w:rPr>
                      <w:sz w:val="20"/>
                    </w:rPr>
                    <w:t xml:space="preserve">The average overall satisfaction with DHS Case Management by our </w:t>
                  </w:r>
                  <w:r>
                    <w:rPr>
                      <w:sz w:val="20"/>
                    </w:rPr>
                    <w:t>county partners was a 9.2 out of 10.  Two counties, O’Brien and Warren scored us a 7 in over all satisfaction.  DHS Case Management has a policy to address any score below an 8 and will be working with these two counties to address their concerns.  A break</w:t>
                  </w:r>
                  <w:r>
                    <w:rPr>
                      <w:sz w:val="20"/>
                    </w:rPr>
                    <w:t>down of all counties scores can be found in the appendix of this document.</w:t>
                  </w:r>
                </w:p>
                <w:p w:rsidR="00000000" w:rsidRDefault="00C311ED">
                  <w:pPr>
                    <w:rPr>
                      <w:sz w:val="20"/>
                    </w:rPr>
                  </w:pPr>
                </w:p>
                <w:p w:rsidR="00000000" w:rsidRDefault="00C311ED">
                  <w:r>
                    <w:rPr>
                      <w:sz w:val="20"/>
                    </w:rPr>
                    <w:t>This year our Advisory Board recommended</w:t>
                  </w:r>
                  <w:r>
                    <w:t xml:space="preserve"> </w:t>
                  </w:r>
                  <w:r>
                    <w:rPr>
                      <w:sz w:val="20"/>
                    </w:rPr>
                    <w:t>changes to the way we survey county CPCs.  A revised survey format will be presented to the board at the first meeting of 2007.</w:t>
                  </w:r>
                </w:p>
              </w:txbxContent>
            </v:textbox>
          </v:shape>
        </w:pict>
      </w:r>
      <w:r>
        <w:rPr>
          <w:noProof/>
          <w:sz w:val="20"/>
        </w:rPr>
        <w:pict>
          <v:shape id="_x0000_s1047" type="#_x0000_t202" style="position:absolute;margin-left:351pt;margin-top:11.4pt;width:315pt;height:423pt;z-index:251661312" stroked="f">
            <v:textbox style="mso-next-textbox:#_x0000_s1047">
              <w:txbxContent>
                <w:p w:rsidR="00000000" w:rsidRDefault="00C311ED">
                  <w:pPr>
                    <w:pStyle w:val="Heading1"/>
                    <w:rPr>
                      <w:sz w:val="32"/>
                    </w:rPr>
                  </w:pPr>
                  <w:r>
                    <w:rPr>
                      <w:sz w:val="32"/>
                    </w:rPr>
                    <w:t>Consumer Survey</w:t>
                  </w:r>
                </w:p>
                <w:p w:rsidR="00000000" w:rsidRDefault="00C311ED"/>
                <w:p w:rsidR="00000000" w:rsidRDefault="00C311ED">
                  <w:pPr>
                    <w:numPr>
                      <w:ilvl w:val="0"/>
                      <w:numId w:val="5"/>
                    </w:numPr>
                    <w:rPr>
                      <w:sz w:val="20"/>
                    </w:rPr>
                  </w:pPr>
                  <w:r>
                    <w:rPr>
                      <w:sz w:val="20"/>
                    </w:rPr>
                    <w:t>1614 surveys were sent out to consumers or their guardians.</w:t>
                  </w:r>
                </w:p>
                <w:p w:rsidR="00000000" w:rsidRDefault="00C311ED">
                  <w:pPr>
                    <w:numPr>
                      <w:ilvl w:val="0"/>
                      <w:numId w:val="5"/>
                    </w:numPr>
                    <w:rPr>
                      <w:sz w:val="20"/>
                    </w:rPr>
                  </w:pPr>
                  <w:r>
                    <w:rPr>
                      <w:sz w:val="20"/>
                    </w:rPr>
                    <w:t>920 surveys were returned for</w:t>
                  </w:r>
                  <w:r>
                    <w:rPr>
                      <w:sz w:val="20"/>
                    </w:rPr>
                    <w:t xml:space="preserve"> a return rate of 57%</w:t>
                  </w:r>
                </w:p>
                <w:p w:rsidR="00000000" w:rsidRDefault="00C311ED">
                  <w:pPr>
                    <w:numPr>
                      <w:ilvl w:val="0"/>
                      <w:numId w:val="5"/>
                    </w:numPr>
                    <w:rPr>
                      <w:sz w:val="20"/>
                    </w:rPr>
                  </w:pPr>
                  <w:r>
                    <w:rPr>
                      <w:sz w:val="20"/>
                    </w:rPr>
                    <w:t>50.1% of surveys were completed and returned by guardians</w:t>
                  </w:r>
                </w:p>
                <w:p w:rsidR="00000000" w:rsidRDefault="00C311ED">
                  <w:pPr>
                    <w:numPr>
                      <w:ilvl w:val="0"/>
                      <w:numId w:val="5"/>
                    </w:numPr>
                    <w:rPr>
                      <w:sz w:val="20"/>
                    </w:rPr>
                  </w:pPr>
                  <w:r>
                    <w:rPr>
                      <w:sz w:val="20"/>
                    </w:rPr>
                    <w:t>The remaining 48.2% were returned by consumers who either completed it themselves or indicated they had help completing it from a friend, family member, or agency employee.</w:t>
                  </w:r>
                </w:p>
                <w:p w:rsidR="00000000" w:rsidRDefault="00C311ED">
                  <w:pPr>
                    <w:numPr>
                      <w:ilvl w:val="0"/>
                      <w:numId w:val="5"/>
                    </w:numPr>
                    <w:rPr>
                      <w:sz w:val="20"/>
                    </w:rPr>
                  </w:pPr>
                  <w:r>
                    <w:rPr>
                      <w:sz w:val="20"/>
                    </w:rPr>
                    <w:t>The</w:t>
                  </w:r>
                  <w:r>
                    <w:rPr>
                      <w:sz w:val="20"/>
                    </w:rPr>
                    <w:t xml:space="preserve"> remaining 1.7% of respondents did not indicate a response to this question.</w:t>
                  </w:r>
                </w:p>
                <w:p w:rsidR="00000000" w:rsidRDefault="00C311ED">
                  <w:pPr>
                    <w:ind w:left="360"/>
                    <w:rPr>
                      <w:sz w:val="20"/>
                    </w:rPr>
                  </w:pPr>
                </w:p>
                <w:p w:rsidR="00000000" w:rsidRDefault="00C311ED">
                  <w:pPr>
                    <w:ind w:left="360"/>
                    <w:rPr>
                      <w:sz w:val="20"/>
                    </w:rPr>
                  </w:pPr>
                  <w:r>
                    <w:rPr>
                      <w:sz w:val="20"/>
                    </w:rPr>
                    <w:t>Prior to 2006 most questions on the consumer survey had three possible responses: Yes, No and Not Sure.  For 2006 however, our Advisory Board recommended removing the option of “</w:t>
                  </w:r>
                  <w:r>
                    <w:rPr>
                      <w:sz w:val="20"/>
                    </w:rPr>
                    <w:t>Not Sure” feeling that most people when forced to choose fell into either the yes or the no category. The affects of this can be seen in the survey results.</w:t>
                  </w:r>
                </w:p>
                <w:p w:rsidR="00000000" w:rsidRDefault="00C311ED">
                  <w:pPr>
                    <w:ind w:left="360"/>
                    <w:rPr>
                      <w:sz w:val="20"/>
                    </w:rPr>
                  </w:pPr>
                </w:p>
                <w:p w:rsidR="00000000" w:rsidRDefault="00C311ED">
                  <w:pPr>
                    <w:numPr>
                      <w:ilvl w:val="0"/>
                      <w:numId w:val="6"/>
                    </w:numPr>
                    <w:rPr>
                      <w:sz w:val="20"/>
                    </w:rPr>
                  </w:pPr>
                  <w:r>
                    <w:rPr>
                      <w:sz w:val="20"/>
                    </w:rPr>
                    <w:t>Overall consumer satisfaction with DHS Case Management services rose from 87.9% in 2005 to 97.2% i</w:t>
                  </w:r>
                  <w:r>
                    <w:rPr>
                      <w:sz w:val="20"/>
                    </w:rPr>
                    <w:t>n 2006.  These numbers are however not comparable due to the change in question format.</w:t>
                  </w:r>
                </w:p>
                <w:p w:rsidR="00000000" w:rsidRDefault="00C311ED">
                  <w:pPr>
                    <w:numPr>
                      <w:ilvl w:val="0"/>
                      <w:numId w:val="6"/>
                    </w:numPr>
                    <w:rPr>
                      <w:sz w:val="20"/>
                    </w:rPr>
                  </w:pPr>
                  <w:r>
                    <w:rPr>
                      <w:sz w:val="20"/>
                    </w:rPr>
                    <w:t>98.4% of consumers and/or their guardians feel their case manager respects their skills and abilities</w:t>
                  </w:r>
                </w:p>
                <w:p w:rsidR="00000000" w:rsidRDefault="00C311ED">
                  <w:pPr>
                    <w:numPr>
                      <w:ilvl w:val="0"/>
                      <w:numId w:val="6"/>
                    </w:numPr>
                    <w:rPr>
                      <w:sz w:val="20"/>
                    </w:rPr>
                  </w:pPr>
                  <w:r>
                    <w:rPr>
                      <w:sz w:val="20"/>
                    </w:rPr>
                    <w:t>Only 82.1% of consumers and/or their guardians report meeting with</w:t>
                  </w:r>
                  <w:r>
                    <w:rPr>
                      <w:sz w:val="20"/>
                    </w:rPr>
                    <w:t xml:space="preserve"> their case manager prior to planning goals.  This meeting, known in Case Management as the pre OAP meeting is an important first step in the goal planning process. This is an area the unit hopes to improve in for 2007.</w:t>
                  </w:r>
                </w:p>
                <w:p w:rsidR="00000000" w:rsidRDefault="00C311ED">
                  <w:pPr>
                    <w:rPr>
                      <w:sz w:val="20"/>
                    </w:rPr>
                  </w:pPr>
                </w:p>
                <w:p w:rsidR="00000000" w:rsidRDefault="00C311ED">
                  <w:pPr>
                    <w:rPr>
                      <w:sz w:val="20"/>
                    </w:rPr>
                  </w:pPr>
                  <w:r>
                    <w:rPr>
                      <w:sz w:val="20"/>
                    </w:rPr>
                    <w:t>The Unit’s over all consumer survey</w:t>
                  </w:r>
                  <w:r>
                    <w:rPr>
                      <w:sz w:val="20"/>
                    </w:rPr>
                    <w:t xml:space="preserve"> results can be found in the appendix of this document.</w:t>
                  </w:r>
                </w:p>
                <w:p w:rsidR="00000000" w:rsidRDefault="00C311ED">
                  <w:pPr>
                    <w:ind w:left="720"/>
                    <w:rPr>
                      <w:sz w:val="20"/>
                    </w:rPr>
                  </w:pPr>
                </w:p>
                <w:p w:rsidR="00000000" w:rsidRDefault="00C311ED">
                  <w:pPr>
                    <w:ind w:left="720"/>
                  </w:pPr>
                </w:p>
              </w:txbxContent>
            </v:textbox>
          </v:shape>
        </w:pict>
      </w:r>
      <w:r>
        <w:rPr>
          <w:noProof/>
          <w:sz w:val="20"/>
        </w:rPr>
        <w:pict>
          <v:rect id="_x0000_s1046" style="position:absolute;margin-left:342pt;margin-top:2.4pt;width:333pt;height:441pt;z-index:251660288">
            <v:shadow on="t" offset="-6pt,6pt"/>
          </v:rect>
        </w:pict>
      </w:r>
      <w:r>
        <w:rPr>
          <w:noProof/>
          <w:sz w:val="20"/>
        </w:rPr>
        <w:pict>
          <v:rect id="_x0000_s1045" style="position:absolute;margin-left:0;margin-top:2.4pt;width:333pt;height:441pt;z-index:251659264">
            <v:shadow on="t" offset="-6pt,6pt"/>
          </v:rect>
        </w:pict>
      </w:r>
    </w:p>
    <w:p w:rsidR="00000000" w:rsidRDefault="00C311ED">
      <w:pPr>
        <w:pStyle w:val="Title"/>
        <w:rPr>
          <w:sz w:val="48"/>
        </w:rPr>
      </w:pPr>
      <w:r>
        <w:rPr>
          <w:sz w:val="20"/>
        </w:rPr>
        <w:br w:type="page"/>
      </w:r>
      <w:r>
        <w:rPr>
          <w:sz w:val="48"/>
        </w:rPr>
        <w:lastRenderedPageBreak/>
        <w:t>SFY 2006 Financial Information</w:t>
      </w:r>
    </w:p>
    <w:p w:rsidR="00000000" w:rsidRDefault="00C311ED">
      <w:pPr>
        <w:jc w:val="center"/>
        <w:rPr>
          <w:sz w:val="28"/>
        </w:rPr>
      </w:pPr>
    </w:p>
    <w:p w:rsidR="00000000" w:rsidRDefault="00C311ED">
      <w:pPr>
        <w:pStyle w:val="BodyText"/>
        <w:rPr>
          <w:rFonts w:ascii="Times New Roman" w:hAnsi="Times New Roman" w:cs="Times New Roman"/>
          <w:b w:val="0"/>
          <w:bCs w:val="0"/>
        </w:rPr>
      </w:pPr>
      <w:r>
        <w:rPr>
          <w:rFonts w:ascii="Times New Roman" w:hAnsi="Times New Roman" w:cs="Times New Roman"/>
          <w:b w:val="0"/>
          <w:bCs w:val="0"/>
        </w:rPr>
        <w:t>The DHS Targeted Case Management Unit operates as a Medicaid provider. The Bureau operates on a projected rate for reimbursement of services and then retrospectively</w:t>
      </w:r>
      <w:r>
        <w:rPr>
          <w:rFonts w:ascii="Times New Roman" w:hAnsi="Times New Roman" w:cs="Times New Roman"/>
          <w:b w:val="0"/>
          <w:bCs w:val="0"/>
        </w:rPr>
        <w:t xml:space="preserve"> settles with various funders on actual costs incurred. </w:t>
      </w:r>
    </w:p>
    <w:p w:rsidR="00000000" w:rsidRDefault="00C311ED">
      <w:pPr>
        <w:rPr>
          <w:sz w:val="20"/>
        </w:rPr>
      </w:pPr>
    </w:p>
    <w:p w:rsidR="00000000" w:rsidRDefault="00C311ED">
      <w:pPr>
        <w:rPr>
          <w:sz w:val="20"/>
        </w:rPr>
      </w:pPr>
      <w:r>
        <w:rPr>
          <w:sz w:val="20"/>
        </w:rPr>
        <w:t xml:space="preserve"> The federal share in SFY 2006 was 63.64%.  The State of Iowa and the counties with which we contract split the remainder of costs, or 18.18% each.  The Bureau does not receive an appropriation and </w:t>
      </w:r>
      <w:r>
        <w:rPr>
          <w:sz w:val="20"/>
        </w:rPr>
        <w:t xml:space="preserve">operates solely upon revenues generated for services provided. The basis for allowable reimbursable costs is only those actual costs directly associated with providing TCM. </w:t>
      </w:r>
    </w:p>
    <w:p w:rsidR="00000000" w:rsidRDefault="00C311ED">
      <w:pPr>
        <w:rPr>
          <w:sz w:val="20"/>
        </w:rPr>
      </w:pPr>
    </w:p>
    <w:p w:rsidR="00000000" w:rsidRDefault="00C311ED">
      <w:pPr>
        <w:pStyle w:val="BodyText"/>
        <w:rPr>
          <w:rFonts w:ascii="Times New Roman" w:hAnsi="Times New Roman" w:cs="Times New Roman"/>
          <w:b w:val="0"/>
          <w:bCs w:val="0"/>
        </w:rPr>
      </w:pPr>
      <w:r>
        <w:rPr>
          <w:rFonts w:ascii="Times New Roman" w:hAnsi="Times New Roman" w:cs="Times New Roman"/>
          <w:b w:val="0"/>
          <w:bCs w:val="0"/>
        </w:rPr>
        <w:t xml:space="preserve">The Bureau's salary costs represent 83. 98% of total expenses and are limited to </w:t>
      </w:r>
      <w:r>
        <w:rPr>
          <w:rFonts w:ascii="Times New Roman" w:hAnsi="Times New Roman" w:cs="Times New Roman"/>
          <w:b w:val="0"/>
          <w:bCs w:val="0"/>
        </w:rPr>
        <w:t>staff who directly provide TCM, and staff who support those who provide TCM.  Support costs include items such as rent, travel, training, technology, office equipment and supplies, postage and telephones.</w:t>
      </w:r>
    </w:p>
    <w:p w:rsidR="00000000" w:rsidRDefault="00C311ED">
      <w:pPr>
        <w:pStyle w:val="BodyText"/>
        <w:rPr>
          <w:rFonts w:ascii="Times New Roman" w:hAnsi="Times New Roman" w:cs="Times New Roman"/>
        </w:rPr>
      </w:pPr>
    </w:p>
    <w:p w:rsidR="00000000" w:rsidRDefault="00C311ED">
      <w:pPr>
        <w:pStyle w:val="BodyText"/>
        <w:rPr>
          <w:rFonts w:ascii="Times New Roman" w:hAnsi="Times New Roman" w:cs="Times New Roman"/>
          <w:b w:val="0"/>
          <w:bCs w:val="0"/>
        </w:rPr>
      </w:pPr>
    </w:p>
    <w:p w:rsidR="00000000" w:rsidRDefault="00C311ED">
      <w:pPr>
        <w:tabs>
          <w:tab w:val="left" w:pos="12181"/>
        </w:tabs>
      </w:pPr>
      <w:r>
        <w:rPr>
          <w:noProof/>
          <w:sz w:val="20"/>
        </w:rPr>
        <w:pict>
          <v:shape id="_x0000_s1049" type="#_x0000_t202" style="position:absolute;margin-left:405pt;margin-top:5.35pt;width:195.55pt;height:156.4pt;z-index:251663360" filled="f" stroked="f">
            <v:textbox style="mso-next-textbox:#_x0000_s1049" inset="0,0,0,0">
              <w:txbxContent>
                <w:p w:rsidR="00000000" w:rsidRDefault="00C311ED">
                  <w:r>
                    <w:object w:dxaOrig="3735" w:dyaOrig="2985">
                      <v:shape id="_x0000_i1037" type="#_x0000_t75" style="width:195.25pt;height:156.45pt" o:ole="" fillcolor="window">
                        <v:imagedata r:id="rId23" o:title=""/>
                      </v:shape>
                      <o:OLEObject Type="Embed" ProgID="Word.Picture.8" ShapeID="_x0000_i1037" DrawAspect="Content" ObjectID="_1297584214" r:id="rId24"/>
                    </w:object>
                  </w:r>
                </w:p>
              </w:txbxContent>
            </v:textbox>
          </v:shape>
        </w:pict>
      </w:r>
      <w:r>
        <w:rPr>
          <w:sz w:val="28"/>
        </w:rPr>
        <w:t xml:space="preserve">                    </w:t>
      </w:r>
      <w:r>
        <w:rPr>
          <w:noProof/>
          <w:sz w:val="28"/>
        </w:rPr>
        <w:drawing>
          <wp:inline distT="0" distB="0" distL="0" distR="0">
            <wp:extent cx="2672715" cy="206629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ab/>
      </w:r>
    </w:p>
    <w:p w:rsidR="00000000" w:rsidRDefault="00C311ED">
      <w:pPr>
        <w:tabs>
          <w:tab w:val="left" w:pos="12181"/>
        </w:tabs>
      </w:pPr>
    </w:p>
    <w:p w:rsidR="00000000" w:rsidRDefault="00C311ED">
      <w:pPr>
        <w:numPr>
          <w:ilvl w:val="0"/>
          <w:numId w:val="12"/>
        </w:numPr>
        <w:rPr>
          <w:sz w:val="20"/>
        </w:rPr>
      </w:pPr>
      <w:r>
        <w:rPr>
          <w:sz w:val="20"/>
        </w:rPr>
        <w:t>TCM services provided are billed as a unit of service to specific Medicaid diagnostic criteria.  A unit of service is defined as a billable contact within the month for each consumer receiving TCM.  The number of units of service provided were 47,804 co</w:t>
      </w:r>
      <w:r>
        <w:rPr>
          <w:sz w:val="20"/>
        </w:rPr>
        <w:t xml:space="preserve">mpared to 45,255 the previous year. This was a 5.63% increase over the prior year.  </w:t>
      </w:r>
    </w:p>
    <w:p w:rsidR="00000000" w:rsidRDefault="00C311ED">
      <w:pPr>
        <w:numPr>
          <w:ilvl w:val="0"/>
          <w:numId w:val="12"/>
        </w:numPr>
        <w:rPr>
          <w:sz w:val="20"/>
        </w:rPr>
      </w:pPr>
      <w:r>
        <w:rPr>
          <w:b/>
          <w:bCs/>
          <w:sz w:val="20"/>
        </w:rPr>
        <w:t>S</w:t>
      </w:r>
      <w:r>
        <w:rPr>
          <w:sz w:val="20"/>
        </w:rPr>
        <w:t xml:space="preserve">tate </w:t>
      </w:r>
      <w:r>
        <w:rPr>
          <w:b/>
          <w:bCs/>
          <w:sz w:val="20"/>
        </w:rPr>
        <w:t>F</w:t>
      </w:r>
      <w:r>
        <w:rPr>
          <w:sz w:val="20"/>
        </w:rPr>
        <w:t xml:space="preserve">iscal </w:t>
      </w:r>
      <w:r>
        <w:rPr>
          <w:b/>
          <w:bCs/>
          <w:sz w:val="20"/>
        </w:rPr>
        <w:t>Y</w:t>
      </w:r>
      <w:r>
        <w:rPr>
          <w:sz w:val="20"/>
        </w:rPr>
        <w:t>ear (</w:t>
      </w:r>
      <w:r>
        <w:rPr>
          <w:b/>
          <w:bCs/>
          <w:sz w:val="20"/>
        </w:rPr>
        <w:t>SFY</w:t>
      </w:r>
      <w:r>
        <w:rPr>
          <w:sz w:val="20"/>
        </w:rPr>
        <w:t>) 2006 incorporates the timeframe of July 1, 2005 through June 30, 2006.</w:t>
      </w:r>
    </w:p>
    <w:p w:rsidR="00000000" w:rsidRDefault="00C311ED">
      <w:pPr>
        <w:pStyle w:val="BodyTextIndent2"/>
        <w:numPr>
          <w:ilvl w:val="0"/>
          <w:numId w:val="12"/>
        </w:numPr>
        <w:rPr>
          <w:rFonts w:ascii="Times New Roman" w:hAnsi="Times New Roman" w:cs="Times New Roman"/>
          <w:sz w:val="20"/>
        </w:rPr>
      </w:pPr>
      <w:r>
        <w:rPr>
          <w:rFonts w:ascii="Times New Roman" w:hAnsi="Times New Roman" w:cs="Times New Roman"/>
          <w:sz w:val="20"/>
        </w:rPr>
        <w:t xml:space="preserve">In SFY06, TCM acquired the “Child Mental Health” Waiver (CMH).  During this </w:t>
      </w:r>
      <w:r>
        <w:rPr>
          <w:rFonts w:ascii="Times New Roman" w:hAnsi="Times New Roman" w:cs="Times New Roman"/>
          <w:sz w:val="20"/>
        </w:rPr>
        <w:t>time 610 families and children were served.  For the first 9 months of the waiver, we billed 1,156 units at a cost of $988,233.</w:t>
      </w:r>
    </w:p>
    <w:p w:rsidR="00000000" w:rsidRDefault="00C311ED">
      <w:pPr>
        <w:pStyle w:val="BodyTextIndent2"/>
        <w:numPr>
          <w:ilvl w:val="0"/>
          <w:numId w:val="12"/>
        </w:numPr>
        <w:rPr>
          <w:rFonts w:ascii="Times New Roman" w:hAnsi="Times New Roman" w:cs="Times New Roman"/>
          <w:sz w:val="20"/>
        </w:rPr>
      </w:pPr>
      <w:r>
        <w:rPr>
          <w:rFonts w:ascii="Times New Roman" w:hAnsi="Times New Roman" w:cs="Times New Roman"/>
          <w:sz w:val="20"/>
        </w:rPr>
        <w:t>The DHS TCM financial team consists of 9 members: one Accountant, five Account Technicians, an Administrative Assistant, a Secre</w:t>
      </w:r>
      <w:r>
        <w:rPr>
          <w:rFonts w:ascii="Times New Roman" w:hAnsi="Times New Roman" w:cs="Times New Roman"/>
          <w:sz w:val="20"/>
        </w:rPr>
        <w:t xml:space="preserve">tary 1, and a Public Service Supervisor.  </w:t>
      </w:r>
    </w:p>
    <w:p w:rsidR="00000000" w:rsidRDefault="00C311ED">
      <w:pPr>
        <w:ind w:left="360"/>
        <w:rPr>
          <w:sz w:val="20"/>
        </w:rPr>
      </w:pPr>
    </w:p>
    <w:p w:rsidR="00000000" w:rsidRDefault="00C311ED">
      <w:pPr>
        <w:tabs>
          <w:tab w:val="left" w:pos="12181"/>
        </w:tabs>
      </w:pPr>
    </w:p>
    <w:p w:rsidR="00000000" w:rsidRDefault="00C311ED"/>
    <w:p w:rsidR="00000000" w:rsidRDefault="00C311ED">
      <w:pPr>
        <w:rPr>
          <w:sz w:val="20"/>
        </w:rPr>
        <w:sectPr w:rsidR="00000000">
          <w:headerReference w:type="default" r:id="rId26"/>
          <w:headerReference w:type="first" r:id="rId27"/>
          <w:pgSz w:w="15840" w:h="12240" w:orient="landscape" w:code="1"/>
          <w:pgMar w:top="720" w:right="720" w:bottom="360" w:left="1080" w:header="720" w:footer="720" w:gutter="0"/>
          <w:cols w:space="720"/>
          <w:titlePg/>
          <w:docGrid w:linePitch="360"/>
        </w:sectPr>
      </w:pPr>
    </w:p>
    <w:p w:rsidR="00000000" w:rsidRDefault="00C311ED">
      <w:pPr>
        <w:jc w:val="center"/>
        <w:rPr>
          <w:sz w:val="20"/>
        </w:rPr>
      </w:pPr>
      <w:r>
        <w:object w:dxaOrig="17062" w:dyaOrig="15211">
          <v:shape id="_x0000_i1038" type="#_x0000_t75" style="width:798.25pt;height:712.4pt" o:ole="">
            <v:imagedata r:id="rId28" o:title=""/>
          </v:shape>
          <o:OLEObject Type="Embed" ProgID="Excel.Sheet.8" ShapeID="_x0000_i1038" DrawAspect="Content" ObjectID="_1297584212" r:id="rId29"/>
        </w:object>
      </w:r>
      <w:r>
        <w:object w:dxaOrig="8477" w:dyaOrig="10963">
          <v:shape id="_x0000_i1039" type="#_x0000_t75" style="width:423.7pt;height:548.3pt" o:ole="">
            <v:imagedata r:id="rId30" o:title=""/>
          </v:shape>
          <o:OLEObject Type="Embed" ProgID="Excel.Sheet.8" ShapeID="_x0000_i1039" DrawAspect="Content" ObjectID="_1297584213" r:id="rId31"/>
        </w:object>
      </w:r>
    </w:p>
    <w:sectPr w:rsidR="00000000">
      <w:headerReference w:type="default" r:id="rId32"/>
      <w:headerReference w:type="first" r:id="rId33"/>
      <w:pgSz w:w="15840" w:h="12240" w:orient="landscape" w:code="1"/>
      <w:pgMar w:top="720" w:right="720" w:bottom="720" w:left="5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311ED">
      <w:r>
        <w:separator/>
      </w:r>
    </w:p>
  </w:endnote>
  <w:endnote w:type="continuationSeparator" w:id="1">
    <w:p w:rsidR="00000000" w:rsidRDefault="00C31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311ED">
      <w:r>
        <w:separator/>
      </w:r>
    </w:p>
  </w:footnote>
  <w:footnote w:type="continuationSeparator" w:id="1">
    <w:p w:rsidR="00000000" w:rsidRDefault="00C31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11E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11E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11ED">
    <w:pPr>
      <w:pStyle w:val="Header"/>
      <w:jc w:val="center"/>
    </w:pPr>
    <w:r>
      <w:t>Consumer Survey Results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11ED">
    <w:pPr>
      <w:pStyle w:val="Header"/>
      <w:jc w:val="center"/>
    </w:pPr>
    <w:r>
      <w:t>CPC Survey Results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762"/>
    <w:multiLevelType w:val="hybridMultilevel"/>
    <w:tmpl w:val="105AC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74828"/>
    <w:multiLevelType w:val="hybridMultilevel"/>
    <w:tmpl w:val="F3CC6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AD6F0E"/>
    <w:multiLevelType w:val="hybridMultilevel"/>
    <w:tmpl w:val="5AFCF1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6577B"/>
    <w:multiLevelType w:val="hybridMultilevel"/>
    <w:tmpl w:val="83E2F2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B0531"/>
    <w:multiLevelType w:val="hybridMultilevel"/>
    <w:tmpl w:val="901C1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5F71D3"/>
    <w:multiLevelType w:val="hybridMultilevel"/>
    <w:tmpl w:val="D6564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94D01"/>
    <w:multiLevelType w:val="hybridMultilevel"/>
    <w:tmpl w:val="CFAA3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21955E5"/>
    <w:multiLevelType w:val="hybridMultilevel"/>
    <w:tmpl w:val="16F4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D406C7"/>
    <w:multiLevelType w:val="hybridMultilevel"/>
    <w:tmpl w:val="F984D718"/>
    <w:lvl w:ilvl="0" w:tplc="EC08ACA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9C61DB"/>
    <w:multiLevelType w:val="hybridMultilevel"/>
    <w:tmpl w:val="AAC6FA7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701386"/>
    <w:multiLevelType w:val="hybridMultilevel"/>
    <w:tmpl w:val="7042F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846126"/>
    <w:multiLevelType w:val="hybridMultilevel"/>
    <w:tmpl w:val="66E82E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56350F"/>
    <w:multiLevelType w:val="hybridMultilevel"/>
    <w:tmpl w:val="6C66F2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4"/>
  </w:num>
  <w:num w:numId="6">
    <w:abstractNumId w:val="1"/>
  </w:num>
  <w:num w:numId="7">
    <w:abstractNumId w:val="2"/>
  </w:num>
  <w:num w:numId="8">
    <w:abstractNumId w:val="12"/>
  </w:num>
  <w:num w:numId="9">
    <w:abstractNumId w:val="3"/>
  </w:num>
  <w:num w:numId="10">
    <w:abstractNumId w:val="11"/>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edit="forms" w:enforcement="1" w:cryptProviderType="rsaFull" w:cryptAlgorithmClass="hash" w:cryptAlgorithmType="typeAny" w:cryptAlgorithmSid="4" w:cryptSpinCount="50000" w:hash="zsYCNMdOLSWzs5wnvuWDE8gmPSI=" w:salt="mANTGY+OXtTNkf5Tq8qN6w=="/>
  <w:defaultTabStop w:val="720"/>
  <w:noPunctuationKerning/>
  <w:characterSpacingControl w:val="doNotCompress"/>
  <w:footnotePr>
    <w:footnote w:id="0"/>
    <w:footnote w:id="1"/>
  </w:footnotePr>
  <w:endnotePr>
    <w:endnote w:id="0"/>
    <w:endnote w:id="1"/>
  </w:endnotePr>
  <w:compat/>
  <w:rsids>
    <w:rsidRoot w:val="00C311ED"/>
    <w:rsid w:val="00C3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72"/>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rPr>
  </w:style>
  <w:style w:type="paragraph" w:styleId="BodyText">
    <w:name w:val="Body Text"/>
    <w:basedOn w:val="Normal"/>
    <w:semiHidden/>
    <w:rPr>
      <w:rFonts w:ascii="Arial" w:hAnsi="Arial" w:cs="Arial"/>
      <w:b/>
      <w:bCs/>
    </w:rPr>
  </w:style>
  <w:style w:type="paragraph" w:styleId="BodyText2">
    <w:name w:val="Body Text 2"/>
    <w:basedOn w:val="Normal"/>
    <w:semiHidden/>
    <w:rPr>
      <w:sz w:val="28"/>
    </w:rPr>
  </w:style>
  <w:style w:type="paragraph" w:styleId="Header">
    <w:name w:val="header"/>
    <w:basedOn w:val="Normal"/>
    <w:semiHidden/>
    <w:pPr>
      <w:tabs>
        <w:tab w:val="center" w:pos="4320"/>
        <w:tab w:val="right" w:pos="8640"/>
      </w:tabs>
    </w:pPr>
  </w:style>
  <w:style w:type="paragraph" w:styleId="BodyText3">
    <w:name w:val="Body Text 3"/>
    <w:basedOn w:val="Normal"/>
    <w:semiHidden/>
    <w:rPr>
      <w:rFonts w:ascii="Eras Demi ITC" w:hAnsi="Eras Demi ITC" w:cs="Arial"/>
      <w:bCs/>
      <w:sz w:val="20"/>
    </w:rPr>
  </w:style>
  <w:style w:type="paragraph" w:styleId="BodyTextIndent2">
    <w:name w:val="Body Text Indent 2"/>
    <w:basedOn w:val="Normal"/>
    <w:semiHidden/>
    <w:pPr>
      <w:ind w:left="360"/>
    </w:pPr>
    <w:rPr>
      <w:rFonts w:ascii="Poor Richard" w:hAnsi="Poor Richard" w:cs="Arial"/>
      <w:sz w:val="28"/>
    </w:r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oleObject" Target="embeddings/Microsoft_Office_Excel_97-2003_Worksheet1.xls"/><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Microsoft_Office_PowerPoint_97-2003_Presentation2.ppt"/><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6.wmf"/><Relationship Id="rId25" Type="http://schemas.openxmlformats.org/officeDocument/2006/relationships/chart" Target="charts/chart6.xm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oleObject" Target="embeddings/Microsoft_Office_Excel_97-2003_Worksheet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oleObject" Target="embeddings/oleObject1.bin"/><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10.wmf"/><Relationship Id="rId28" Type="http://schemas.openxmlformats.org/officeDocument/2006/relationships/image" Target="media/image11.wmf"/><Relationship Id="rId10" Type="http://schemas.openxmlformats.org/officeDocument/2006/relationships/image" Target="media/image4.wmf"/><Relationship Id="rId19" Type="http://schemas.openxmlformats.org/officeDocument/2006/relationships/image" Target="media/image7.jpeg"/><Relationship Id="rId31" Type="http://schemas.openxmlformats.org/officeDocument/2006/relationships/oleObject" Target="embeddings/Microsoft_Office_Excel_97-2003_Worksheet4.xls"/><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4.xml"/><Relationship Id="rId22" Type="http://schemas.openxmlformats.org/officeDocument/2006/relationships/image" Target="media/image9.jpeg"/><Relationship Id="rId27" Type="http://schemas.openxmlformats.org/officeDocument/2006/relationships/header" Target="header2.xml"/><Relationship Id="rId30" Type="http://schemas.openxmlformats.org/officeDocument/2006/relationships/image" Target="media/image12.w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9163679808841082E-2"/>
          <c:y val="7.1428571428571425E-2"/>
          <c:w val="0.84587813620071695"/>
          <c:h val="0.70238095238095233"/>
        </c:manualLayout>
      </c:layout>
      <c:barChart>
        <c:barDir val="col"/>
        <c:grouping val="clustered"/>
        <c:ser>
          <c:idx val="0"/>
          <c:order val="0"/>
          <c:tx>
            <c:strRef>
              <c:f>Sheet1!$B$3</c:f>
              <c:strCache>
                <c:ptCount val="1"/>
                <c:pt idx="0">
                  <c:v>2006</c:v>
                </c:pt>
              </c:strCache>
            </c:strRef>
          </c:tx>
          <c:spPr>
            <a:solidFill>
              <a:srgbClr val="00CCFF"/>
            </a:solidFill>
            <a:ln w="12699">
              <a:solidFill>
                <a:srgbClr val="000000"/>
              </a:solidFill>
              <a:prstDash val="solid"/>
            </a:ln>
          </c:spPr>
          <c:dLbls>
            <c:dLbl>
              <c:idx val="0"/>
              <c:layout>
                <c:manualLayout>
                  <c:xMode val="edge"/>
                  <c:yMode val="edge"/>
                  <c:x val="0.1063321385902031"/>
                  <c:y val="0.26666666666666672"/>
                </c:manualLayout>
              </c:layout>
              <c:dLblPos val="outEnd"/>
              <c:showVal val="1"/>
            </c:dLbl>
            <c:dLbl>
              <c:idx val="3"/>
              <c:layout>
                <c:manualLayout>
                  <c:xMode val="edge"/>
                  <c:yMode val="edge"/>
                  <c:x val="0.54121863799283154"/>
                  <c:y val="0.51666666666666661"/>
                </c:manualLayout>
              </c:layout>
              <c:dLblPos val="outEnd"/>
              <c:showVal val="1"/>
            </c:dLbl>
            <c:dLbl>
              <c:idx val="5"/>
              <c:layout>
                <c:manualLayout>
                  <c:xMode val="edge"/>
                  <c:yMode val="edge"/>
                  <c:x val="0.81123058542413373"/>
                  <c:y val="0.6452380952380955"/>
                </c:manualLayout>
              </c:layout>
              <c:dLblPos val="outEnd"/>
              <c:showVal val="1"/>
            </c:dLbl>
            <c:spPr>
              <a:noFill/>
              <a:ln w="25398">
                <a:noFill/>
              </a:ln>
            </c:spPr>
            <c:txPr>
              <a:bodyPr/>
              <a:lstStyle/>
              <a:p>
                <a:pPr>
                  <a:defRPr sz="1550" b="0" i="0" u="none" strike="noStrike" baseline="0">
                    <a:solidFill>
                      <a:srgbClr val="000000"/>
                    </a:solidFill>
                    <a:latin typeface="Arial"/>
                    <a:ea typeface="Arial"/>
                    <a:cs typeface="Arial"/>
                  </a:defRPr>
                </a:pPr>
                <a:endParaRPr lang="en-US"/>
              </a:p>
            </c:txPr>
            <c:showVal val="1"/>
          </c:dLbls>
          <c:cat>
            <c:strRef>
              <c:f>Sheet1!$A$4:$A$9</c:f>
              <c:strCache>
                <c:ptCount val="6"/>
                <c:pt idx="0">
                  <c:v>Physical Injury</c:v>
                </c:pt>
                <c:pt idx="1">
                  <c:v>Emergency MH Treatment</c:v>
                </c:pt>
                <c:pt idx="2">
                  <c:v>Intervention of Law Enforcement</c:v>
                </c:pt>
                <c:pt idx="3">
                  <c:v>Prescription Medication Error</c:v>
                </c:pt>
                <c:pt idx="4">
                  <c:v>Reported to Protective Services</c:v>
                </c:pt>
                <c:pt idx="5">
                  <c:v>Death</c:v>
                </c:pt>
              </c:strCache>
            </c:strRef>
          </c:cat>
          <c:val>
            <c:numRef>
              <c:f>Sheet1!$B$4:$B$9</c:f>
              <c:numCache>
                <c:formatCode>0.0%</c:formatCode>
                <c:ptCount val="6"/>
                <c:pt idx="0">
                  <c:v>0.22</c:v>
                </c:pt>
                <c:pt idx="1">
                  <c:v>0.27300000000000002</c:v>
                </c:pt>
                <c:pt idx="2">
                  <c:v>0.34500000000000003</c:v>
                </c:pt>
                <c:pt idx="3">
                  <c:v>8.6000000000000021E-2</c:v>
                </c:pt>
                <c:pt idx="4">
                  <c:v>5.6000000000000001E-2</c:v>
                </c:pt>
                <c:pt idx="5">
                  <c:v>2.0000000000000004E-2</c:v>
                </c:pt>
              </c:numCache>
            </c:numRef>
          </c:val>
        </c:ser>
        <c:ser>
          <c:idx val="1"/>
          <c:order val="1"/>
          <c:tx>
            <c:strRef>
              <c:f>Sheet1!$C$3</c:f>
              <c:strCache>
                <c:ptCount val="1"/>
                <c:pt idx="0">
                  <c:v>2005</c:v>
                </c:pt>
              </c:strCache>
            </c:strRef>
          </c:tx>
          <c:spPr>
            <a:solidFill>
              <a:srgbClr val="993366"/>
            </a:solidFill>
            <a:ln w="12699">
              <a:solidFill>
                <a:srgbClr val="000000"/>
              </a:solidFill>
              <a:prstDash val="solid"/>
            </a:ln>
          </c:spPr>
          <c:dLbls>
            <c:dLbl>
              <c:idx val="4"/>
              <c:layout>
                <c:manualLayout>
                  <c:xMode val="edge"/>
                  <c:yMode val="edge"/>
                  <c:x val="0.74313022700119491"/>
                  <c:y val="0.58571428571428552"/>
                </c:manualLayout>
              </c:layout>
              <c:dLblPos val="outEnd"/>
              <c:showVal val="1"/>
            </c:dLbl>
            <c:dLbl>
              <c:idx val="5"/>
              <c:layout>
                <c:manualLayout>
                  <c:xMode val="edge"/>
                  <c:yMode val="edge"/>
                  <c:x val="0.87455197132616491"/>
                  <c:y val="0.6452380952380955"/>
                </c:manualLayout>
              </c:layout>
              <c:dLblPos val="outEnd"/>
              <c:showVal val="1"/>
            </c:dLbl>
            <c:spPr>
              <a:noFill/>
              <a:ln w="25398">
                <a:noFill/>
              </a:ln>
            </c:spPr>
            <c:txPr>
              <a:bodyPr/>
              <a:lstStyle/>
              <a:p>
                <a:pPr>
                  <a:defRPr sz="1550" b="0" i="0" u="none" strike="noStrike" baseline="0">
                    <a:solidFill>
                      <a:srgbClr val="000000"/>
                    </a:solidFill>
                    <a:latin typeface="Arial"/>
                    <a:ea typeface="Arial"/>
                    <a:cs typeface="Arial"/>
                  </a:defRPr>
                </a:pPr>
                <a:endParaRPr lang="en-US"/>
              </a:p>
            </c:txPr>
            <c:showVal val="1"/>
          </c:dLbls>
          <c:cat>
            <c:strRef>
              <c:f>Sheet1!$A$4:$A$9</c:f>
              <c:strCache>
                <c:ptCount val="6"/>
                <c:pt idx="0">
                  <c:v>Physical Injury</c:v>
                </c:pt>
                <c:pt idx="1">
                  <c:v>Emergency MH Treatment</c:v>
                </c:pt>
                <c:pt idx="2">
                  <c:v>Intervention of Law Enforcement</c:v>
                </c:pt>
                <c:pt idx="3">
                  <c:v>Prescription Medication Error</c:v>
                </c:pt>
                <c:pt idx="4">
                  <c:v>Reported to Protective Services</c:v>
                </c:pt>
                <c:pt idx="5">
                  <c:v>Death</c:v>
                </c:pt>
              </c:strCache>
            </c:strRef>
          </c:cat>
          <c:val>
            <c:numRef>
              <c:f>Sheet1!$C$4:$C$9</c:f>
              <c:numCache>
                <c:formatCode>0.0%</c:formatCode>
                <c:ptCount val="6"/>
                <c:pt idx="0">
                  <c:v>0.2</c:v>
                </c:pt>
                <c:pt idx="1">
                  <c:v>0.18000000000000002</c:v>
                </c:pt>
                <c:pt idx="2">
                  <c:v>0.19</c:v>
                </c:pt>
                <c:pt idx="3">
                  <c:v>0.35000000000000003</c:v>
                </c:pt>
                <c:pt idx="4">
                  <c:v>6.0000000000000005E-2</c:v>
                </c:pt>
                <c:pt idx="5">
                  <c:v>2.0000000000000004E-2</c:v>
                </c:pt>
              </c:numCache>
            </c:numRef>
          </c:val>
        </c:ser>
        <c:dLbls>
          <c:showVal val="1"/>
        </c:dLbls>
        <c:axId val="145855616"/>
        <c:axId val="145857152"/>
      </c:barChart>
      <c:catAx>
        <c:axId val="145855616"/>
        <c:scaling>
          <c:orientation val="minMax"/>
        </c:scaling>
        <c:axPos val="b"/>
        <c:numFmt formatCode="General" sourceLinked="1"/>
        <c:tickLblPos val="nextTo"/>
        <c:spPr>
          <a:ln w="3175">
            <a:solidFill>
              <a:srgbClr val="000000"/>
            </a:solidFill>
            <a:prstDash val="solid"/>
          </a:ln>
        </c:spPr>
        <c:txPr>
          <a:bodyPr rot="0" vert="horz"/>
          <a:lstStyle/>
          <a:p>
            <a:pPr>
              <a:defRPr sz="1275" b="0" i="0" u="none" strike="noStrike" baseline="0">
                <a:solidFill>
                  <a:srgbClr val="000000"/>
                </a:solidFill>
                <a:latin typeface="Arial"/>
                <a:ea typeface="Arial"/>
                <a:cs typeface="Arial"/>
              </a:defRPr>
            </a:pPr>
            <a:endParaRPr lang="en-US"/>
          </a:p>
        </c:txPr>
        <c:crossAx val="145857152"/>
        <c:crosses val="autoZero"/>
        <c:auto val="1"/>
        <c:lblAlgn val="ctr"/>
        <c:lblOffset val="100"/>
        <c:tickLblSkip val="1"/>
        <c:tickMarkSkip val="1"/>
      </c:catAx>
      <c:valAx>
        <c:axId val="145857152"/>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1450" b="0" i="0" u="none" strike="noStrike" baseline="0">
                <a:solidFill>
                  <a:srgbClr val="000000"/>
                </a:solidFill>
                <a:latin typeface="Arial"/>
                <a:ea typeface="Arial"/>
                <a:cs typeface="Arial"/>
              </a:defRPr>
            </a:pPr>
            <a:endParaRPr lang="en-US"/>
          </a:p>
        </c:txPr>
        <c:crossAx val="145855616"/>
        <c:crosses val="autoZero"/>
        <c:crossBetween val="between"/>
      </c:valAx>
      <c:spPr>
        <a:solidFill>
          <a:srgbClr val="FFFFFF"/>
        </a:solidFill>
        <a:ln w="12699">
          <a:solidFill>
            <a:srgbClr val="808080"/>
          </a:solidFill>
          <a:prstDash val="solid"/>
        </a:ln>
      </c:spPr>
    </c:plotArea>
    <c:legend>
      <c:legendPos val="r"/>
      <c:layout>
        <c:manualLayout>
          <c:xMode val="edge"/>
          <c:yMode val="edge"/>
          <c:x val="0.95101553166069308"/>
          <c:y val="0.57857142857142863"/>
          <c:w val="4.8984468339307051E-2"/>
          <c:h val="9.5238095238095247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68909512761019"/>
          <c:y val="8.7155963302752312E-2"/>
          <c:w val="0.77494199535962893"/>
          <c:h val="0.59174311926605494"/>
        </c:manualLayout>
      </c:layout>
      <c:barChart>
        <c:barDir val="col"/>
        <c:grouping val="clustered"/>
        <c:ser>
          <c:idx val="0"/>
          <c:order val="0"/>
          <c:tx>
            <c:strRef>
              <c:f>Sheet1!$B$11</c:f>
              <c:strCache>
                <c:ptCount val="1"/>
                <c:pt idx="0">
                  <c:v>2006</c:v>
                </c:pt>
              </c:strCache>
            </c:strRef>
          </c:tx>
          <c:spPr>
            <a:solidFill>
              <a:srgbClr val="FFFF99"/>
            </a:solidFill>
            <a:ln w="12696">
              <a:solidFill>
                <a:srgbClr val="000000"/>
              </a:solidFill>
              <a:prstDash val="solid"/>
            </a:ln>
          </c:spPr>
          <c:dLbls>
            <c:dLbl>
              <c:idx val="0"/>
              <c:layout>
                <c:manualLayout>
                  <c:xMode val="edge"/>
                  <c:yMode val="edge"/>
                  <c:x val="0.14617169373549888"/>
                  <c:y val="0.49082568807339455"/>
                </c:manualLayout>
              </c:layout>
              <c:dLblPos val="outEnd"/>
              <c:showVal val="1"/>
            </c:dLbl>
            <c:dLbl>
              <c:idx val="1"/>
              <c:layout>
                <c:manualLayout>
                  <c:xMode val="edge"/>
                  <c:yMode val="edge"/>
                  <c:x val="0.33642691415313236"/>
                  <c:y val="6.4220183486238536E-2"/>
                </c:manualLayout>
              </c:layout>
              <c:dLblPos val="outEnd"/>
              <c:showVal val="1"/>
            </c:dLbl>
            <c:dLbl>
              <c:idx val="2"/>
              <c:layout>
                <c:manualLayout>
                  <c:xMode val="edge"/>
                  <c:yMode val="edge"/>
                  <c:x val="0.53132250580046381"/>
                  <c:y val="0.23853211009174316"/>
                </c:manualLayout>
              </c:layout>
              <c:dLblPos val="outEnd"/>
              <c:showVal val="1"/>
            </c:dLbl>
            <c:dLbl>
              <c:idx val="3"/>
              <c:layout>
                <c:manualLayout>
                  <c:xMode val="edge"/>
                  <c:yMode val="edge"/>
                  <c:x val="0.71693735498839917"/>
                  <c:y val="0.55045871559633031"/>
                </c:manualLayout>
              </c:layout>
              <c:dLblPos val="outEnd"/>
              <c:showVal val="1"/>
            </c:dLbl>
            <c:spPr>
              <a:noFill/>
              <a:ln w="25391">
                <a:noFill/>
              </a:ln>
            </c:spPr>
            <c:txPr>
              <a:bodyPr/>
              <a:lstStyle/>
              <a:p>
                <a:pPr>
                  <a:defRPr sz="875" b="0" i="0" u="none" strike="noStrike" baseline="0">
                    <a:solidFill>
                      <a:srgbClr val="000000"/>
                    </a:solidFill>
                    <a:latin typeface="Arial"/>
                    <a:ea typeface="Arial"/>
                    <a:cs typeface="Arial"/>
                  </a:defRPr>
                </a:pPr>
                <a:endParaRPr lang="en-US"/>
              </a:p>
            </c:txPr>
            <c:showVal val="1"/>
          </c:dLbls>
          <c:cat>
            <c:strRef>
              <c:f>Sheet1!$A$12:$A$15</c:f>
              <c:strCache>
                <c:ptCount val="4"/>
                <c:pt idx="0">
                  <c:v>Resolved by Direct Staff</c:v>
                </c:pt>
                <c:pt idx="1">
                  <c:v>Professional Intervention Required (Dr, Law Enforcemenet, MH)</c:v>
                </c:pt>
                <c:pt idx="2">
                  <c:v>Treatment Necessary (Jail, Hospital, MH Commitment)</c:v>
                </c:pt>
                <c:pt idx="3">
                  <c:v>Results in Death</c:v>
                </c:pt>
              </c:strCache>
            </c:strRef>
          </c:cat>
          <c:val>
            <c:numRef>
              <c:f>Sheet1!$B$12:$B$15</c:f>
              <c:numCache>
                <c:formatCode>0.0%</c:formatCode>
                <c:ptCount val="4"/>
                <c:pt idx="0">
                  <c:v>4.9000000000000009E-2</c:v>
                </c:pt>
                <c:pt idx="1">
                  <c:v>0.58399999999999996</c:v>
                </c:pt>
                <c:pt idx="2">
                  <c:v>0.34600000000000003</c:v>
                </c:pt>
                <c:pt idx="3">
                  <c:v>2.1000000000000005E-2</c:v>
                </c:pt>
              </c:numCache>
            </c:numRef>
          </c:val>
        </c:ser>
        <c:ser>
          <c:idx val="1"/>
          <c:order val="1"/>
          <c:tx>
            <c:strRef>
              <c:f>Sheet1!$C$11</c:f>
              <c:strCache>
                <c:ptCount val="1"/>
                <c:pt idx="0">
                  <c:v>2005</c:v>
                </c:pt>
              </c:strCache>
            </c:strRef>
          </c:tx>
          <c:spPr>
            <a:solidFill>
              <a:srgbClr val="FFCC00"/>
            </a:solidFill>
            <a:ln w="12696">
              <a:solidFill>
                <a:srgbClr val="000000"/>
              </a:solidFill>
              <a:prstDash val="solid"/>
            </a:ln>
          </c:spPr>
          <c:dLbls>
            <c:spPr>
              <a:noFill/>
              <a:ln w="25391">
                <a:noFill/>
              </a:ln>
            </c:spPr>
            <c:txPr>
              <a:bodyPr/>
              <a:lstStyle/>
              <a:p>
                <a:pPr>
                  <a:defRPr sz="875" b="0" i="0" u="none" strike="noStrike" baseline="0">
                    <a:solidFill>
                      <a:srgbClr val="000000"/>
                    </a:solidFill>
                    <a:latin typeface="Arial"/>
                    <a:ea typeface="Arial"/>
                    <a:cs typeface="Arial"/>
                  </a:defRPr>
                </a:pPr>
                <a:endParaRPr lang="en-US"/>
              </a:p>
            </c:txPr>
            <c:showVal val="1"/>
          </c:dLbls>
          <c:cat>
            <c:strRef>
              <c:f>Sheet1!$A$12:$A$15</c:f>
              <c:strCache>
                <c:ptCount val="4"/>
                <c:pt idx="0">
                  <c:v>Resolved by Direct Staff</c:v>
                </c:pt>
                <c:pt idx="1">
                  <c:v>Professional Intervention Required (Dr, Law Enforcemenet, MH)</c:v>
                </c:pt>
                <c:pt idx="2">
                  <c:v>Treatment Necessary (Jail, Hospital, MH Commitment)</c:v>
                </c:pt>
                <c:pt idx="3">
                  <c:v>Results in Death</c:v>
                </c:pt>
              </c:strCache>
            </c:strRef>
          </c:cat>
          <c:val>
            <c:numRef>
              <c:f>Sheet1!$C$12:$C$15</c:f>
              <c:numCache>
                <c:formatCode>0.0%</c:formatCode>
                <c:ptCount val="4"/>
                <c:pt idx="0">
                  <c:v>0.26</c:v>
                </c:pt>
                <c:pt idx="1">
                  <c:v>0.48000000000000004</c:v>
                </c:pt>
                <c:pt idx="2">
                  <c:v>0.24000000000000002</c:v>
                </c:pt>
                <c:pt idx="3">
                  <c:v>2.0000000000000004E-2</c:v>
                </c:pt>
              </c:numCache>
            </c:numRef>
          </c:val>
        </c:ser>
        <c:dLbls>
          <c:showVal val="1"/>
        </c:dLbls>
        <c:axId val="124766848"/>
        <c:axId val="145830272"/>
      </c:barChart>
      <c:catAx>
        <c:axId val="124766848"/>
        <c:scaling>
          <c:orientation val="minMax"/>
        </c:scaling>
        <c:axPos val="b"/>
        <c:numFmt formatCode="General" sourceLinked="1"/>
        <c:tickLblPos val="nextTo"/>
        <c:spPr>
          <a:ln w="317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45830272"/>
        <c:crosses val="autoZero"/>
        <c:auto val="1"/>
        <c:lblAlgn val="ctr"/>
        <c:lblOffset val="100"/>
        <c:tickLblSkip val="1"/>
        <c:tickMarkSkip val="1"/>
      </c:catAx>
      <c:valAx>
        <c:axId val="145830272"/>
        <c:scaling>
          <c:orientation val="minMax"/>
        </c:scaling>
        <c:axPos val="l"/>
        <c:majorGridlines>
          <c:spPr>
            <a:ln w="3174">
              <a:solidFill>
                <a:srgbClr val="000000"/>
              </a:solidFill>
              <a:prstDash val="solid"/>
            </a:ln>
          </c:spPr>
        </c:majorGridlines>
        <c:numFmt formatCode="0.0%" sourceLinked="1"/>
        <c:tickLblPos val="nextTo"/>
        <c:spPr>
          <a:ln w="3174">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24766848"/>
        <c:crosses val="autoZero"/>
        <c:crossBetween val="between"/>
      </c:valAx>
      <c:spPr>
        <a:solidFill>
          <a:srgbClr val="FFFFFF"/>
        </a:solidFill>
        <a:ln w="12696">
          <a:solidFill>
            <a:srgbClr val="808080"/>
          </a:solidFill>
          <a:prstDash val="solid"/>
        </a:ln>
      </c:spPr>
    </c:plotArea>
    <c:legend>
      <c:legendPos val="r"/>
      <c:layout>
        <c:manualLayout>
          <c:xMode val="edge"/>
          <c:yMode val="edge"/>
          <c:x val="0.89791183294663568"/>
          <c:y val="0.31651376146789001"/>
          <c:w val="0.10208816705336424"/>
          <c:h val="0.18348623853211019"/>
        </c:manualLayout>
      </c:layout>
      <c:spPr>
        <a:solidFill>
          <a:srgbClr val="FFFFFF"/>
        </a:solidFill>
        <a:ln w="3174">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289156626506026"/>
          <c:y val="0.1"/>
          <c:w val="0.72289156626506035"/>
          <c:h val="0.68"/>
        </c:manualLayout>
      </c:layout>
      <c:barChart>
        <c:barDir val="col"/>
        <c:grouping val="clustered"/>
        <c:ser>
          <c:idx val="0"/>
          <c:order val="0"/>
          <c:tx>
            <c:strRef>
              <c:f>Sheet1!$B$18</c:f>
              <c:strCache>
                <c:ptCount val="1"/>
                <c:pt idx="0">
                  <c:v>2006</c:v>
                </c:pt>
              </c:strCache>
            </c:strRef>
          </c:tx>
          <c:spPr>
            <a:solidFill>
              <a:srgbClr val="99CC00"/>
            </a:solidFill>
            <a:ln w="12691">
              <a:solidFill>
                <a:srgbClr val="000000"/>
              </a:solidFill>
              <a:prstDash val="solid"/>
            </a:ln>
          </c:spPr>
          <c:dLbls>
            <c:dLbl>
              <c:idx val="0"/>
              <c:layout>
                <c:manualLayout>
                  <c:xMode val="edge"/>
                  <c:yMode val="edge"/>
                  <c:x val="0.13734939759036149"/>
                  <c:y val="0.57500000000000007"/>
                </c:manualLayout>
              </c:layout>
              <c:dLblPos val="outEnd"/>
              <c:showVal val="1"/>
            </c:dLbl>
            <c:dLbl>
              <c:idx val="1"/>
              <c:layout>
                <c:manualLayout>
                  <c:xMode val="edge"/>
                  <c:yMode val="edge"/>
                  <c:x val="0.22650602409638554"/>
                  <c:y val="0.65000000000000013"/>
                </c:manualLayout>
              </c:layout>
              <c:dLblPos val="outEnd"/>
              <c:showVal val="1"/>
            </c:dLbl>
            <c:dLbl>
              <c:idx val="2"/>
              <c:layout>
                <c:manualLayout>
                  <c:xMode val="edge"/>
                  <c:yMode val="edge"/>
                  <c:x val="0.33012048192771093"/>
                  <c:y val="0.64000000000000012"/>
                </c:manualLayout>
              </c:layout>
              <c:dLblPos val="outEnd"/>
              <c:showVal val="1"/>
            </c:dLbl>
            <c:dLbl>
              <c:idx val="5"/>
              <c:layout>
                <c:manualLayout>
                  <c:xMode val="edge"/>
                  <c:yMode val="edge"/>
                  <c:x val="0.59277108433734937"/>
                  <c:y val="0.30000000000000004"/>
                </c:manualLayout>
              </c:layout>
              <c:dLblPos val="outEnd"/>
              <c:showVal val="1"/>
            </c:dLbl>
            <c:dLbl>
              <c:idx val="6"/>
              <c:layout>
                <c:manualLayout>
                  <c:xMode val="edge"/>
                  <c:yMode val="edge"/>
                  <c:x val="0.73975903614457872"/>
                  <c:y val="0.49500000000000005"/>
                </c:manualLayout>
              </c:layout>
              <c:dLblPos val="outEnd"/>
              <c:showVal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Sheet1!$A$19:$A$25</c:f>
              <c:strCache>
                <c:ptCount val="7"/>
                <c:pt idx="0">
                  <c:v>BI Children</c:v>
                </c:pt>
                <c:pt idx="1">
                  <c:v>BI Adults</c:v>
                </c:pt>
                <c:pt idx="2">
                  <c:v>MR Children</c:v>
                </c:pt>
                <c:pt idx="3">
                  <c:v>MR Adults</c:v>
                </c:pt>
                <c:pt idx="4">
                  <c:v>DD Adults</c:v>
                </c:pt>
                <c:pt idx="5">
                  <c:v>CMI Adults</c:v>
                </c:pt>
                <c:pt idx="6">
                  <c:v>SED Children</c:v>
                </c:pt>
              </c:strCache>
            </c:strRef>
          </c:cat>
          <c:val>
            <c:numRef>
              <c:f>Sheet1!$B$19:$B$25</c:f>
              <c:numCache>
                <c:formatCode>0.0%</c:formatCode>
                <c:ptCount val="7"/>
                <c:pt idx="0">
                  <c:v>2.0000000000000005E-3</c:v>
                </c:pt>
                <c:pt idx="1">
                  <c:v>2.4E-2</c:v>
                </c:pt>
                <c:pt idx="2">
                  <c:v>3.5999999999999997E-2</c:v>
                </c:pt>
                <c:pt idx="3">
                  <c:v>0.45300000000000001</c:v>
                </c:pt>
                <c:pt idx="4">
                  <c:v>1.4999999999999998E-2</c:v>
                </c:pt>
                <c:pt idx="5">
                  <c:v>0.33600000000000008</c:v>
                </c:pt>
                <c:pt idx="6">
                  <c:v>0.13400000000000001</c:v>
                </c:pt>
              </c:numCache>
            </c:numRef>
          </c:val>
        </c:ser>
        <c:ser>
          <c:idx val="1"/>
          <c:order val="1"/>
          <c:tx>
            <c:strRef>
              <c:f>Sheet1!$C$18</c:f>
              <c:strCache>
                <c:ptCount val="1"/>
                <c:pt idx="0">
                  <c:v>2005</c:v>
                </c:pt>
              </c:strCache>
            </c:strRef>
          </c:tx>
          <c:spPr>
            <a:solidFill>
              <a:srgbClr val="CCFFCC"/>
            </a:solidFill>
            <a:ln w="12691">
              <a:solidFill>
                <a:srgbClr val="000000"/>
              </a:solidFill>
              <a:prstDash val="solid"/>
            </a:ln>
          </c:spPr>
          <c:dLbls>
            <c:dLbl>
              <c:idx val="0"/>
              <c:layout>
                <c:manualLayout>
                  <c:xMode val="edge"/>
                  <c:yMode val="edge"/>
                  <c:x val="0.16626506024096388"/>
                  <c:y val="0.69499999999999995"/>
                </c:manualLayout>
              </c:layout>
              <c:dLblPos val="outEnd"/>
              <c:showVal val="1"/>
            </c:dLbl>
            <c:dLbl>
              <c:idx val="1"/>
              <c:layout>
                <c:manualLayout>
                  <c:xMode val="edge"/>
                  <c:yMode val="edge"/>
                  <c:x val="0.27710843373493982"/>
                  <c:y val="0.58000000000000007"/>
                </c:manualLayout>
              </c:layout>
              <c:dLblPos val="outEnd"/>
              <c:showVal val="1"/>
            </c:dLbl>
            <c:dLbl>
              <c:idx val="2"/>
              <c:layout>
                <c:manualLayout>
                  <c:xMode val="edge"/>
                  <c:yMode val="edge"/>
                  <c:x val="0.37590361445783138"/>
                  <c:y val="0.59499999999999997"/>
                </c:manualLayout>
              </c:layout>
              <c:dLblPos val="outEnd"/>
              <c:showVal val="1"/>
            </c:dLbl>
            <c:dLbl>
              <c:idx val="4"/>
              <c:layout>
                <c:manualLayout>
                  <c:xMode val="edge"/>
                  <c:yMode val="edge"/>
                  <c:x val="0.57349397590361451"/>
                  <c:y val="0.59"/>
                </c:manualLayout>
              </c:layout>
              <c:dLblPos val="outEnd"/>
              <c:showVal val="1"/>
            </c:dLbl>
            <c:spPr>
              <a:noFill/>
              <a:ln w="25381">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Sheet1!$A$19:$A$25</c:f>
              <c:strCache>
                <c:ptCount val="7"/>
                <c:pt idx="0">
                  <c:v>BI Children</c:v>
                </c:pt>
                <c:pt idx="1">
                  <c:v>BI Adults</c:v>
                </c:pt>
                <c:pt idx="2">
                  <c:v>MR Children</c:v>
                </c:pt>
                <c:pt idx="3">
                  <c:v>MR Adults</c:v>
                </c:pt>
                <c:pt idx="4">
                  <c:v>DD Adults</c:v>
                </c:pt>
                <c:pt idx="5">
                  <c:v>CMI Adults</c:v>
                </c:pt>
                <c:pt idx="6">
                  <c:v>SED Children</c:v>
                </c:pt>
              </c:strCache>
            </c:strRef>
          </c:cat>
          <c:val>
            <c:numRef>
              <c:f>Sheet1!$C$19:$C$25</c:f>
              <c:numCache>
                <c:formatCode>0.0%</c:formatCode>
                <c:ptCount val="7"/>
                <c:pt idx="0">
                  <c:v>0</c:v>
                </c:pt>
                <c:pt idx="1">
                  <c:v>3.0000000000000002E-2</c:v>
                </c:pt>
                <c:pt idx="2">
                  <c:v>4.0000000000000008E-2</c:v>
                </c:pt>
                <c:pt idx="3">
                  <c:v>0.53</c:v>
                </c:pt>
                <c:pt idx="4">
                  <c:v>3.0000000000000002E-2</c:v>
                </c:pt>
                <c:pt idx="5">
                  <c:v>0.37000000000000005</c:v>
                </c:pt>
              </c:numCache>
            </c:numRef>
          </c:val>
        </c:ser>
        <c:dLbls>
          <c:showVal val="1"/>
        </c:dLbls>
        <c:axId val="124731776"/>
        <c:axId val="124733312"/>
      </c:barChart>
      <c:catAx>
        <c:axId val="124731776"/>
        <c:scaling>
          <c:orientation val="minMax"/>
        </c:scaling>
        <c:axPos val="b"/>
        <c:numFmt formatCode="General" sourceLinked="1"/>
        <c:tickLblPos val="nextTo"/>
        <c:spPr>
          <a:ln w="3173">
            <a:solidFill>
              <a:srgbClr val="000000"/>
            </a:solidFill>
            <a:prstDash val="solid"/>
          </a:ln>
        </c:spPr>
        <c:txPr>
          <a:bodyPr rot="0" vert="horz"/>
          <a:lstStyle/>
          <a:p>
            <a:pPr>
              <a:defRPr sz="674" b="0" i="0" u="none" strike="noStrike" baseline="0">
                <a:solidFill>
                  <a:srgbClr val="000000"/>
                </a:solidFill>
                <a:latin typeface="Arial"/>
                <a:ea typeface="Arial"/>
                <a:cs typeface="Arial"/>
              </a:defRPr>
            </a:pPr>
            <a:endParaRPr lang="en-US"/>
          </a:p>
        </c:txPr>
        <c:crossAx val="124733312"/>
        <c:crosses val="autoZero"/>
        <c:auto val="1"/>
        <c:lblAlgn val="ctr"/>
        <c:lblOffset val="100"/>
        <c:tickLblSkip val="1"/>
        <c:tickMarkSkip val="1"/>
      </c:catAx>
      <c:valAx>
        <c:axId val="124733312"/>
        <c:scaling>
          <c:orientation val="minMax"/>
        </c:scaling>
        <c:axPos val="l"/>
        <c:majorGridlines>
          <c:spPr>
            <a:ln w="3173">
              <a:solidFill>
                <a:srgbClr val="000000"/>
              </a:solidFill>
              <a:prstDash val="solid"/>
            </a:ln>
          </c:spPr>
        </c:majorGridlines>
        <c:numFmt formatCode="0.0%"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24731776"/>
        <c:crosses val="autoZero"/>
        <c:crossBetween val="between"/>
      </c:valAx>
      <c:spPr>
        <a:noFill/>
        <a:ln w="12691">
          <a:solidFill>
            <a:srgbClr val="808080"/>
          </a:solidFill>
          <a:prstDash val="solid"/>
        </a:ln>
      </c:spPr>
    </c:plotArea>
    <c:legend>
      <c:legendPos val="r"/>
      <c:layout>
        <c:manualLayout>
          <c:xMode val="edge"/>
          <c:yMode val="edge"/>
          <c:x val="0.8722891566265063"/>
          <c:y val="0.26"/>
          <c:w val="0.127710843373494"/>
          <c:h val="0.21000000000000002"/>
        </c:manualLayout>
      </c:layout>
      <c:spPr>
        <a:solidFill>
          <a:srgbClr val="FFFFFF"/>
        </a:solidFill>
        <a:ln w="3173">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301" b="0" i="0" u="none" strike="noStrike" baseline="0">
                <a:solidFill>
                  <a:srgbClr val="000000"/>
                </a:solidFill>
                <a:latin typeface="Arial"/>
                <a:ea typeface="Arial"/>
                <a:cs typeface="Arial"/>
              </a:defRPr>
            </a:pPr>
            <a:r>
              <a:t>Figure1. Frequency distribution of MR/BI Child Outcomes vs. total  number of children MR/BI Children</a:t>
            </a:r>
          </a:p>
        </c:rich>
      </c:tx>
      <c:layout>
        <c:manualLayout>
          <c:xMode val="edge"/>
          <c:yMode val="edge"/>
          <c:x val="0.13114754098360654"/>
          <c:y val="1.8808777429467093E-2"/>
        </c:manualLayout>
      </c:layout>
      <c:spPr>
        <a:noFill/>
        <a:ln w="9277">
          <a:noFill/>
        </a:ln>
      </c:spPr>
    </c:title>
    <c:plotArea>
      <c:layout>
        <c:manualLayout>
          <c:layoutTarget val="inner"/>
          <c:xMode val="edge"/>
          <c:yMode val="edge"/>
          <c:x val="0.1475409836065574"/>
          <c:y val="0.21630094043887146"/>
          <c:w val="0.82903981264637039"/>
          <c:h val="0.57366771159874619"/>
        </c:manualLayout>
      </c:layout>
      <c:barChart>
        <c:barDir val="col"/>
        <c:grouping val="clustered"/>
        <c:ser>
          <c:idx val="0"/>
          <c:order val="0"/>
          <c:tx>
            <c:strRef>
              <c:f>Sheet1!$B$26</c:f>
              <c:strCache>
                <c:ptCount val="1"/>
                <c:pt idx="0">
                  <c:v>MR / BI</c:v>
                </c:pt>
              </c:strCache>
            </c:strRef>
          </c:tx>
          <c:spPr>
            <a:solidFill>
              <a:srgbClr val="9999FF"/>
            </a:solidFill>
            <a:ln w="4638">
              <a:solidFill>
                <a:srgbClr val="000000"/>
              </a:solidFill>
              <a:prstDash val="solid"/>
            </a:ln>
          </c:spPr>
          <c:dLbls>
            <c:spPr>
              <a:noFill/>
              <a:ln w="9277">
                <a:noFill/>
              </a:ln>
            </c:spPr>
            <c:txPr>
              <a:bodyPr/>
              <a:lstStyle/>
              <a:p>
                <a:pPr>
                  <a:defRPr sz="347" b="0" i="0" u="none" strike="noStrike" baseline="0">
                    <a:solidFill>
                      <a:srgbClr val="000000"/>
                    </a:solidFill>
                    <a:latin typeface="Arial"/>
                    <a:ea typeface="Arial"/>
                    <a:cs typeface="Arial"/>
                  </a:defRPr>
                </a:pPr>
                <a:endParaRPr lang="en-US"/>
              </a:p>
            </c:txPr>
            <c:showVal val="1"/>
          </c:dLbls>
          <c:cat>
            <c:strRef>
              <c:f>Sheet1!$A$27:$A$30</c:f>
              <c:strCache>
                <c:ptCount val="4"/>
                <c:pt idx="0">
                  <c:v>Physical Injury</c:v>
                </c:pt>
                <c:pt idx="1">
                  <c:v>Intervention of Law Enforcement</c:v>
                </c:pt>
                <c:pt idx="2">
                  <c:v>Reported to Protective Services</c:v>
                </c:pt>
                <c:pt idx="3">
                  <c:v>Death</c:v>
                </c:pt>
              </c:strCache>
            </c:strRef>
          </c:cat>
          <c:val>
            <c:numRef>
              <c:f>Sheet1!$B$27:$B$30</c:f>
              <c:numCache>
                <c:formatCode>0.00%</c:formatCode>
                <c:ptCount val="4"/>
                <c:pt idx="0">
                  <c:v>1.4945652173913044E-2</c:v>
                </c:pt>
                <c:pt idx="1">
                  <c:v>9.5108695652173954E-3</c:v>
                </c:pt>
                <c:pt idx="2">
                  <c:v>2.8532608695652172E-2</c:v>
                </c:pt>
                <c:pt idx="3">
                  <c:v>4.076086956521739E-3</c:v>
                </c:pt>
              </c:numCache>
            </c:numRef>
          </c:val>
        </c:ser>
        <c:dLbls>
          <c:showVal val="1"/>
        </c:dLbls>
        <c:axId val="103057280"/>
        <c:axId val="103058816"/>
      </c:barChart>
      <c:catAx>
        <c:axId val="103057280"/>
        <c:scaling>
          <c:orientation val="minMax"/>
        </c:scaling>
        <c:axPos val="b"/>
        <c:numFmt formatCode="General" sourceLinked="1"/>
        <c:tickLblPos val="nextTo"/>
        <c:spPr>
          <a:ln w="1160">
            <a:solidFill>
              <a:srgbClr val="000000"/>
            </a:solidFill>
            <a:prstDash val="solid"/>
          </a:ln>
        </c:spPr>
        <c:txPr>
          <a:bodyPr rot="0" vert="horz"/>
          <a:lstStyle/>
          <a:p>
            <a:pPr>
              <a:defRPr sz="301" b="0" i="0" u="none" strike="noStrike" baseline="0">
                <a:solidFill>
                  <a:srgbClr val="000000"/>
                </a:solidFill>
                <a:latin typeface="Arial"/>
                <a:ea typeface="Arial"/>
                <a:cs typeface="Arial"/>
              </a:defRPr>
            </a:pPr>
            <a:endParaRPr lang="en-US"/>
          </a:p>
        </c:txPr>
        <c:crossAx val="103058816"/>
        <c:crosses val="autoZero"/>
        <c:auto val="1"/>
        <c:lblAlgn val="ctr"/>
        <c:lblOffset val="100"/>
        <c:tickLblSkip val="1"/>
        <c:tickMarkSkip val="1"/>
      </c:catAx>
      <c:valAx>
        <c:axId val="103058816"/>
        <c:scaling>
          <c:orientation val="minMax"/>
          <c:max val="1"/>
        </c:scaling>
        <c:axPos val="l"/>
        <c:majorGridlines>
          <c:spPr>
            <a:ln w="1160">
              <a:solidFill>
                <a:srgbClr val="000000"/>
              </a:solidFill>
              <a:prstDash val="solid"/>
            </a:ln>
          </c:spPr>
        </c:majorGridlines>
        <c:numFmt formatCode="0.00%" sourceLinked="1"/>
        <c:tickLblPos val="nextTo"/>
        <c:spPr>
          <a:ln w="1160">
            <a:solidFill>
              <a:srgbClr val="000000"/>
            </a:solidFill>
            <a:prstDash val="solid"/>
          </a:ln>
        </c:spPr>
        <c:txPr>
          <a:bodyPr rot="0" vert="horz"/>
          <a:lstStyle/>
          <a:p>
            <a:pPr>
              <a:defRPr sz="301" b="0" i="0" u="none" strike="noStrike" baseline="0">
                <a:solidFill>
                  <a:srgbClr val="000000"/>
                </a:solidFill>
                <a:latin typeface="Arial"/>
                <a:ea typeface="Arial"/>
                <a:cs typeface="Arial"/>
              </a:defRPr>
            </a:pPr>
            <a:endParaRPr lang="en-US"/>
          </a:p>
        </c:txPr>
        <c:crossAx val="103057280"/>
        <c:crosses val="autoZero"/>
        <c:crossBetween val="between"/>
      </c:valAx>
      <c:spPr>
        <a:solidFill>
          <a:srgbClr val="C0C0C0"/>
        </a:solidFill>
        <a:ln w="4638">
          <a:solidFill>
            <a:srgbClr val="808080"/>
          </a:solidFill>
          <a:prstDash val="solid"/>
        </a:ln>
      </c:spPr>
    </c:plotArea>
    <c:plotVisOnly val="1"/>
    <c:dispBlanksAs val="gap"/>
  </c:chart>
  <c:spPr>
    <a:noFill/>
    <a:ln>
      <a:noFill/>
    </a:ln>
  </c:spPr>
  <c:txPr>
    <a:bodyPr/>
    <a:lstStyle/>
    <a:p>
      <a:pPr>
        <a:defRPr sz="173"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301" b="0" i="0" u="none" strike="noStrike" baseline="0">
                <a:solidFill>
                  <a:srgbClr val="000000"/>
                </a:solidFill>
                <a:latin typeface="Arial"/>
                <a:ea typeface="Arial"/>
                <a:cs typeface="Arial"/>
              </a:defRPr>
            </a:pPr>
            <a:r>
              <a:t>Figure2. Frequency distribution of SED Child Outcomes vs. total  number of children SED Children</a:t>
            </a:r>
          </a:p>
        </c:rich>
      </c:tx>
      <c:layout>
        <c:manualLayout>
          <c:xMode val="edge"/>
          <c:yMode val="edge"/>
          <c:x val="0.13817330210772835"/>
          <c:y val="1.8808777429467093E-2"/>
        </c:manualLayout>
      </c:layout>
      <c:spPr>
        <a:noFill/>
        <a:ln w="9277">
          <a:noFill/>
        </a:ln>
      </c:spPr>
    </c:title>
    <c:plotArea>
      <c:layout>
        <c:manualLayout>
          <c:layoutTarget val="inner"/>
          <c:xMode val="edge"/>
          <c:yMode val="edge"/>
          <c:x val="0.13348946135831385"/>
          <c:y val="0.21630094043887146"/>
          <c:w val="0.84309133489461363"/>
          <c:h val="0.57366771159874619"/>
        </c:manualLayout>
      </c:layout>
      <c:barChart>
        <c:barDir val="col"/>
        <c:grouping val="clustered"/>
        <c:ser>
          <c:idx val="0"/>
          <c:order val="0"/>
          <c:tx>
            <c:strRef>
              <c:f>Sheet1!$B$33</c:f>
              <c:strCache>
                <c:ptCount val="1"/>
                <c:pt idx="0">
                  <c:v>SED</c:v>
                </c:pt>
              </c:strCache>
            </c:strRef>
          </c:tx>
          <c:spPr>
            <a:solidFill>
              <a:srgbClr val="FF99CC"/>
            </a:solidFill>
            <a:ln w="4638">
              <a:solidFill>
                <a:srgbClr val="000000"/>
              </a:solidFill>
              <a:prstDash val="solid"/>
            </a:ln>
          </c:spPr>
          <c:dLbls>
            <c:spPr>
              <a:noFill/>
              <a:ln w="9277">
                <a:noFill/>
              </a:ln>
            </c:spPr>
            <c:txPr>
              <a:bodyPr/>
              <a:lstStyle/>
              <a:p>
                <a:pPr>
                  <a:defRPr sz="347" b="0" i="0" u="none" strike="noStrike" baseline="0">
                    <a:solidFill>
                      <a:srgbClr val="000000"/>
                    </a:solidFill>
                    <a:latin typeface="Arial"/>
                    <a:ea typeface="Arial"/>
                    <a:cs typeface="Arial"/>
                  </a:defRPr>
                </a:pPr>
                <a:endParaRPr lang="en-US"/>
              </a:p>
            </c:txPr>
            <c:showVal val="1"/>
          </c:dLbls>
          <c:cat>
            <c:strRef>
              <c:f>Sheet1!$A$34:$A$37</c:f>
              <c:strCache>
                <c:ptCount val="4"/>
                <c:pt idx="0">
                  <c:v>Physical Injury</c:v>
                </c:pt>
                <c:pt idx="1">
                  <c:v>Emergency MH Treatment</c:v>
                </c:pt>
                <c:pt idx="2">
                  <c:v>Intervention of Law Enforcement</c:v>
                </c:pt>
                <c:pt idx="3">
                  <c:v>Reported to Protective Services</c:v>
                </c:pt>
              </c:strCache>
            </c:strRef>
          </c:cat>
          <c:val>
            <c:numRef>
              <c:f>Sheet1!$B$34:$B$37</c:f>
              <c:numCache>
                <c:formatCode>0.0%</c:formatCode>
                <c:ptCount val="4"/>
                <c:pt idx="0">
                  <c:v>4.2735042735042736E-2</c:v>
                </c:pt>
                <c:pt idx="1">
                  <c:v>0.10683760683760683</c:v>
                </c:pt>
                <c:pt idx="2">
                  <c:v>0.22649572649572652</c:v>
                </c:pt>
                <c:pt idx="3">
                  <c:v>0.19658119658119663</c:v>
                </c:pt>
              </c:numCache>
            </c:numRef>
          </c:val>
        </c:ser>
        <c:dLbls>
          <c:showVal val="1"/>
        </c:dLbls>
        <c:axId val="91640576"/>
        <c:axId val="91642112"/>
      </c:barChart>
      <c:catAx>
        <c:axId val="91640576"/>
        <c:scaling>
          <c:orientation val="minMax"/>
        </c:scaling>
        <c:axPos val="b"/>
        <c:numFmt formatCode="General" sourceLinked="1"/>
        <c:tickLblPos val="nextTo"/>
        <c:spPr>
          <a:ln w="1160">
            <a:solidFill>
              <a:srgbClr val="000000"/>
            </a:solidFill>
            <a:prstDash val="solid"/>
          </a:ln>
        </c:spPr>
        <c:txPr>
          <a:bodyPr rot="0" vert="horz"/>
          <a:lstStyle/>
          <a:p>
            <a:pPr>
              <a:defRPr sz="301" b="0" i="0" u="none" strike="noStrike" baseline="0">
                <a:solidFill>
                  <a:srgbClr val="000000"/>
                </a:solidFill>
                <a:latin typeface="Arial"/>
                <a:ea typeface="Arial"/>
                <a:cs typeface="Arial"/>
              </a:defRPr>
            </a:pPr>
            <a:endParaRPr lang="en-US"/>
          </a:p>
        </c:txPr>
        <c:crossAx val="91642112"/>
        <c:crosses val="autoZero"/>
        <c:auto val="1"/>
        <c:lblAlgn val="ctr"/>
        <c:lblOffset val="100"/>
        <c:tickLblSkip val="1"/>
        <c:tickMarkSkip val="1"/>
      </c:catAx>
      <c:valAx>
        <c:axId val="91642112"/>
        <c:scaling>
          <c:orientation val="minMax"/>
          <c:max val="1"/>
        </c:scaling>
        <c:axPos val="l"/>
        <c:majorGridlines>
          <c:spPr>
            <a:ln w="1160">
              <a:solidFill>
                <a:srgbClr val="000000"/>
              </a:solidFill>
              <a:prstDash val="solid"/>
            </a:ln>
          </c:spPr>
        </c:majorGridlines>
        <c:numFmt formatCode="0.0%" sourceLinked="1"/>
        <c:tickLblPos val="nextTo"/>
        <c:spPr>
          <a:ln w="1160">
            <a:solidFill>
              <a:srgbClr val="000000"/>
            </a:solidFill>
            <a:prstDash val="solid"/>
          </a:ln>
        </c:spPr>
        <c:txPr>
          <a:bodyPr rot="0" vert="horz"/>
          <a:lstStyle/>
          <a:p>
            <a:pPr>
              <a:defRPr sz="301" b="0" i="0" u="none" strike="noStrike" baseline="0">
                <a:solidFill>
                  <a:srgbClr val="000000"/>
                </a:solidFill>
                <a:latin typeface="Arial"/>
                <a:ea typeface="Arial"/>
                <a:cs typeface="Arial"/>
              </a:defRPr>
            </a:pPr>
            <a:endParaRPr lang="en-US"/>
          </a:p>
        </c:txPr>
        <c:crossAx val="91640576"/>
        <c:crosses val="autoZero"/>
        <c:crossBetween val="between"/>
      </c:valAx>
      <c:spPr>
        <a:solidFill>
          <a:srgbClr val="C0C0C0"/>
        </a:solidFill>
        <a:ln w="4638">
          <a:solidFill>
            <a:srgbClr val="808080"/>
          </a:solidFill>
          <a:prstDash val="solid"/>
        </a:ln>
      </c:spPr>
    </c:plotArea>
    <c:plotVisOnly val="1"/>
    <c:dispBlanksAs val="gap"/>
  </c:chart>
  <c:spPr>
    <a:noFill/>
    <a:ln>
      <a:noFill/>
    </a:ln>
  </c:spPr>
  <c:txPr>
    <a:bodyPr/>
    <a:lstStyle/>
    <a:p>
      <a:pPr>
        <a:defRPr sz="173"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4" b="1" i="0" u="none" strike="noStrike" baseline="0">
                <a:solidFill>
                  <a:srgbClr val="000000"/>
                </a:solidFill>
                <a:latin typeface="Times New Roman"/>
                <a:ea typeface="Times New Roman"/>
                <a:cs typeface="Times New Roman"/>
              </a:defRPr>
            </a:pPr>
            <a:r>
              <a:t>Revenues by Catagory SFY 2006</a:t>
            </a:r>
          </a:p>
        </c:rich>
      </c:tx>
      <c:layout>
        <c:manualLayout>
          <c:xMode val="edge"/>
          <c:yMode val="edge"/>
          <c:x val="0.14107883817427389"/>
          <c:y val="2.222222222222223E-2"/>
        </c:manualLayout>
      </c:layout>
      <c:spPr>
        <a:noFill/>
        <a:ln w="25363">
          <a:noFill/>
        </a:ln>
      </c:spPr>
    </c:title>
    <c:plotArea>
      <c:layout>
        <c:manualLayout>
          <c:layoutTarget val="inner"/>
          <c:xMode val="edge"/>
          <c:yMode val="edge"/>
          <c:x val="7.4688796680497924E-2"/>
          <c:y val="0.30000000000000004"/>
          <c:w val="0.40248962655601661"/>
          <c:h val="0.53888888888888897"/>
        </c:manualLayout>
      </c:layout>
      <c:pieChart>
        <c:varyColors val="1"/>
        <c:ser>
          <c:idx val="0"/>
          <c:order val="0"/>
          <c:spPr>
            <a:solidFill>
              <a:srgbClr val="9999FF"/>
            </a:solidFill>
            <a:ln w="12682">
              <a:solidFill>
                <a:srgbClr val="000000"/>
              </a:solidFill>
              <a:prstDash val="solid"/>
            </a:ln>
          </c:spPr>
          <c:dPt>
            <c:idx val="0"/>
            <c:spPr>
              <a:solidFill>
                <a:srgbClr val="99CCFF"/>
              </a:solidFill>
              <a:ln w="12682">
                <a:solidFill>
                  <a:srgbClr val="000000"/>
                </a:solidFill>
                <a:prstDash val="solid"/>
              </a:ln>
            </c:spPr>
          </c:dPt>
          <c:dPt>
            <c:idx val="1"/>
            <c:spPr>
              <a:solidFill>
                <a:srgbClr val="CCFFCC"/>
              </a:solidFill>
              <a:ln w="12682">
                <a:solidFill>
                  <a:srgbClr val="000000"/>
                </a:solidFill>
                <a:prstDash val="solid"/>
              </a:ln>
            </c:spPr>
          </c:dPt>
          <c:dPt>
            <c:idx val="2"/>
            <c:spPr>
              <a:solidFill>
                <a:srgbClr val="C0C0C0"/>
              </a:solidFill>
              <a:ln w="12682">
                <a:solidFill>
                  <a:srgbClr val="000000"/>
                </a:solidFill>
                <a:prstDash val="solid"/>
              </a:ln>
            </c:spPr>
          </c:dPt>
          <c:cat>
            <c:strRef>
              <c:f>Sheet1!$A$1:$A$3</c:f>
              <c:strCache>
                <c:ptCount val="3"/>
                <c:pt idx="0">
                  <c:v>IME  78.16%</c:v>
                </c:pt>
                <c:pt idx="1">
                  <c:v>MBCI-Magellan  21.16%</c:v>
                </c:pt>
                <c:pt idx="2">
                  <c:v>100% County, Client, MedNeedy  0.68%</c:v>
                </c:pt>
              </c:strCache>
            </c:strRef>
          </c:cat>
          <c:val>
            <c:numRef>
              <c:f>Sheet1!$B$1:$B$3</c:f>
              <c:numCache>
                <c:formatCode>0.00%</c:formatCode>
                <c:ptCount val="3"/>
                <c:pt idx="0">
                  <c:v>0.75880000000000014</c:v>
                </c:pt>
                <c:pt idx="1">
                  <c:v>0.23219999999999999</c:v>
                </c:pt>
                <c:pt idx="2">
                  <c:v>8.9999999999999837E-3</c:v>
                </c:pt>
              </c:numCache>
            </c:numRef>
          </c:val>
        </c:ser>
        <c:firstSliceAng val="0"/>
      </c:pieChart>
      <c:spPr>
        <a:noFill/>
        <a:ln w="25363">
          <a:noFill/>
        </a:ln>
      </c:spPr>
    </c:plotArea>
    <c:legend>
      <c:legendPos val="r"/>
      <c:layout>
        <c:manualLayout>
          <c:xMode val="edge"/>
          <c:yMode val="edge"/>
          <c:x val="0.56431535269709554"/>
          <c:y val="0.10555555555555557"/>
          <c:w val="0.4315352697095437"/>
          <c:h val="0.9"/>
        </c:manualLayout>
      </c:layout>
      <c:spPr>
        <a:solidFill>
          <a:srgbClr val="FFFFFF"/>
        </a:solidFill>
        <a:ln w="3170">
          <a:solidFill>
            <a:srgbClr val="FFFFFF"/>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en-US"/>
        </a:p>
      </c:txPr>
    </c:legend>
    <c:plotVisOnly val="1"/>
    <c:dispBlanksAs val="zero"/>
  </c:chart>
  <c:spPr>
    <a:solidFill>
      <a:srgbClr val="FFFFFF"/>
    </a:solidFill>
    <a:ln w="3170">
      <a:solidFill>
        <a:srgbClr val="FFFFFF"/>
      </a:solidFill>
      <a:prstDash val="solid"/>
    </a:ln>
  </c:spPr>
  <c:txPr>
    <a:bodyPr/>
    <a:lstStyle/>
    <a:p>
      <a:pPr>
        <a:defRPr sz="4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2639</Words>
  <Characters>15048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Iowa Department of Human Services</vt:lpstr>
    </vt:vector>
  </TitlesOfParts>
  <Company>State of Iowa</Company>
  <LinksUpToDate>false</LinksUpToDate>
  <CharactersWithSpaces>17652</CharactersWithSpaces>
  <SharedDoc>false</SharedDoc>
  <HLinks>
    <vt:vector size="42" baseType="variant">
      <vt:variant>
        <vt:i4>5898286</vt:i4>
      </vt:variant>
      <vt:variant>
        <vt:i4>1059</vt:i4>
      </vt:variant>
      <vt:variant>
        <vt:i4>1025</vt:i4>
      </vt:variant>
      <vt:variant>
        <vt:i4>1</vt:i4>
      </vt:variant>
      <vt:variant>
        <vt:lpwstr>Data\06Cover.jpg</vt:lpwstr>
      </vt:variant>
      <vt:variant>
        <vt:lpwstr/>
      </vt:variant>
      <vt:variant>
        <vt:i4>3407925</vt:i4>
      </vt:variant>
      <vt:variant>
        <vt:i4>2044</vt:i4>
      </vt:variant>
      <vt:variant>
        <vt:i4>1026</vt:i4>
      </vt:variant>
      <vt:variant>
        <vt:i4>1</vt:i4>
      </vt:variant>
      <vt:variant>
        <vt:lpwstr>C:\Documents and Settings\dkarrer\Application Data\Microsoft\Media Catalog\Downloaded Clips\cl91\j0362703.jpg</vt:lpwstr>
      </vt:variant>
      <vt:variant>
        <vt:lpwstr/>
      </vt:variant>
      <vt:variant>
        <vt:i4>2949154</vt:i4>
      </vt:variant>
      <vt:variant>
        <vt:i4>6134</vt:i4>
      </vt:variant>
      <vt:variant>
        <vt:i4>1027</vt:i4>
      </vt:variant>
      <vt:variant>
        <vt:i4>1</vt:i4>
      </vt:variant>
      <vt:variant>
        <vt:lpwstr>C:\Documents and Settings\dkarrer\Application Data\Microsoft\Media Catalog\Downloaded Clips\cl51\j0202652.wmf</vt:lpwstr>
      </vt:variant>
      <vt:variant>
        <vt:lpwstr/>
      </vt:variant>
      <vt:variant>
        <vt:i4>8257605</vt:i4>
      </vt:variant>
      <vt:variant>
        <vt:i4>21835</vt:i4>
      </vt:variant>
      <vt:variant>
        <vt:i4>1028</vt:i4>
      </vt:variant>
      <vt:variant>
        <vt:i4>1</vt:i4>
      </vt:variant>
      <vt:variant>
        <vt:lpwstr>http://www.pelhamweb.com/treefund/Red_Oak.jpg</vt:lpwstr>
      </vt:variant>
      <vt:variant>
        <vt:lpwstr/>
      </vt:variant>
      <vt:variant>
        <vt:i4>8257539</vt:i4>
      </vt:variant>
      <vt:variant>
        <vt:i4>21860</vt:i4>
      </vt:variant>
      <vt:variant>
        <vt:i4>1029</vt:i4>
      </vt:variant>
      <vt:variant>
        <vt:i4>1</vt:i4>
      </vt:variant>
      <vt:variant>
        <vt:lpwstr>Data\StateRock.jpg</vt:lpwstr>
      </vt:variant>
      <vt:variant>
        <vt:lpwstr/>
      </vt:variant>
      <vt:variant>
        <vt:i4>1376332</vt:i4>
      </vt:variant>
      <vt:variant>
        <vt:i4>21881</vt:i4>
      </vt:variant>
      <vt:variant>
        <vt:i4>1030</vt:i4>
      </vt:variant>
      <vt:variant>
        <vt:i4>1</vt:i4>
      </vt:variant>
      <vt:variant>
        <vt:lpwstr>C:\Access97\Access97\Clipart\Publisher\PE01286_.WMF</vt:lpwstr>
      </vt:variant>
      <vt:variant>
        <vt:lpwstr/>
      </vt:variant>
      <vt:variant>
        <vt:i4>458878</vt:i4>
      </vt:variant>
      <vt:variant>
        <vt:i4>21974</vt:i4>
      </vt:variant>
      <vt:variant>
        <vt:i4>1031</vt:i4>
      </vt:variant>
      <vt:variant>
        <vt:i4>1</vt:i4>
      </vt:variant>
      <vt:variant>
        <vt:lpwstr>Data\IowaQuarter.jpeg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Human Services</dc:title>
  <dc:subject/>
  <dc:creator>Department of Human Services</dc:creator>
  <cp:keywords/>
  <cp:lastModifiedBy>Margaret Noon</cp:lastModifiedBy>
  <cp:revision>2</cp:revision>
  <dcterms:created xsi:type="dcterms:W3CDTF">2009-03-03T17:17:00Z</dcterms:created>
  <dcterms:modified xsi:type="dcterms:W3CDTF">2009-03-03T17:17:00Z</dcterms:modified>
</cp:coreProperties>
</file>