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rawings/drawing1.xml" ContentType="application/vnd.openxmlformats-officedocument.drawingml.chartshapes+xml"/>
  <Override PartName="/word/charts/chart6.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1DF" w:rsidRDefault="00130AD5">
      <w:pPr>
        <w:pStyle w:val="Heading1"/>
      </w:pPr>
      <w:r>
        <w:rPr>
          <w:rFonts w:ascii="Book Antiqua" w:hAnsi="Book Antiqua"/>
          <w:noProof/>
        </w:rPr>
        <w:drawing>
          <wp:inline distT="0" distB="0" distL="0" distR="0">
            <wp:extent cx="2857500" cy="723900"/>
            <wp:effectExtent l="19050" t="0" r="0" b="0"/>
            <wp:docPr id="3" name="Picture 3" descr="IPERS_grayscale-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PERS_grayscale-small"/>
                    <pic:cNvPicPr>
                      <a:picLocks noChangeAspect="1" noChangeArrowheads="1"/>
                    </pic:cNvPicPr>
                  </pic:nvPicPr>
                  <pic:blipFill>
                    <a:blip r:embed="rId7"/>
                    <a:srcRect/>
                    <a:stretch>
                      <a:fillRect/>
                    </a:stretch>
                  </pic:blipFill>
                  <pic:spPr bwMode="auto">
                    <a:xfrm>
                      <a:off x="0" y="0"/>
                      <a:ext cx="2857500" cy="723900"/>
                    </a:xfrm>
                    <a:prstGeom prst="rect">
                      <a:avLst/>
                    </a:prstGeom>
                    <a:noFill/>
                    <a:ln w="9525">
                      <a:noFill/>
                      <a:miter lim="800000"/>
                      <a:headEnd/>
                      <a:tailEnd/>
                    </a:ln>
                  </pic:spPr>
                </pic:pic>
              </a:graphicData>
            </a:graphic>
          </wp:inline>
        </w:drawing>
      </w:r>
    </w:p>
    <w:p w:rsidR="00CC41DF" w:rsidRDefault="00CC41DF">
      <w:pPr>
        <w:pStyle w:val="Heading1"/>
      </w:pPr>
    </w:p>
    <w:p w:rsidR="00CC41DF" w:rsidRDefault="00CC41DF">
      <w:pPr>
        <w:pStyle w:val="Heading1"/>
      </w:pPr>
    </w:p>
    <w:p w:rsidR="00CC41DF" w:rsidRDefault="00CC41DF">
      <w:pPr>
        <w:pStyle w:val="Heading1"/>
      </w:pPr>
      <w:smartTag w:uri="urn:schemas-microsoft-com:office:smarttags" w:element="State">
        <w:smartTag w:uri="urn:schemas-microsoft-com:office:smarttags" w:element="place">
          <w:r>
            <w:t>IOWA</w:t>
          </w:r>
        </w:smartTag>
      </w:smartTag>
      <w:r>
        <w:t xml:space="preserve"> PUBLIC EMPLOYEES’ RETIREMENT SYSTEM</w:t>
      </w:r>
    </w:p>
    <w:p w:rsidR="00CC41DF" w:rsidRDefault="00CC41DF">
      <w:pPr>
        <w:rPr>
          <w:sz w:val="36"/>
        </w:rPr>
      </w:pPr>
    </w:p>
    <w:p w:rsidR="00CC41DF" w:rsidRDefault="00CC41DF">
      <w:pPr>
        <w:rPr>
          <w:sz w:val="36"/>
        </w:rPr>
      </w:pPr>
    </w:p>
    <w:p w:rsidR="00CC41DF" w:rsidRDefault="00CC41DF">
      <w:pPr>
        <w:rPr>
          <w:sz w:val="36"/>
        </w:rPr>
      </w:pPr>
    </w:p>
    <w:p w:rsidR="00CC41DF" w:rsidRDefault="00CC41DF">
      <w:pPr>
        <w:rPr>
          <w:sz w:val="36"/>
        </w:rPr>
      </w:pPr>
    </w:p>
    <w:p w:rsidR="00CC41DF" w:rsidRDefault="00CC41DF">
      <w:pPr>
        <w:rPr>
          <w:sz w:val="36"/>
        </w:rPr>
      </w:pPr>
    </w:p>
    <w:p w:rsidR="00CC41DF" w:rsidRDefault="00CC41DF">
      <w:pPr>
        <w:rPr>
          <w:sz w:val="36"/>
        </w:rPr>
      </w:pPr>
    </w:p>
    <w:p w:rsidR="00CC41DF" w:rsidRDefault="00CC41DF">
      <w:pPr>
        <w:rPr>
          <w:sz w:val="36"/>
        </w:rPr>
      </w:pPr>
    </w:p>
    <w:p w:rsidR="00CC41DF" w:rsidRDefault="00CC41DF">
      <w:pPr>
        <w:rPr>
          <w:sz w:val="36"/>
        </w:rPr>
      </w:pPr>
    </w:p>
    <w:p w:rsidR="00CC41DF" w:rsidRDefault="00CC41DF">
      <w:pPr>
        <w:rPr>
          <w:sz w:val="36"/>
        </w:rPr>
      </w:pPr>
    </w:p>
    <w:p w:rsidR="00CC41DF" w:rsidRDefault="00CC41DF">
      <w:pPr>
        <w:pStyle w:val="Heading2"/>
      </w:pPr>
      <w:r>
        <w:t>PERFORMANCE REPORT</w:t>
      </w:r>
    </w:p>
    <w:p w:rsidR="00CC41DF" w:rsidRDefault="00CC41DF">
      <w:pPr>
        <w:rPr>
          <w:sz w:val="72"/>
        </w:rPr>
      </w:pPr>
    </w:p>
    <w:p w:rsidR="00CC41DF" w:rsidRDefault="00CC41DF">
      <w:pPr>
        <w:rPr>
          <w:sz w:val="72"/>
        </w:rPr>
      </w:pPr>
    </w:p>
    <w:p w:rsidR="00CC41DF" w:rsidRDefault="00CC41DF">
      <w:pPr>
        <w:jc w:val="right"/>
        <w:rPr>
          <w:sz w:val="28"/>
        </w:rPr>
      </w:pPr>
    </w:p>
    <w:p w:rsidR="00CC41DF" w:rsidRDefault="00CC41DF">
      <w:pPr>
        <w:jc w:val="right"/>
        <w:rPr>
          <w:sz w:val="28"/>
        </w:rPr>
      </w:pPr>
    </w:p>
    <w:p w:rsidR="00CC41DF" w:rsidRDefault="00CC41DF">
      <w:pPr>
        <w:jc w:val="right"/>
        <w:rPr>
          <w:sz w:val="28"/>
        </w:rPr>
      </w:pPr>
    </w:p>
    <w:p w:rsidR="00CC41DF" w:rsidRDefault="00CC41DF">
      <w:pPr>
        <w:jc w:val="right"/>
        <w:rPr>
          <w:sz w:val="28"/>
        </w:rPr>
      </w:pPr>
    </w:p>
    <w:p w:rsidR="00CC41DF" w:rsidRDefault="00CC41DF">
      <w:pPr>
        <w:pStyle w:val="Heading3"/>
        <w:rPr>
          <w:sz w:val="36"/>
        </w:rPr>
      </w:pPr>
      <w:r>
        <w:rPr>
          <w:sz w:val="36"/>
        </w:rPr>
        <w:t>Performance Results Achieved for Fiscal Year 2004</w:t>
      </w:r>
    </w:p>
    <w:p w:rsidR="00CC41DF" w:rsidRDefault="00CC41DF">
      <w:pPr>
        <w:jc w:val="right"/>
        <w:rPr>
          <w:sz w:val="28"/>
        </w:rPr>
      </w:pPr>
    </w:p>
    <w:p w:rsidR="00CC41DF" w:rsidRDefault="00CC41DF">
      <w:pPr>
        <w:rPr>
          <w:sz w:val="26"/>
        </w:rPr>
      </w:pPr>
    </w:p>
    <w:p w:rsidR="00CC41DF" w:rsidRDefault="00CC41DF">
      <w:pPr>
        <w:rPr>
          <w:sz w:val="26"/>
        </w:rPr>
      </w:pPr>
    </w:p>
    <w:p w:rsidR="00CC41DF" w:rsidRDefault="00CC41DF">
      <w:pPr>
        <w:rPr>
          <w:sz w:val="26"/>
        </w:rPr>
      </w:pPr>
    </w:p>
    <w:p w:rsidR="00CC41DF" w:rsidRDefault="00CC41DF">
      <w:pPr>
        <w:rPr>
          <w:sz w:val="26"/>
        </w:rPr>
      </w:pPr>
    </w:p>
    <w:p w:rsidR="00CC41DF" w:rsidRDefault="00CC41DF">
      <w:pPr>
        <w:rPr>
          <w:sz w:val="26"/>
        </w:rPr>
      </w:pPr>
    </w:p>
    <w:p w:rsidR="00CC41DF" w:rsidRDefault="00CC41DF">
      <w:r>
        <w:t>Submitted December 15, 2004 in compliance with the Iowa Accountable Government Act</w:t>
      </w:r>
    </w:p>
    <w:p w:rsidR="00CC41DF" w:rsidRDefault="00CC41DF">
      <w:pPr>
        <w:rPr>
          <w:rFonts w:ascii="Arial" w:hAnsi="Arial" w:cs="Arial"/>
        </w:rPr>
      </w:pPr>
      <w:r>
        <w:br w:type="page"/>
      </w:r>
    </w:p>
    <w:p w:rsidR="00CC41DF" w:rsidRDefault="00CC41DF">
      <w:pPr>
        <w:pStyle w:val="Footer"/>
        <w:tabs>
          <w:tab w:val="clear" w:pos="4320"/>
          <w:tab w:val="clear" w:pos="8640"/>
        </w:tabs>
        <w:rPr>
          <w:rFonts w:ascii="Arial" w:hAnsi="Arial" w:cs="Arial"/>
          <w:noProof/>
        </w:rPr>
      </w:pPr>
      <w:r>
        <w:rPr>
          <w:rFonts w:ascii="Arial" w:hAnsi="Arial" w:cs="Arial"/>
          <w:noProof/>
        </w:rPr>
        <w:pict>
          <v:shapetype id="_x0000_t202" coordsize="21600,21600" o:spt="202" path="m,l,21600r21600,l21600,xe">
            <v:stroke joinstyle="miter"/>
            <v:path gradientshapeok="t" o:connecttype="rect"/>
          </v:shapetype>
          <v:shape id="_x0000_s1031" type="#_x0000_t202" style="position:absolute;margin-left:9pt;margin-top:-22.8pt;width:468pt;height:36pt;z-index:-251658240" strokeweight="1.5pt">
            <v:shadow on="t" offset="-6pt,-6pt"/>
            <v:textbox style="mso-next-textbox:#_x0000_s1031">
              <w:txbxContent>
                <w:p w:rsidR="00CC41DF" w:rsidRDefault="00CC41DF">
                  <w:pPr>
                    <w:jc w:val="center"/>
                    <w:rPr>
                      <w:rFonts w:ascii="Arial Black" w:hAnsi="Arial Black"/>
                      <w:sz w:val="36"/>
                    </w:rPr>
                  </w:pPr>
                  <w:r>
                    <w:rPr>
                      <w:rFonts w:ascii="Arial Black" w:hAnsi="Arial Black"/>
                      <w:sz w:val="36"/>
                    </w:rPr>
                    <w:t xml:space="preserve">TABLE OF CONTENTS </w:t>
                  </w:r>
                </w:p>
                <w:p w:rsidR="00CC41DF" w:rsidRDefault="00CC41DF">
                  <w:pPr>
                    <w:jc w:val="center"/>
                    <w:rPr>
                      <w:rFonts w:ascii="Bookman Old Style" w:hAnsi="Bookman Old Style"/>
                      <w:b/>
                      <w:sz w:val="32"/>
                    </w:rPr>
                  </w:pPr>
                </w:p>
                <w:p w:rsidR="00CC41DF" w:rsidRDefault="00CC41DF"/>
              </w:txbxContent>
            </v:textbox>
          </v:shape>
        </w:pict>
      </w:r>
    </w:p>
    <w:p w:rsidR="00CC41DF" w:rsidRDefault="00CC41DF">
      <w:pPr>
        <w:rPr>
          <w:rFonts w:ascii="Arial" w:hAnsi="Arial" w:cs="Arial"/>
        </w:rPr>
      </w:pPr>
    </w:p>
    <w:p w:rsidR="00CC41DF" w:rsidRDefault="00CC41DF">
      <w:pPr>
        <w:rPr>
          <w:rFonts w:ascii="Arial" w:hAnsi="Arial" w:cs="Arial"/>
        </w:rPr>
      </w:pPr>
    </w:p>
    <w:tbl>
      <w:tblPr>
        <w:tblW w:w="10008" w:type="dxa"/>
        <w:tblBorders>
          <w:bottom w:val="double" w:sz="6" w:space="0" w:color="auto"/>
        </w:tblBorders>
        <w:tblLayout w:type="fixed"/>
        <w:tblLook w:val="0000"/>
      </w:tblPr>
      <w:tblGrid>
        <w:gridCol w:w="18"/>
        <w:gridCol w:w="8640"/>
        <w:gridCol w:w="210"/>
        <w:gridCol w:w="1140"/>
      </w:tblGrid>
      <w:tr w:rsidR="00CC41DF">
        <w:tblPrEx>
          <w:tblCellMar>
            <w:top w:w="0" w:type="dxa"/>
            <w:bottom w:w="0" w:type="dxa"/>
          </w:tblCellMar>
        </w:tblPrEx>
        <w:trPr>
          <w:gridBefore w:val="1"/>
          <w:wBefore w:w="18" w:type="dxa"/>
          <w:trHeight w:val="20"/>
        </w:trPr>
        <w:tc>
          <w:tcPr>
            <w:tcW w:w="8640" w:type="dxa"/>
            <w:tcBorders>
              <w:top w:val="nil"/>
              <w:bottom w:val="double" w:sz="6" w:space="0" w:color="auto"/>
            </w:tcBorders>
          </w:tcPr>
          <w:p w:rsidR="00CC41DF" w:rsidRDefault="00CC41DF">
            <w:pPr>
              <w:rPr>
                <w:rFonts w:ascii="Arial" w:hAnsi="Arial" w:cs="Arial"/>
                <w:bCs/>
              </w:rPr>
            </w:pPr>
            <w:r>
              <w:rPr>
                <w:rFonts w:ascii="Arial" w:hAnsi="Arial" w:cs="Arial"/>
                <w:bCs/>
                <w:i/>
                <w:sz w:val="32"/>
              </w:rPr>
              <w:t>SECTION</w:t>
            </w:r>
            <w:r>
              <w:rPr>
                <w:rFonts w:ascii="Arial" w:hAnsi="Arial" w:cs="Arial"/>
                <w:bCs/>
                <w:i/>
                <w:sz w:val="32"/>
              </w:rPr>
              <w:tab/>
            </w:r>
          </w:p>
        </w:tc>
        <w:tc>
          <w:tcPr>
            <w:tcW w:w="1350" w:type="dxa"/>
            <w:gridSpan w:val="2"/>
            <w:tcBorders>
              <w:top w:val="nil"/>
              <w:bottom w:val="double" w:sz="6" w:space="0" w:color="auto"/>
            </w:tcBorders>
          </w:tcPr>
          <w:p w:rsidR="00CC41DF" w:rsidRDefault="00CC41DF">
            <w:pPr>
              <w:rPr>
                <w:rFonts w:ascii="Arial" w:hAnsi="Arial" w:cs="Arial"/>
                <w:bCs/>
              </w:rPr>
            </w:pPr>
            <w:r>
              <w:rPr>
                <w:rFonts w:ascii="Arial" w:hAnsi="Arial" w:cs="Arial"/>
                <w:bCs/>
                <w:i/>
                <w:sz w:val="32"/>
              </w:rPr>
              <w:t>PAGE</w:t>
            </w:r>
          </w:p>
        </w:tc>
      </w:tr>
      <w:tr w:rsidR="00CC41DF">
        <w:tblPrEx>
          <w:tblBorders>
            <w:bottom w:val="none" w:sz="0" w:space="0" w:color="auto"/>
          </w:tblBorders>
          <w:tblCellMar>
            <w:top w:w="0" w:type="dxa"/>
            <w:bottom w:w="0" w:type="dxa"/>
          </w:tblCellMar>
        </w:tblPrEx>
        <w:tc>
          <w:tcPr>
            <w:tcW w:w="8868" w:type="dxa"/>
            <w:gridSpan w:val="3"/>
          </w:tcPr>
          <w:p w:rsidR="00CC41DF" w:rsidRDefault="00CC41DF">
            <w:pPr>
              <w:pStyle w:val="Heading1"/>
              <w:tabs>
                <w:tab w:val="left" w:leader="dot" w:pos="8400"/>
              </w:tabs>
              <w:rPr>
                <w:rFonts w:ascii="Arial" w:hAnsi="Arial" w:cs="Arial"/>
                <w:b/>
              </w:rPr>
            </w:pPr>
          </w:p>
        </w:tc>
        <w:tc>
          <w:tcPr>
            <w:tcW w:w="1140" w:type="dxa"/>
          </w:tcPr>
          <w:p w:rsidR="00CC41DF" w:rsidRDefault="00CC41DF">
            <w:pPr>
              <w:jc w:val="center"/>
              <w:rPr>
                <w:rFonts w:ascii="Arial" w:hAnsi="Arial" w:cs="Arial"/>
                <w:bCs/>
                <w:sz w:val="28"/>
              </w:rPr>
            </w:pPr>
          </w:p>
        </w:tc>
      </w:tr>
    </w:tbl>
    <w:p w:rsidR="00CC41DF" w:rsidRDefault="00CC41DF">
      <w:pPr>
        <w:rPr>
          <w:rFonts w:ascii="Arial" w:hAnsi="Arial" w:cs="Arial"/>
        </w:rPr>
      </w:pPr>
      <w:r>
        <w:rPr>
          <w:rFonts w:ascii="Arial" w:hAnsi="Arial" w:cs="Arial"/>
          <w:b/>
          <w:bCs/>
        </w:rPr>
        <w:t>INTRODUCTION</w:t>
      </w:r>
      <w:r>
        <w:rPr>
          <w:rFonts w:ascii="Arial" w:hAnsi="Arial" w:cs="Arial"/>
        </w:rPr>
        <w:t>…………………………………………………………………………...  3-4</w:t>
      </w:r>
    </w:p>
    <w:p w:rsidR="00CC41DF" w:rsidRDefault="00CC41DF">
      <w:pPr>
        <w:rPr>
          <w:rFonts w:ascii="Arial" w:hAnsi="Arial" w:cs="Arial"/>
        </w:rPr>
      </w:pPr>
    </w:p>
    <w:p w:rsidR="00CC41DF" w:rsidRDefault="00CC41DF">
      <w:pPr>
        <w:rPr>
          <w:rFonts w:ascii="Arial" w:hAnsi="Arial" w:cs="Arial"/>
        </w:rPr>
      </w:pPr>
      <w:r>
        <w:rPr>
          <w:rFonts w:ascii="Arial" w:hAnsi="Arial" w:cs="Arial"/>
          <w:b/>
          <w:bCs/>
        </w:rPr>
        <w:t>AGENCY OVERVIEW</w:t>
      </w:r>
      <w:r>
        <w:rPr>
          <w:rFonts w:ascii="Arial" w:hAnsi="Arial" w:cs="Arial"/>
        </w:rPr>
        <w:t>……………………………………………………………………..  5-7</w:t>
      </w:r>
    </w:p>
    <w:p w:rsidR="00CC41DF" w:rsidRDefault="00CC41DF">
      <w:pPr>
        <w:rPr>
          <w:rFonts w:ascii="Arial" w:hAnsi="Arial" w:cs="Arial"/>
        </w:rPr>
      </w:pPr>
    </w:p>
    <w:p w:rsidR="00CC41DF" w:rsidRDefault="00CC41DF">
      <w:pPr>
        <w:rPr>
          <w:rFonts w:ascii="Arial" w:hAnsi="Arial" w:cs="Arial"/>
        </w:rPr>
      </w:pPr>
    </w:p>
    <w:p w:rsidR="00CC41DF" w:rsidRDefault="00CC41DF">
      <w:pPr>
        <w:rPr>
          <w:rFonts w:ascii="Arial" w:hAnsi="Arial" w:cs="Arial"/>
        </w:rPr>
      </w:pPr>
      <w:r>
        <w:rPr>
          <w:rFonts w:ascii="Arial" w:hAnsi="Arial" w:cs="Arial"/>
          <w:b/>
          <w:bCs/>
        </w:rPr>
        <w:t>STRATEGIC PLAN RESULTS</w:t>
      </w:r>
      <w:r>
        <w:rPr>
          <w:rFonts w:ascii="Arial" w:hAnsi="Arial" w:cs="Arial"/>
        </w:rPr>
        <w:t>………………………………………………………….   8-12</w:t>
      </w:r>
    </w:p>
    <w:p w:rsidR="00CC41DF" w:rsidRDefault="00CC41DF">
      <w:pPr>
        <w:rPr>
          <w:rFonts w:ascii="Arial" w:hAnsi="Arial" w:cs="Arial"/>
          <w:sz w:val="22"/>
        </w:rPr>
      </w:pPr>
      <w:r>
        <w:rPr>
          <w:rFonts w:ascii="Arial" w:hAnsi="Arial" w:cs="Arial"/>
          <w:sz w:val="22"/>
        </w:rPr>
        <w:t xml:space="preserve">    Key Strategic Challenges………………………………………………………..…………8</w:t>
      </w:r>
    </w:p>
    <w:p w:rsidR="00CC41DF" w:rsidRDefault="00CC41DF">
      <w:pPr>
        <w:rPr>
          <w:rFonts w:ascii="Arial" w:hAnsi="Arial" w:cs="Arial"/>
          <w:sz w:val="22"/>
        </w:rPr>
      </w:pPr>
      <w:r>
        <w:rPr>
          <w:rFonts w:ascii="Arial" w:hAnsi="Arial" w:cs="Arial"/>
          <w:sz w:val="22"/>
        </w:rPr>
        <w:t xml:space="preserve">    Goal 1:  Unfunded Actuarial Liability…………………………………………..………...10</w:t>
      </w:r>
    </w:p>
    <w:p w:rsidR="00CC41DF" w:rsidRDefault="00CC41DF">
      <w:pPr>
        <w:rPr>
          <w:rFonts w:ascii="Arial" w:hAnsi="Arial" w:cs="Arial"/>
          <w:sz w:val="22"/>
        </w:rPr>
      </w:pPr>
      <w:r>
        <w:rPr>
          <w:rFonts w:ascii="Arial" w:hAnsi="Arial" w:cs="Arial"/>
          <w:sz w:val="22"/>
        </w:rPr>
        <w:t xml:space="preserve">    Goal 2:  Organizational Structure and Governance…………………………………....11</w:t>
      </w:r>
    </w:p>
    <w:p w:rsidR="00CC41DF" w:rsidRDefault="00CC41DF">
      <w:pPr>
        <w:rPr>
          <w:rFonts w:ascii="Arial" w:hAnsi="Arial" w:cs="Arial"/>
          <w:sz w:val="22"/>
        </w:rPr>
      </w:pPr>
      <w:r>
        <w:rPr>
          <w:rFonts w:ascii="Arial" w:hAnsi="Arial" w:cs="Arial"/>
          <w:sz w:val="22"/>
        </w:rPr>
        <w:t xml:space="preserve">    Goal 3:  Strategic Planning and Performance Measurement………………..………..12</w:t>
      </w:r>
    </w:p>
    <w:p w:rsidR="00CC41DF" w:rsidRDefault="00CC41DF">
      <w:pPr>
        <w:rPr>
          <w:rFonts w:ascii="Arial" w:hAnsi="Arial" w:cs="Arial"/>
          <w:sz w:val="22"/>
        </w:rPr>
      </w:pPr>
      <w:r>
        <w:rPr>
          <w:rFonts w:ascii="Arial" w:hAnsi="Arial" w:cs="Arial"/>
          <w:sz w:val="22"/>
        </w:rPr>
        <w:t xml:space="preserve">    .</w:t>
      </w:r>
    </w:p>
    <w:p w:rsidR="00CC41DF" w:rsidRDefault="00CC41DF">
      <w:pPr>
        <w:rPr>
          <w:rFonts w:ascii="Arial" w:hAnsi="Arial" w:cs="Arial"/>
        </w:rPr>
      </w:pPr>
      <w:r>
        <w:rPr>
          <w:rFonts w:ascii="Arial" w:hAnsi="Arial" w:cs="Arial"/>
        </w:rPr>
        <w:t xml:space="preserve">   </w:t>
      </w:r>
    </w:p>
    <w:p w:rsidR="00CC41DF" w:rsidRDefault="00CC41DF">
      <w:pPr>
        <w:rPr>
          <w:rFonts w:ascii="Arial" w:hAnsi="Arial" w:cs="Arial"/>
          <w:sz w:val="20"/>
        </w:rPr>
      </w:pPr>
      <w:r>
        <w:rPr>
          <w:rFonts w:ascii="Arial" w:hAnsi="Arial" w:cs="Arial"/>
          <w:b/>
          <w:bCs/>
        </w:rPr>
        <w:t>PERFORMANCE PLAN RESULTS</w:t>
      </w:r>
      <w:r>
        <w:rPr>
          <w:rFonts w:ascii="Arial" w:hAnsi="Arial" w:cs="Arial"/>
        </w:rPr>
        <w:t>…………………………………………..…….…. 13-19</w:t>
      </w:r>
    </w:p>
    <w:p w:rsidR="00CC41DF" w:rsidRDefault="00CC41DF">
      <w:pPr>
        <w:rPr>
          <w:rFonts w:ascii="Arial" w:hAnsi="Arial" w:cs="Arial"/>
          <w:sz w:val="22"/>
        </w:rPr>
      </w:pPr>
      <w:r>
        <w:rPr>
          <w:rFonts w:ascii="Arial" w:hAnsi="Arial" w:cs="Arial"/>
        </w:rPr>
        <w:t xml:space="preserve">   </w:t>
      </w:r>
      <w:r>
        <w:rPr>
          <w:rFonts w:ascii="Arial" w:hAnsi="Arial" w:cs="Arial"/>
          <w:sz w:val="22"/>
        </w:rPr>
        <w:t>Featured Core Function Outcome Results……………………………………………..13-15</w:t>
      </w:r>
    </w:p>
    <w:p w:rsidR="00CC41DF" w:rsidRDefault="00CC41DF">
      <w:pPr>
        <w:rPr>
          <w:rFonts w:ascii="Arial" w:hAnsi="Arial" w:cs="Arial"/>
          <w:sz w:val="22"/>
        </w:rPr>
      </w:pPr>
      <w:r>
        <w:rPr>
          <w:rFonts w:ascii="Arial" w:hAnsi="Arial" w:cs="Arial"/>
          <w:sz w:val="22"/>
        </w:rPr>
        <w:t xml:space="preserve">   Benefits and Services Outcomes and SPA Measures Summary……………………16-17</w:t>
      </w:r>
    </w:p>
    <w:p w:rsidR="00CC41DF" w:rsidRDefault="00CC41DF">
      <w:pPr>
        <w:rPr>
          <w:rFonts w:ascii="Arial" w:hAnsi="Arial" w:cs="Arial"/>
          <w:sz w:val="22"/>
        </w:rPr>
      </w:pPr>
      <w:r>
        <w:rPr>
          <w:rFonts w:ascii="Arial" w:hAnsi="Arial" w:cs="Arial"/>
          <w:sz w:val="22"/>
        </w:rPr>
        <w:t xml:space="preserve">   Resource Management Outcomes and SPA Measures Summary………………….18-19</w:t>
      </w:r>
    </w:p>
    <w:p w:rsidR="00CC41DF" w:rsidRDefault="00CC41DF">
      <w:pPr>
        <w:rPr>
          <w:rFonts w:ascii="Arial" w:hAnsi="Arial" w:cs="Arial"/>
          <w:sz w:val="22"/>
        </w:rPr>
      </w:pPr>
    </w:p>
    <w:p w:rsidR="00CC41DF" w:rsidRDefault="00CC41DF">
      <w:pPr>
        <w:rPr>
          <w:rFonts w:ascii="Arial" w:hAnsi="Arial" w:cs="Arial"/>
        </w:rPr>
      </w:pPr>
      <w:r>
        <w:rPr>
          <w:rFonts w:ascii="Arial" w:hAnsi="Arial" w:cs="Arial"/>
          <w:b/>
          <w:bCs/>
        </w:rPr>
        <w:t>RESOURCE REALLOCATIONS</w:t>
      </w:r>
      <w:r>
        <w:rPr>
          <w:rFonts w:ascii="Arial" w:hAnsi="Arial" w:cs="Arial"/>
        </w:rPr>
        <w:t>…………………………………………..….…………20</w:t>
      </w:r>
    </w:p>
    <w:p w:rsidR="00CC41DF" w:rsidRDefault="00CC41DF">
      <w:pPr>
        <w:pStyle w:val="Header"/>
        <w:tabs>
          <w:tab w:val="clear" w:pos="4320"/>
          <w:tab w:val="clear" w:pos="8640"/>
        </w:tabs>
        <w:rPr>
          <w:rFonts w:ascii="Arial" w:hAnsi="Arial" w:cs="Arial"/>
        </w:rPr>
      </w:pPr>
    </w:p>
    <w:p w:rsidR="00CC41DF" w:rsidRDefault="00CC41DF">
      <w:pPr>
        <w:pStyle w:val="Header"/>
        <w:tabs>
          <w:tab w:val="clear" w:pos="4320"/>
          <w:tab w:val="clear" w:pos="8640"/>
        </w:tabs>
        <w:rPr>
          <w:rFonts w:ascii="Arial" w:hAnsi="Arial" w:cs="Arial"/>
        </w:rPr>
      </w:pPr>
    </w:p>
    <w:p w:rsidR="00CC41DF" w:rsidRDefault="00CC41DF">
      <w:r>
        <w:rPr>
          <w:rFonts w:ascii="Arial" w:hAnsi="Arial" w:cs="Arial"/>
          <w:b/>
          <w:bCs/>
        </w:rPr>
        <w:t>AGENCY CONTACTS</w:t>
      </w:r>
      <w:r>
        <w:rPr>
          <w:rFonts w:ascii="Arial" w:hAnsi="Arial" w:cs="Arial"/>
        </w:rPr>
        <w:t>………………………………………………………………..…..21</w:t>
      </w:r>
    </w:p>
    <w:p w:rsidR="00CC41DF" w:rsidRDefault="00CC41DF">
      <w:pPr>
        <w:rPr>
          <w:sz w:val="26"/>
        </w:rPr>
      </w:pPr>
    </w:p>
    <w:p w:rsidR="00CC41DF" w:rsidRDefault="00CC41DF">
      <w:pPr>
        <w:jc w:val="right"/>
        <w:rPr>
          <w:sz w:val="28"/>
        </w:rPr>
      </w:pPr>
      <w:r>
        <w:rPr>
          <w:sz w:val="28"/>
        </w:rPr>
        <w:br w:type="page"/>
      </w:r>
    </w:p>
    <w:p w:rsidR="00CC41DF" w:rsidRDefault="00CC41DF">
      <w:pPr>
        <w:jc w:val="right"/>
        <w:rPr>
          <w:sz w:val="28"/>
        </w:rPr>
      </w:pPr>
    </w:p>
    <w:p w:rsidR="00CC41DF" w:rsidRDefault="00CC41DF">
      <w:r>
        <w:rPr>
          <w:rFonts w:ascii="Arial Black" w:hAnsi="Arial Black"/>
          <w:noProof/>
          <w:sz w:val="20"/>
        </w:rPr>
        <w:pict>
          <v:shape id="_x0000_s1026" type="#_x0000_t202" style="position:absolute;margin-left:9pt;margin-top:-18pt;width:468pt;height:36pt;z-index:-251663360" strokeweight="1.5pt">
            <v:shadow on="t" offset="-6pt,-6pt"/>
            <v:textbox style="mso-next-textbox:#_x0000_s1026">
              <w:txbxContent>
                <w:p w:rsidR="00CC41DF" w:rsidRDefault="00CC41DF">
                  <w:pPr>
                    <w:jc w:val="center"/>
                    <w:rPr>
                      <w:rFonts w:ascii="Arial Black" w:hAnsi="Arial Black"/>
                      <w:sz w:val="36"/>
                    </w:rPr>
                  </w:pPr>
                  <w:r>
                    <w:rPr>
                      <w:rFonts w:ascii="Arial Black" w:hAnsi="Arial Black"/>
                      <w:sz w:val="36"/>
                    </w:rPr>
                    <w:t xml:space="preserve">1.  INTRODUCTION </w:t>
                  </w:r>
                </w:p>
                <w:p w:rsidR="00CC41DF" w:rsidRDefault="00CC41DF">
                  <w:pPr>
                    <w:jc w:val="center"/>
                    <w:rPr>
                      <w:rFonts w:ascii="Bookman Old Style" w:hAnsi="Bookman Old Style"/>
                      <w:b/>
                      <w:sz w:val="32"/>
                    </w:rPr>
                  </w:pPr>
                </w:p>
                <w:p w:rsidR="00CC41DF" w:rsidRDefault="00CC41DF"/>
              </w:txbxContent>
            </v:textbox>
          </v:shape>
        </w:pict>
      </w:r>
    </w:p>
    <w:p w:rsidR="00CC41DF" w:rsidRDefault="00CC41DF"/>
    <w:p w:rsidR="00CC41DF" w:rsidRDefault="00CC41DF">
      <w:pPr>
        <w:pStyle w:val="Heading5"/>
        <w:sectPr w:rsidR="00CC41DF">
          <w:footerReference w:type="even" r:id="rId8"/>
          <w:footerReference w:type="default" r:id="rId9"/>
          <w:footerReference w:type="first" r:id="rId10"/>
          <w:type w:val="continuous"/>
          <w:pgSz w:w="12240" w:h="15840"/>
          <w:pgMar w:top="1440" w:right="1440" w:bottom="1440" w:left="1440" w:header="720" w:footer="720" w:gutter="0"/>
          <w:pgNumType w:start="1"/>
          <w:cols w:space="720"/>
          <w:titlePg/>
          <w:docGrid w:linePitch="360"/>
        </w:sectPr>
      </w:pPr>
    </w:p>
    <w:p w:rsidR="00CC41DF" w:rsidRDefault="00CC41DF">
      <w:pPr>
        <w:pStyle w:val="Heading5"/>
      </w:pPr>
      <w:r>
        <w:lastRenderedPageBreak/>
        <w:t>Purpose and Scope</w:t>
      </w:r>
    </w:p>
    <w:p w:rsidR="00CC41DF" w:rsidRDefault="00CC41DF">
      <w:pPr>
        <w:rPr>
          <w:b/>
          <w:bCs/>
        </w:rPr>
      </w:pPr>
    </w:p>
    <w:p w:rsidR="00CC41DF" w:rsidRDefault="00CC41DF">
      <w:r>
        <w:t xml:space="preserve">Since accountability to stakeholders is a core value for the Iowa Public Employees’ Retirement System, we are pleased to present this report for fiscal year 2004 (July 1, 2003 to June 30, 2004) on the quality of services offered to our members and other performance metrics related to efficiency and effectiveness.  IPERS strongly supports the goal of the Iowa Accountable Government Act to provide timely performance information to stakeholders on the progress made on meeting important strategic and operational goals.  The purpose of this report is to provide a summary of the performance data either as a baseline for future comparisons to targets or actual performance as compared to targets.  </w:t>
      </w:r>
    </w:p>
    <w:p w:rsidR="00CC41DF" w:rsidRDefault="00CC41DF"/>
    <w:p w:rsidR="00CC41DF" w:rsidRDefault="00CC41DF">
      <w:pPr>
        <w:pStyle w:val="Heading5"/>
      </w:pPr>
      <w:r>
        <w:t>Strategic Challenges</w:t>
      </w:r>
    </w:p>
    <w:p w:rsidR="00CC41DF" w:rsidRDefault="00CC41DF"/>
    <w:p w:rsidR="00CC41DF" w:rsidRDefault="00CC41DF">
      <w:r>
        <w:t xml:space="preserve">Even though IPERS is funded from the trust fund and not from general state revenues, the organization has been impacted by lower investment returns in recent years and higher benefit costs related to lower mortality and retirement patterns that have caused a significant increase in unfunded actuarial liability (UAL).  We also are acutely aware that our public employer members have experienced slow revenue growth and increasing benefit costs, especially health insurance.  In response to these situations, we are requesting an increase in contribution rates to address the UAL problem, and we have made a significant effort to “hold the line” on administrative expenses without jeopardizing the quality of services to members.  We have not requested additional staff for four years, and we have re-deployed resources to meet critical strategic needs.  </w:t>
      </w:r>
      <w:r>
        <w:lastRenderedPageBreak/>
        <w:t>The development of performance metrics has helped the organization monitor resource usage in the context of member service trade-offs.</w:t>
      </w:r>
    </w:p>
    <w:p w:rsidR="00CC41DF" w:rsidRDefault="00CC41DF"/>
    <w:p w:rsidR="00CC41DF" w:rsidRDefault="00CC41DF">
      <w:pPr>
        <w:pStyle w:val="Heading5"/>
      </w:pPr>
      <w:r>
        <w:t>Major Achievements</w:t>
      </w:r>
    </w:p>
    <w:p w:rsidR="00CC41DF" w:rsidRDefault="00CC41DF"/>
    <w:p w:rsidR="00CC41DF" w:rsidRDefault="00CC41DF">
      <w:r>
        <w:t xml:space="preserve">Full implementation of a comprehensive benchmarking process, begun in FY 2003, has been a significant achievement during this fiscal year.  The benchmarking is conducted globally by Cost Effectiveness Measurement (CEM), and involves most of the larger </w:t>
      </w:r>
      <w:smartTag w:uri="urn:schemas-microsoft-com:office:smarttags" w:element="country-region">
        <w:smartTag w:uri="urn:schemas-microsoft-com:office:smarttags" w:element="place">
          <w:r>
            <w:t>U.S.</w:t>
          </w:r>
        </w:smartTag>
      </w:smartTag>
      <w:r>
        <w:t>, European and Australian retirement systems. We were pleased to learn that in spite of tight resources, IPERS compares well with peer retirement systems in terms of services.  The quality of services ranked 80 out of 100 possible points that placed IPERS at the 75</w:t>
      </w:r>
      <w:r>
        <w:rPr>
          <w:vertAlign w:val="superscript"/>
        </w:rPr>
        <w:t>th</w:t>
      </w:r>
      <w:r>
        <w:t xml:space="preserve"> percentile of peers. Five of ten key services were ranked in the highest quartile of our peers.  In addition, IPERS implemented another important strategic goal in establishing a pilot pre-retirement education program that assists members with better retirement planning.</w:t>
      </w:r>
    </w:p>
    <w:p w:rsidR="00CC41DF" w:rsidRDefault="00CC41DF"/>
    <w:p w:rsidR="00CC41DF" w:rsidRDefault="00CC41DF">
      <w:pPr>
        <w:pStyle w:val="Heading5"/>
      </w:pPr>
      <w:r>
        <w:t>Performance Planning Summary</w:t>
      </w:r>
    </w:p>
    <w:p w:rsidR="00CC41DF" w:rsidRDefault="00CC41DF"/>
    <w:p w:rsidR="00CC41DF" w:rsidRDefault="00CC41DF">
      <w:r>
        <w:t xml:space="preserve">The performance plan for FY 2004 included two core functions:  retirement system services and benefits and resource management.  Four outcome measures were developed for the first function and two outcomes related to resource management were also developed.  Also, measures were developed for 11 Services, Products and Activities (SPAs) under Resource Management and 7 SPA measures were developed for the retirement services core function.  Since most performance measures were new, the main focus was on collecting </w:t>
      </w:r>
      <w:r>
        <w:lastRenderedPageBreak/>
        <w:t>baseline data that will be used for comparison purposes in future fiscal years.  These data will be combined with benchmarking results to foster an environment of excellence and continuous improvement focused on measurable results.</w:t>
      </w:r>
    </w:p>
    <w:p w:rsidR="00CC41DF" w:rsidRDefault="00CC41DF"/>
    <w:p w:rsidR="00CC41DF" w:rsidRDefault="00CC41DF">
      <w:r>
        <w:lastRenderedPageBreak/>
        <w:t xml:space="preserve">We thank the IPERS Investment Board, Benefits Advisory Committee and our members for their continuing support and we welcome the assistance of the Iowa Legislature, Governor’s Office and other stakeholders in building a world-class pension system for </w:t>
      </w:r>
      <w:smartTag w:uri="urn:schemas-microsoft-com:office:smarttags" w:element="State">
        <w:smartTag w:uri="urn:schemas-microsoft-com:office:smarttags" w:element="place">
          <w:r>
            <w:t>Iowa</w:t>
          </w:r>
        </w:smartTag>
      </w:smartTag>
      <w:r>
        <w:t>’s public employees.</w:t>
      </w:r>
    </w:p>
    <w:p w:rsidR="00CC41DF" w:rsidRDefault="00CC41DF">
      <w:pPr>
        <w:sectPr w:rsidR="00CC41DF">
          <w:type w:val="continuous"/>
          <w:pgSz w:w="12240" w:h="15840"/>
          <w:pgMar w:top="1440" w:right="1440" w:bottom="1440" w:left="1440" w:header="720" w:footer="720" w:gutter="0"/>
          <w:cols w:num="2" w:space="720"/>
          <w:docGrid w:linePitch="360"/>
        </w:sectPr>
      </w:pPr>
    </w:p>
    <w:p w:rsidR="00CC41DF" w:rsidRDefault="00CC41DF"/>
    <w:p w:rsidR="00CC41DF" w:rsidRDefault="00CC41DF"/>
    <w:p w:rsidR="00CC41DF" w:rsidRDefault="00CC41DF"/>
    <w:p w:rsidR="00CC41DF" w:rsidRDefault="00CC41DF">
      <w:r>
        <w:br w:type="page"/>
      </w:r>
      <w:r>
        <w:rPr>
          <w:noProof/>
          <w:sz w:val="20"/>
        </w:rPr>
        <w:lastRenderedPageBreak/>
        <w:pict>
          <v:shape id="_x0000_s1027" type="#_x0000_t202" style="position:absolute;margin-left:18pt;margin-top:-9pt;width:468pt;height:36pt;z-index:-251662336" strokeweight="1.5pt">
            <v:shadow on="t" offset="-6pt,-6pt"/>
            <v:textbox style="mso-next-textbox:#_x0000_s1027">
              <w:txbxContent>
                <w:p w:rsidR="00CC41DF" w:rsidRDefault="00CC41DF">
                  <w:pPr>
                    <w:jc w:val="center"/>
                    <w:rPr>
                      <w:rFonts w:ascii="Arial Black" w:hAnsi="Arial Black"/>
                      <w:sz w:val="36"/>
                    </w:rPr>
                  </w:pPr>
                  <w:r>
                    <w:rPr>
                      <w:rFonts w:ascii="Arial Black" w:hAnsi="Arial Black"/>
                      <w:sz w:val="36"/>
                    </w:rPr>
                    <w:t xml:space="preserve">2.  AGENCY OVERVIEW </w:t>
                  </w:r>
                </w:p>
                <w:p w:rsidR="00CC41DF" w:rsidRDefault="00CC41DF">
                  <w:pPr>
                    <w:jc w:val="center"/>
                    <w:rPr>
                      <w:rFonts w:ascii="Bookman Old Style" w:hAnsi="Bookman Old Style"/>
                      <w:b/>
                      <w:sz w:val="32"/>
                    </w:rPr>
                  </w:pPr>
                </w:p>
                <w:p w:rsidR="00CC41DF" w:rsidRDefault="00CC41DF"/>
              </w:txbxContent>
            </v:textbox>
          </v:shape>
        </w:pict>
      </w:r>
    </w:p>
    <w:p w:rsidR="00CC41DF" w:rsidRDefault="00CC41DF"/>
    <w:p w:rsidR="00CC41DF" w:rsidRDefault="00CC41DF"/>
    <w:p w:rsidR="00CC41DF" w:rsidRDefault="00CC41DF"/>
    <w:p w:rsidR="00CC41DF" w:rsidRDefault="00CC41DF">
      <w:pPr>
        <w:rPr>
          <w:b/>
          <w:bCs/>
          <w:u w:val="single"/>
        </w:rPr>
        <w:sectPr w:rsidR="00CC41DF">
          <w:type w:val="continuous"/>
          <w:pgSz w:w="12240" w:h="15840"/>
          <w:pgMar w:top="1440" w:right="1440" w:bottom="1440" w:left="1440" w:header="720" w:footer="720" w:gutter="0"/>
          <w:cols w:space="720"/>
          <w:docGrid w:linePitch="360"/>
        </w:sectPr>
      </w:pPr>
    </w:p>
    <w:p w:rsidR="00CC41DF" w:rsidRDefault="00CC41DF">
      <w:pPr>
        <w:rPr>
          <w:i/>
          <w:iCs/>
        </w:rPr>
      </w:pPr>
      <w:r>
        <w:rPr>
          <w:b/>
          <w:bCs/>
          <w:u w:val="single"/>
        </w:rPr>
        <w:lastRenderedPageBreak/>
        <w:t>Vision</w:t>
      </w:r>
      <w:r>
        <w:rPr>
          <w:b/>
          <w:bCs/>
        </w:rPr>
        <w:t xml:space="preserve">:  </w:t>
      </w:r>
      <w:r>
        <w:t xml:space="preserve">IPERS seeks </w:t>
      </w:r>
      <w:r>
        <w:rPr>
          <w:i/>
          <w:iCs/>
        </w:rPr>
        <w:t>to be recognized as the best-administered public retirement system in the country, providing our members and beneficiaries valuable benefits and superior services.</w:t>
      </w:r>
    </w:p>
    <w:p w:rsidR="00CC41DF" w:rsidRDefault="00CC41DF">
      <w:pPr>
        <w:rPr>
          <w:i/>
          <w:iCs/>
        </w:rPr>
      </w:pPr>
    </w:p>
    <w:p w:rsidR="00CC41DF" w:rsidRDefault="00CC41DF">
      <w:pPr>
        <w:rPr>
          <w:i/>
          <w:iCs/>
        </w:rPr>
      </w:pPr>
      <w:smartTag w:uri="urn:schemas-microsoft-com:office:smarttags" w:element="City">
        <w:r>
          <w:rPr>
            <w:b/>
            <w:bCs/>
            <w:u w:val="single"/>
          </w:rPr>
          <w:t>Mission</w:t>
        </w:r>
      </w:smartTag>
      <w:r>
        <w:t xml:space="preserve">:  The core purpose and mission of the Iowa Public Employees’ Retirement System (IPERS) is </w:t>
      </w:r>
      <w:r>
        <w:rPr>
          <w:i/>
          <w:iCs/>
        </w:rPr>
        <w:t xml:space="preserve">to provide cost-effective services and valuable retirement benefits exclusively to members and their beneficiaries for their care in retirement, to reduce personnel turnover and to attract competent men and women to public service in the State of </w:t>
      </w:r>
      <w:smartTag w:uri="urn:schemas-microsoft-com:office:smarttags" w:element="State">
        <w:smartTag w:uri="urn:schemas-microsoft-com:office:smarttags" w:element="place">
          <w:r>
            <w:rPr>
              <w:i/>
              <w:iCs/>
            </w:rPr>
            <w:t>Iowa</w:t>
          </w:r>
        </w:smartTag>
      </w:smartTag>
      <w:r>
        <w:rPr>
          <w:i/>
          <w:iCs/>
        </w:rPr>
        <w:t>.</w:t>
      </w:r>
    </w:p>
    <w:p w:rsidR="00CC41DF" w:rsidRDefault="00CC41DF">
      <w:pPr>
        <w:rPr>
          <w:i/>
          <w:iCs/>
        </w:rPr>
      </w:pPr>
      <w:r>
        <w:rPr>
          <w:i/>
          <w:iCs/>
        </w:rPr>
        <w:t xml:space="preserve">  </w:t>
      </w:r>
    </w:p>
    <w:p w:rsidR="00CC41DF" w:rsidRDefault="00CC41DF">
      <w:r>
        <w:rPr>
          <w:b/>
          <w:bCs/>
          <w:u w:val="single"/>
        </w:rPr>
        <w:t xml:space="preserve">Core Values   </w:t>
      </w:r>
      <w:r>
        <w:t>In seeking to provide benefits and services to members, IPERS supports the following core values:</w:t>
      </w:r>
    </w:p>
    <w:p w:rsidR="00CC41DF" w:rsidRDefault="00CC41DF">
      <w:pPr>
        <w:numPr>
          <w:ilvl w:val="0"/>
          <w:numId w:val="1"/>
        </w:numPr>
        <w:jc w:val="both"/>
      </w:pPr>
      <w:r>
        <w:t>Members and public employers are the reason we exist and providing the most efficient and effective services to our members, their beneficiaries, and public employers is our primary responsibility.</w:t>
      </w:r>
    </w:p>
    <w:p w:rsidR="00CC41DF" w:rsidRDefault="00CC41DF">
      <w:pPr>
        <w:numPr>
          <w:ilvl w:val="0"/>
          <w:numId w:val="1"/>
        </w:numPr>
        <w:ind w:right="-180"/>
        <w:jc w:val="both"/>
      </w:pPr>
      <w:r>
        <w:t>Protection of member benefits and services are fundamental to IPERS’ operations.</w:t>
      </w:r>
    </w:p>
    <w:p w:rsidR="00CC41DF" w:rsidRDefault="00CC41DF">
      <w:pPr>
        <w:numPr>
          <w:ilvl w:val="0"/>
          <w:numId w:val="1"/>
        </w:numPr>
        <w:jc w:val="both"/>
      </w:pPr>
      <w:r>
        <w:rPr>
          <w:sz w:val="22"/>
        </w:rPr>
        <w:t>Independent responsible</w:t>
      </w:r>
      <w:r>
        <w:t xml:space="preserve"> management of the trust fund for the exclusive benefit of our members and beneficiaries is our most important fiduciary responsibility and must not be compromised for political or operational expediency.</w:t>
      </w:r>
    </w:p>
    <w:p w:rsidR="00CC41DF" w:rsidRDefault="00CC41DF">
      <w:pPr>
        <w:numPr>
          <w:ilvl w:val="0"/>
          <w:numId w:val="1"/>
        </w:numPr>
        <w:jc w:val="both"/>
      </w:pPr>
      <w:r>
        <w:t>Honesty and integrity shall prevail in our dealings with members, other stakeholders, and with our colleagues.</w:t>
      </w:r>
    </w:p>
    <w:p w:rsidR="00CC41DF" w:rsidRDefault="00CC41DF">
      <w:pPr>
        <w:numPr>
          <w:ilvl w:val="0"/>
          <w:numId w:val="2"/>
        </w:numPr>
      </w:pPr>
      <w:r>
        <w:t xml:space="preserve">Mutual respect guides our deliberations, and we are committed </w:t>
      </w:r>
      <w:r>
        <w:lastRenderedPageBreak/>
        <w:t>to follow the highest level of professional conduct.</w:t>
      </w:r>
    </w:p>
    <w:p w:rsidR="00CC41DF" w:rsidRDefault="00CC41DF">
      <w:pPr>
        <w:numPr>
          <w:ilvl w:val="0"/>
          <w:numId w:val="2"/>
        </w:numPr>
      </w:pPr>
      <w:r>
        <w:t>Accountability is fundamental to trust, and we stand behind our actions and their results.</w:t>
      </w:r>
    </w:p>
    <w:p w:rsidR="00CC41DF" w:rsidRDefault="00CC41DF">
      <w:r>
        <w:t xml:space="preserve">  </w:t>
      </w:r>
    </w:p>
    <w:p w:rsidR="00CC41DF" w:rsidRDefault="00CC41DF">
      <w:pPr>
        <w:pStyle w:val="Heading7"/>
        <w:rPr>
          <w:bCs/>
        </w:rPr>
      </w:pPr>
      <w:r>
        <w:rPr>
          <w:bCs/>
        </w:rPr>
        <w:t xml:space="preserve">Core Functions  </w:t>
      </w:r>
    </w:p>
    <w:p w:rsidR="00CC41DF" w:rsidRDefault="00CC41DF">
      <w:pPr>
        <w:rPr>
          <w:b/>
          <w:bCs/>
        </w:rPr>
      </w:pPr>
    </w:p>
    <w:p w:rsidR="00CC41DF" w:rsidRDefault="00CC41DF">
      <w:pPr>
        <w:rPr>
          <w:b/>
          <w:bCs/>
        </w:rPr>
      </w:pPr>
      <w:r>
        <w:t>The primary core functions assigned to IPERS are:</w:t>
      </w:r>
      <w:r>
        <w:rPr>
          <w:b/>
          <w:bCs/>
        </w:rPr>
        <w:t xml:space="preserve">  </w:t>
      </w:r>
    </w:p>
    <w:p w:rsidR="00CC41DF" w:rsidRDefault="00CC41DF"/>
    <w:p w:rsidR="00CC41DF" w:rsidRDefault="00CC41DF">
      <w:pPr>
        <w:numPr>
          <w:ilvl w:val="0"/>
          <w:numId w:val="4"/>
        </w:numPr>
        <w:jc w:val="both"/>
        <w:rPr>
          <w:b/>
        </w:rPr>
      </w:pPr>
      <w:r>
        <w:rPr>
          <w:b/>
        </w:rPr>
        <w:t>Retirement System Services and Benefits</w:t>
      </w:r>
    </w:p>
    <w:p w:rsidR="00CC41DF" w:rsidRDefault="00CC41DF">
      <w:pPr>
        <w:pStyle w:val="BodyText"/>
        <w:ind w:firstLine="360"/>
        <w:rPr>
          <w:rFonts w:ascii="Times New Roman" w:hAnsi="Times New Roman"/>
        </w:rPr>
      </w:pPr>
      <w:r>
        <w:rPr>
          <w:rFonts w:ascii="Times New Roman" w:hAnsi="Times New Roman"/>
        </w:rPr>
        <w:t>Administer a responsible retirement system for the exclusive benefit of its public employee members and their beneficiaries.</w:t>
      </w:r>
    </w:p>
    <w:p w:rsidR="00CC41DF" w:rsidRDefault="00CC41DF">
      <w:pPr>
        <w:numPr>
          <w:ilvl w:val="0"/>
          <w:numId w:val="4"/>
        </w:numPr>
        <w:jc w:val="both"/>
        <w:rPr>
          <w:b/>
        </w:rPr>
      </w:pPr>
      <w:r>
        <w:rPr>
          <w:b/>
        </w:rPr>
        <w:t>Resource Management (</w:t>
      </w:r>
      <w:smartTag w:uri="urn:schemas-microsoft-com:office:smarttags" w:element="City">
        <w:smartTag w:uri="urn:schemas-microsoft-com:office:smarttags" w:element="place">
          <w:r>
            <w:rPr>
              <w:b/>
            </w:rPr>
            <w:t>Enterprise</w:t>
          </w:r>
        </w:smartTag>
      </w:smartTag>
      <w:r>
        <w:rPr>
          <w:b/>
        </w:rPr>
        <w:t xml:space="preserve"> or Agency)</w:t>
      </w:r>
    </w:p>
    <w:p w:rsidR="00CC41DF" w:rsidRDefault="00CC41DF">
      <w:pPr>
        <w:pStyle w:val="BodyTextIndent2"/>
      </w:pPr>
      <w:r>
        <w:t>Provides all vital infrastructure needs necessary to administer and support agency operations.  Key activities include financial and personnel services such as payroll, accounting and budget; purchasing of goods and services; media management; information technology enhancement, management and support; staff development; leadership; planning; policy development; maintenance of physical infrastructure and governance system development to achieve results for Iowans.</w:t>
      </w:r>
    </w:p>
    <w:p w:rsidR="00CC41DF" w:rsidRDefault="00CC41DF">
      <w:pPr>
        <w:jc w:val="both"/>
        <w:rPr>
          <w:rFonts w:ascii="Arial" w:hAnsi="Arial"/>
        </w:rPr>
      </w:pPr>
    </w:p>
    <w:p w:rsidR="00CC41DF" w:rsidRDefault="00CC41DF">
      <w:pPr>
        <w:pStyle w:val="Heading6"/>
        <w:rPr>
          <w:u w:val="single"/>
        </w:rPr>
      </w:pPr>
      <w:r>
        <w:rPr>
          <w:u w:val="single"/>
        </w:rPr>
        <w:t xml:space="preserve">Key Services, Products (Benefits) and/or Activities </w:t>
      </w:r>
    </w:p>
    <w:p w:rsidR="00CC41DF" w:rsidRDefault="00CC41DF"/>
    <w:p w:rsidR="00CC41DF" w:rsidRDefault="00CC41DF">
      <w:pPr>
        <w:pStyle w:val="BodyText"/>
        <w:ind w:firstLine="360"/>
        <w:rPr>
          <w:rFonts w:ascii="Times New Roman" w:hAnsi="Times New Roman"/>
        </w:rPr>
      </w:pPr>
      <w:r>
        <w:rPr>
          <w:rFonts w:ascii="Times New Roman" w:hAnsi="Times New Roman"/>
        </w:rPr>
        <w:t xml:space="preserve">IPERS is a defined benefit plan with a formula equal to two percent per year of service multiplied by the average of the three highest annual covered wages and adjusted for years of service, age, and death benefit selected. Additional benefits to members are death benefits for beneficiaries including lump sums, converting annuities </w:t>
      </w:r>
      <w:r>
        <w:rPr>
          <w:rFonts w:ascii="Times New Roman" w:hAnsi="Times New Roman"/>
        </w:rPr>
        <w:lastRenderedPageBreak/>
        <w:t>to lump sums, and continuing monthly payments, depending on the choice of the member, and disability retirement benefits to members whose eligibility is determined by Social Security.</w:t>
      </w:r>
    </w:p>
    <w:p w:rsidR="00CC41DF" w:rsidRDefault="00CC41DF">
      <w:pPr>
        <w:pStyle w:val="BodyText"/>
        <w:ind w:firstLine="360"/>
      </w:pPr>
    </w:p>
    <w:p w:rsidR="00CC41DF" w:rsidRDefault="00CC41DF">
      <w:pPr>
        <w:ind w:firstLine="360"/>
      </w:pPr>
      <w:r>
        <w:t>Developing a consistent inventory of IPERS’ services and activities has been difficult since the level of detail and focus may vary according to different information needs.  IPERS’ participation in the CEM benefits administration benchmarking process requires that administrative costs be assigned to various services or activities that are used to conduct the comparisons.  The AGA also requires that core functions and Services, Products and/or /Activities (SPAs) be developed to complete performance measures and for determining cost centers for budgeting purposes.  To encourage uniformity between different methodologies, CEM services and activities have been chosen as the basic cost categories for services and benefits, but the AGA core functions and definitions are more appropriate for resource management.  The CEM activities and services are as follows:</w:t>
      </w:r>
    </w:p>
    <w:p w:rsidR="00CC41DF" w:rsidRDefault="00CC41DF"/>
    <w:p w:rsidR="00CC41DF" w:rsidRDefault="00CC41DF">
      <w:pPr>
        <w:pStyle w:val="BodyTextIndent2"/>
        <w:numPr>
          <w:ilvl w:val="0"/>
          <w:numId w:val="8"/>
        </w:numPr>
        <w:rPr>
          <w:b/>
          <w:bCs/>
        </w:rPr>
      </w:pPr>
      <w:r>
        <w:rPr>
          <w:b/>
          <w:bCs/>
        </w:rPr>
        <w:t>Paying pensions</w:t>
      </w:r>
    </w:p>
    <w:p w:rsidR="00CC41DF" w:rsidRDefault="00CC41DF">
      <w:pPr>
        <w:pStyle w:val="BodyTextIndent2"/>
        <w:numPr>
          <w:ilvl w:val="0"/>
          <w:numId w:val="8"/>
        </w:numPr>
        <w:rPr>
          <w:b/>
          <w:bCs/>
        </w:rPr>
      </w:pPr>
      <w:r>
        <w:rPr>
          <w:b/>
          <w:bCs/>
        </w:rPr>
        <w:t>Pension inceptions</w:t>
      </w:r>
    </w:p>
    <w:p w:rsidR="00CC41DF" w:rsidRDefault="00CC41DF">
      <w:pPr>
        <w:pStyle w:val="BodyTextIndent2"/>
        <w:numPr>
          <w:ilvl w:val="0"/>
          <w:numId w:val="8"/>
        </w:numPr>
        <w:rPr>
          <w:b/>
          <w:bCs/>
        </w:rPr>
      </w:pPr>
      <w:r>
        <w:rPr>
          <w:b/>
          <w:bCs/>
        </w:rPr>
        <w:t>Preparing and mailing estimates</w:t>
      </w:r>
    </w:p>
    <w:p w:rsidR="00CC41DF" w:rsidRDefault="00CC41DF">
      <w:pPr>
        <w:pStyle w:val="BodyTextIndent2"/>
        <w:numPr>
          <w:ilvl w:val="0"/>
          <w:numId w:val="8"/>
        </w:numPr>
        <w:rPr>
          <w:b/>
          <w:bCs/>
        </w:rPr>
      </w:pPr>
      <w:r>
        <w:rPr>
          <w:b/>
          <w:bCs/>
        </w:rPr>
        <w:t>Counseling (in-house and group)</w:t>
      </w:r>
    </w:p>
    <w:p w:rsidR="00CC41DF" w:rsidRDefault="00CC41DF">
      <w:pPr>
        <w:pStyle w:val="BodyTextIndent2"/>
        <w:numPr>
          <w:ilvl w:val="0"/>
          <w:numId w:val="8"/>
        </w:numPr>
        <w:rPr>
          <w:b/>
          <w:bCs/>
        </w:rPr>
      </w:pPr>
      <w:r>
        <w:rPr>
          <w:b/>
          <w:bCs/>
        </w:rPr>
        <w:t>Member contacts</w:t>
      </w:r>
    </w:p>
    <w:p w:rsidR="00CC41DF" w:rsidRDefault="00CC41DF">
      <w:pPr>
        <w:pStyle w:val="BodyTextIndent2"/>
        <w:numPr>
          <w:ilvl w:val="0"/>
          <w:numId w:val="8"/>
        </w:numPr>
        <w:rPr>
          <w:b/>
          <w:bCs/>
        </w:rPr>
      </w:pPr>
      <w:r>
        <w:rPr>
          <w:b/>
          <w:bCs/>
        </w:rPr>
        <w:t>Mass communication</w:t>
      </w:r>
    </w:p>
    <w:p w:rsidR="00CC41DF" w:rsidRDefault="00CC41DF">
      <w:pPr>
        <w:pStyle w:val="BodyTextIndent2"/>
        <w:numPr>
          <w:ilvl w:val="0"/>
          <w:numId w:val="8"/>
        </w:numPr>
        <w:rPr>
          <w:b/>
          <w:bCs/>
        </w:rPr>
      </w:pPr>
      <w:r>
        <w:rPr>
          <w:b/>
          <w:bCs/>
        </w:rPr>
        <w:t>Data management, billing and services to employers</w:t>
      </w:r>
    </w:p>
    <w:p w:rsidR="00CC41DF" w:rsidRDefault="00CC41DF">
      <w:pPr>
        <w:pStyle w:val="BodyTextIndent2"/>
        <w:numPr>
          <w:ilvl w:val="0"/>
          <w:numId w:val="8"/>
        </w:numPr>
        <w:rPr>
          <w:b/>
          <w:bCs/>
        </w:rPr>
      </w:pPr>
      <w:r>
        <w:rPr>
          <w:b/>
          <w:bCs/>
        </w:rPr>
        <w:t>Processing and paying refunds</w:t>
      </w:r>
    </w:p>
    <w:p w:rsidR="00CC41DF" w:rsidRDefault="00CC41DF">
      <w:pPr>
        <w:pStyle w:val="BodyTextIndent2"/>
        <w:numPr>
          <w:ilvl w:val="0"/>
          <w:numId w:val="8"/>
        </w:numPr>
        <w:rPr>
          <w:b/>
          <w:bCs/>
        </w:rPr>
      </w:pPr>
      <w:r>
        <w:rPr>
          <w:b/>
          <w:bCs/>
        </w:rPr>
        <w:t>Processing service purchases</w:t>
      </w:r>
    </w:p>
    <w:p w:rsidR="00CC41DF" w:rsidRDefault="00CC41DF">
      <w:pPr>
        <w:pStyle w:val="BodyTextIndent2"/>
        <w:numPr>
          <w:ilvl w:val="0"/>
          <w:numId w:val="8"/>
        </w:numPr>
        <w:rPr>
          <w:b/>
          <w:bCs/>
        </w:rPr>
      </w:pPr>
      <w:r>
        <w:rPr>
          <w:b/>
          <w:bCs/>
        </w:rPr>
        <w:t>Disability</w:t>
      </w:r>
    </w:p>
    <w:p w:rsidR="00CC41DF" w:rsidRDefault="00CC41DF">
      <w:pPr>
        <w:pStyle w:val="BodyTextIndent2"/>
        <w:numPr>
          <w:ilvl w:val="0"/>
          <w:numId w:val="8"/>
        </w:numPr>
        <w:rPr>
          <w:b/>
          <w:bCs/>
        </w:rPr>
      </w:pPr>
      <w:r>
        <w:rPr>
          <w:b/>
          <w:bCs/>
        </w:rPr>
        <w:t>Financial control and governance</w:t>
      </w:r>
    </w:p>
    <w:p w:rsidR="00CC41DF" w:rsidRDefault="00CC41DF">
      <w:pPr>
        <w:pStyle w:val="BodyTextIndent2"/>
        <w:numPr>
          <w:ilvl w:val="0"/>
          <w:numId w:val="8"/>
        </w:numPr>
        <w:rPr>
          <w:b/>
          <w:bCs/>
        </w:rPr>
      </w:pPr>
      <w:r>
        <w:rPr>
          <w:b/>
          <w:bCs/>
        </w:rPr>
        <w:t>Rules development, interpretation and implementation</w:t>
      </w:r>
    </w:p>
    <w:p w:rsidR="00CC41DF" w:rsidRDefault="00CC41DF">
      <w:pPr>
        <w:pStyle w:val="BodyTextIndent2"/>
        <w:numPr>
          <w:ilvl w:val="0"/>
          <w:numId w:val="8"/>
        </w:numPr>
        <w:rPr>
          <w:b/>
          <w:bCs/>
        </w:rPr>
      </w:pPr>
      <w:r>
        <w:rPr>
          <w:b/>
          <w:bCs/>
        </w:rPr>
        <w:t>Non-pension benefits</w:t>
      </w:r>
    </w:p>
    <w:p w:rsidR="00CC41DF" w:rsidRDefault="00CC41DF">
      <w:pPr>
        <w:numPr>
          <w:ilvl w:val="0"/>
          <w:numId w:val="8"/>
        </w:numPr>
        <w:rPr>
          <w:b/>
          <w:bCs/>
        </w:rPr>
      </w:pPr>
      <w:r>
        <w:rPr>
          <w:b/>
          <w:bCs/>
        </w:rPr>
        <w:t>Major projects</w:t>
      </w:r>
    </w:p>
    <w:p w:rsidR="00CC41DF" w:rsidRDefault="00CC41DF">
      <w:pPr>
        <w:pStyle w:val="Heading6"/>
      </w:pPr>
    </w:p>
    <w:p w:rsidR="00CC41DF" w:rsidRDefault="00CC41DF">
      <w:pPr>
        <w:pStyle w:val="Heading6"/>
      </w:pPr>
      <w:r>
        <w:t>SPAs by Core Function used in the FY  2004 Performance Plan</w:t>
      </w:r>
    </w:p>
    <w:p w:rsidR="00CC41DF" w:rsidRDefault="00CC41DF"/>
    <w:p w:rsidR="00CC41DF" w:rsidRDefault="00CC41DF">
      <w:pPr>
        <w:numPr>
          <w:ilvl w:val="0"/>
          <w:numId w:val="5"/>
        </w:numPr>
        <w:rPr>
          <w:b/>
        </w:rPr>
      </w:pPr>
      <w:r>
        <w:rPr>
          <w:b/>
        </w:rPr>
        <w:t>Retirement System Services and Benefits – These were derived mainly from the CEM categories:</w:t>
      </w:r>
    </w:p>
    <w:p w:rsidR="00CC41DF" w:rsidRDefault="00CC41DF">
      <w:pPr>
        <w:numPr>
          <w:ilvl w:val="0"/>
          <w:numId w:val="7"/>
        </w:numPr>
        <w:rPr>
          <w:b/>
        </w:rPr>
      </w:pPr>
      <w:r>
        <w:rPr>
          <w:b/>
        </w:rPr>
        <w:t>Member Counseling</w:t>
      </w:r>
    </w:p>
    <w:p w:rsidR="00CC41DF" w:rsidRDefault="00CC41DF">
      <w:pPr>
        <w:numPr>
          <w:ilvl w:val="0"/>
          <w:numId w:val="7"/>
        </w:numPr>
        <w:rPr>
          <w:b/>
        </w:rPr>
      </w:pPr>
      <w:r>
        <w:rPr>
          <w:b/>
        </w:rPr>
        <w:t>Member Telephone Calls</w:t>
      </w:r>
    </w:p>
    <w:p w:rsidR="00CC41DF" w:rsidRDefault="00CC41DF">
      <w:pPr>
        <w:numPr>
          <w:ilvl w:val="0"/>
          <w:numId w:val="7"/>
        </w:numPr>
        <w:rPr>
          <w:b/>
        </w:rPr>
      </w:pPr>
      <w:r>
        <w:rPr>
          <w:b/>
        </w:rPr>
        <w:t>Retirement Payments</w:t>
      </w:r>
    </w:p>
    <w:p w:rsidR="00CC41DF" w:rsidRDefault="00CC41DF">
      <w:pPr>
        <w:numPr>
          <w:ilvl w:val="0"/>
          <w:numId w:val="7"/>
        </w:numPr>
        <w:rPr>
          <w:b/>
        </w:rPr>
      </w:pPr>
      <w:r>
        <w:rPr>
          <w:b/>
        </w:rPr>
        <w:t>Employer Training</w:t>
      </w:r>
    </w:p>
    <w:p w:rsidR="00CC41DF" w:rsidRDefault="00CC41DF">
      <w:pPr>
        <w:numPr>
          <w:ilvl w:val="0"/>
          <w:numId w:val="7"/>
        </w:numPr>
        <w:rPr>
          <w:b/>
        </w:rPr>
      </w:pPr>
      <w:r>
        <w:rPr>
          <w:b/>
        </w:rPr>
        <w:t>Refund Payments</w:t>
      </w:r>
    </w:p>
    <w:p w:rsidR="00CC41DF" w:rsidRDefault="00CC41DF">
      <w:pPr>
        <w:numPr>
          <w:ilvl w:val="0"/>
          <w:numId w:val="7"/>
        </w:numPr>
        <w:rPr>
          <w:b/>
        </w:rPr>
      </w:pPr>
      <w:r>
        <w:rPr>
          <w:b/>
        </w:rPr>
        <w:t>Service Purchases</w:t>
      </w:r>
    </w:p>
    <w:p w:rsidR="00CC41DF" w:rsidRDefault="00CC41DF">
      <w:pPr>
        <w:numPr>
          <w:ilvl w:val="0"/>
          <w:numId w:val="7"/>
        </w:numPr>
        <w:rPr>
          <w:b/>
        </w:rPr>
      </w:pPr>
      <w:r>
        <w:rPr>
          <w:b/>
        </w:rPr>
        <w:t>Member, Retiree and Employer Publications</w:t>
      </w:r>
    </w:p>
    <w:p w:rsidR="00CC41DF" w:rsidRDefault="00CC41DF">
      <w:pPr>
        <w:rPr>
          <w:b/>
        </w:rPr>
      </w:pPr>
    </w:p>
    <w:p w:rsidR="00CC41DF" w:rsidRDefault="00CC41DF">
      <w:pPr>
        <w:numPr>
          <w:ilvl w:val="0"/>
          <w:numId w:val="5"/>
        </w:numPr>
        <w:rPr>
          <w:b/>
        </w:rPr>
      </w:pPr>
      <w:r>
        <w:rPr>
          <w:b/>
        </w:rPr>
        <w:t>Resource Management – These are based primarily on the AGA definitions:</w:t>
      </w:r>
    </w:p>
    <w:p w:rsidR="00CC41DF" w:rsidRDefault="00CC41DF">
      <w:pPr>
        <w:numPr>
          <w:ilvl w:val="0"/>
          <w:numId w:val="9"/>
        </w:numPr>
        <w:rPr>
          <w:b/>
        </w:rPr>
      </w:pPr>
      <w:r>
        <w:rPr>
          <w:b/>
        </w:rPr>
        <w:t>Budget Development</w:t>
      </w:r>
    </w:p>
    <w:p w:rsidR="00CC41DF" w:rsidRDefault="00CC41DF">
      <w:pPr>
        <w:numPr>
          <w:ilvl w:val="0"/>
          <w:numId w:val="9"/>
        </w:numPr>
        <w:rPr>
          <w:b/>
        </w:rPr>
      </w:pPr>
      <w:r>
        <w:rPr>
          <w:b/>
        </w:rPr>
        <w:t>Office Services and Property Management</w:t>
      </w:r>
    </w:p>
    <w:p w:rsidR="00CC41DF" w:rsidRDefault="00CC41DF">
      <w:pPr>
        <w:numPr>
          <w:ilvl w:val="0"/>
          <w:numId w:val="9"/>
        </w:numPr>
        <w:rPr>
          <w:b/>
        </w:rPr>
      </w:pPr>
      <w:smartTag w:uri="urn:schemas-microsoft-com:office:smarttags" w:element="State">
        <w:smartTag w:uri="urn:schemas-microsoft-com:office:smarttags" w:element="place">
          <w:r>
            <w:rPr>
              <w:b/>
            </w:rPr>
            <w:t>Iowa</w:t>
          </w:r>
        </w:smartTag>
      </w:smartTag>
      <w:r>
        <w:rPr>
          <w:b/>
        </w:rPr>
        <w:t xml:space="preserve"> Code and Administrative Rule Maintenance</w:t>
      </w:r>
    </w:p>
    <w:p w:rsidR="00CC41DF" w:rsidRDefault="00CC41DF">
      <w:pPr>
        <w:numPr>
          <w:ilvl w:val="0"/>
          <w:numId w:val="9"/>
        </w:numPr>
        <w:rPr>
          <w:b/>
        </w:rPr>
      </w:pPr>
      <w:r>
        <w:rPr>
          <w:b/>
        </w:rPr>
        <w:t>Assignments Processing</w:t>
      </w:r>
    </w:p>
    <w:p w:rsidR="00CC41DF" w:rsidRDefault="00CC41DF">
      <w:pPr>
        <w:numPr>
          <w:ilvl w:val="0"/>
          <w:numId w:val="9"/>
        </w:numPr>
        <w:rPr>
          <w:b/>
        </w:rPr>
      </w:pPr>
      <w:r>
        <w:rPr>
          <w:b/>
        </w:rPr>
        <w:t>Appeals Coordination</w:t>
      </w:r>
    </w:p>
    <w:p w:rsidR="00CC41DF" w:rsidRDefault="00CC41DF">
      <w:pPr>
        <w:numPr>
          <w:ilvl w:val="0"/>
          <w:numId w:val="9"/>
        </w:numPr>
        <w:rPr>
          <w:b/>
        </w:rPr>
      </w:pPr>
      <w:r>
        <w:rPr>
          <w:b/>
        </w:rPr>
        <w:t>Technology Acquiring and Managing</w:t>
      </w:r>
    </w:p>
    <w:p w:rsidR="00CC41DF" w:rsidRDefault="00CC41DF">
      <w:pPr>
        <w:numPr>
          <w:ilvl w:val="0"/>
          <w:numId w:val="9"/>
        </w:numPr>
        <w:rPr>
          <w:b/>
        </w:rPr>
      </w:pPr>
      <w:r>
        <w:rPr>
          <w:b/>
        </w:rPr>
        <w:t>Application Developing</w:t>
      </w:r>
    </w:p>
    <w:p w:rsidR="00CC41DF" w:rsidRDefault="00CC41DF">
      <w:pPr>
        <w:numPr>
          <w:ilvl w:val="0"/>
          <w:numId w:val="9"/>
        </w:numPr>
        <w:rPr>
          <w:b/>
        </w:rPr>
      </w:pPr>
      <w:r>
        <w:rPr>
          <w:b/>
        </w:rPr>
        <w:t>Project Management</w:t>
      </w:r>
    </w:p>
    <w:p w:rsidR="00CC41DF" w:rsidRDefault="00CC41DF">
      <w:pPr>
        <w:numPr>
          <w:ilvl w:val="0"/>
          <w:numId w:val="9"/>
        </w:numPr>
        <w:rPr>
          <w:b/>
        </w:rPr>
      </w:pPr>
      <w:r>
        <w:rPr>
          <w:b/>
        </w:rPr>
        <w:t>AGA Compliance</w:t>
      </w:r>
    </w:p>
    <w:p w:rsidR="00CC41DF" w:rsidRDefault="00CC41DF">
      <w:pPr>
        <w:numPr>
          <w:ilvl w:val="0"/>
          <w:numId w:val="9"/>
        </w:numPr>
        <w:rPr>
          <w:b/>
        </w:rPr>
      </w:pPr>
      <w:r>
        <w:rPr>
          <w:b/>
        </w:rPr>
        <w:t>Employee Satisfaction and Development</w:t>
      </w:r>
    </w:p>
    <w:p w:rsidR="00CC41DF" w:rsidRDefault="00CC41DF">
      <w:pPr>
        <w:numPr>
          <w:ilvl w:val="0"/>
          <w:numId w:val="9"/>
        </w:numPr>
        <w:rPr>
          <w:b/>
        </w:rPr>
      </w:pPr>
      <w:r>
        <w:rPr>
          <w:b/>
        </w:rPr>
        <w:t>Internal Audit Effectiveness</w:t>
      </w:r>
    </w:p>
    <w:p w:rsidR="00CC41DF" w:rsidRDefault="00CC41DF">
      <w:pPr>
        <w:rPr>
          <w:b/>
        </w:rPr>
      </w:pPr>
    </w:p>
    <w:p w:rsidR="00CC41DF" w:rsidRDefault="00CC41DF">
      <w:pPr>
        <w:pStyle w:val="Heading7"/>
      </w:pPr>
      <w:r>
        <w:t>Stakeholders, Delivery Capacity and Organizational Structure</w:t>
      </w:r>
    </w:p>
    <w:p w:rsidR="00CC41DF" w:rsidRDefault="00CC41DF">
      <w:pPr>
        <w:rPr>
          <w:b/>
        </w:rPr>
      </w:pPr>
    </w:p>
    <w:p w:rsidR="00CC41DF" w:rsidRDefault="00CC41DF">
      <w:pPr>
        <w:ind w:firstLine="360"/>
        <w:jc w:val="both"/>
      </w:pPr>
      <w:r>
        <w:t xml:space="preserve">Members are one of IPERS’ two most important customer groups, and the term “member” denotes the highest stakeholder status.  The Retirement Benefits Unit provides most of the direct benefits and services to members with strong support </w:t>
      </w:r>
      <w:r>
        <w:lastRenderedPageBreak/>
        <w:t>from the Operations Unit and the Legal and Communications Unit.</w:t>
      </w:r>
    </w:p>
    <w:p w:rsidR="00CC41DF" w:rsidRDefault="00CC41DF">
      <w:pPr>
        <w:ind w:firstLine="360"/>
        <w:jc w:val="both"/>
      </w:pPr>
      <w:r>
        <w:t>Public employers share co-equal status with members as stakeholders.  The Employer Relations Team in the Retirement Benefits Unit and the Accounting Team of the Operations Unit provide most employers’ services.  The Operations Unit is also responsible for the deployment and maintenance of technology that serves members and employers.</w:t>
      </w:r>
    </w:p>
    <w:p w:rsidR="00CC41DF" w:rsidRDefault="00CC41DF">
      <w:pPr>
        <w:ind w:firstLine="360"/>
        <w:jc w:val="both"/>
      </w:pPr>
      <w:r>
        <w:t>The Benefits Advisory Committee (BAC) represents members and employers to the Retirement Benefits Unit, but also affects the other units.   The BAC is composed of employer and employee representatives that are designated by statute or are elected by committee members.  The BAC provides advocacy for members, employers and retirees relating to plan design, benefits enhancements, efficiency and effectiveness of services, coordination of legislation, and other matters that affect these major stakeholders.</w:t>
      </w:r>
    </w:p>
    <w:p w:rsidR="00CC41DF" w:rsidRDefault="00CC41DF">
      <w:pPr>
        <w:ind w:firstLine="360"/>
        <w:jc w:val="both"/>
      </w:pPr>
      <w:r>
        <w:t>The Investment Board, acting directly through the Investment Unit and based upon recommendations of their investment consultants (Wilshire Associates, Inc. and The Townsend Group) and staff, establishes investment policy and oversees its implementation.  Based on this policy, approximately 15 external professional investment management firms are contracted with to actively manage the various portfolios of the fund.  Investment Unit Staff, assisted by the Board’s contracted investment consultants, have the responsibility to fully understand and monitor the external managers’ activities.</w:t>
      </w:r>
    </w:p>
    <w:p w:rsidR="00CC41DF" w:rsidRDefault="00CC41DF">
      <w:pPr>
        <w:pStyle w:val="BodyTextIndent2"/>
      </w:pPr>
      <w:r>
        <w:t xml:space="preserve">Other external customers include the IRS (qualified plan status, distribution rules, tax withholding, levy administration), Iowa DHS (QDROs), the Iowa Department of Management (Accountable Government Act), the Governor’s Office (Strategic Planning, budget coordination, legislation), </w:t>
      </w:r>
      <w:r>
        <w:lastRenderedPageBreak/>
        <w:t>the Legislative Fiscal Bureau (coordination of legislation, budget coordination, program implementation), legislators, Iowa Department of Revenue (IDR), and other retirement systems (information sharing).</w:t>
      </w:r>
    </w:p>
    <w:p w:rsidR="00CC41DF" w:rsidRDefault="00CC41DF">
      <w:pPr>
        <w:ind w:firstLine="360"/>
        <w:jc w:val="both"/>
      </w:pPr>
      <w:r>
        <w:t>The IDR is a supplier of services in that they print the checks for retirement and refund distributions as well as providing and monitoring access to the state accounting system.  The Human Resources Enterprise Division of the Department of Administrative Services provides human relations services to IPERS, the Iowa Attorney General provides legal consultation, the Iowa Information Technology Department (ITD) provides technology support and consultation.  IPERS’ actuarial consultant, Milliman USA, Inc., determines the System’s actuarial assets, liabilities and funding level, and recommends any needed changes in IPERS contribution rates.</w:t>
      </w:r>
    </w:p>
    <w:p w:rsidR="00CC41DF" w:rsidRDefault="00CC41DF">
      <w:r>
        <w:t>The State Treasurer of Iowa is the custodian of the IPERS trust fund.</w:t>
      </w:r>
    </w:p>
    <w:p w:rsidR="00CC41DF" w:rsidRDefault="00CC41DF"/>
    <w:p w:rsidR="00CC41DF" w:rsidRDefault="00CC41DF">
      <w:pPr>
        <w:ind w:firstLine="360"/>
      </w:pPr>
      <w:r>
        <w:t xml:space="preserve">IPERS moved to its current location in south </w:t>
      </w:r>
      <w:smartTag w:uri="urn:schemas-microsoft-com:office:smarttags" w:element="City">
        <w:smartTag w:uri="urn:schemas-microsoft-com:office:smarttags" w:element="place">
          <w:r>
            <w:t>Des Moines</w:t>
          </w:r>
        </w:smartTag>
      </w:smartTag>
      <w:r>
        <w:t xml:space="preserve"> at </w:t>
      </w:r>
      <w:smartTag w:uri="urn:schemas-microsoft-com:office:smarttags" w:element="Street">
        <w:smartTag w:uri="urn:schemas-microsoft-com:office:smarttags" w:element="address">
          <w:r>
            <w:t>7401 Register Drive</w:t>
          </w:r>
        </w:smartTag>
      </w:smartTag>
      <w:r>
        <w:t xml:space="preserve"> in 2000.  There are 90 employees and 4 work units:  Retirement Benefits, Investments, Operations, and Legal.  IPERS’ is funded from the trust fund created by the contributions of employees and employers and returns from investments.  The approved operating budget for FY 2004 was $8.9 million, and $287,000 was returned to the trust fund.</w:t>
      </w:r>
    </w:p>
    <w:p w:rsidR="00CC41DF" w:rsidRDefault="00CC41DF">
      <w:r>
        <w:br w:type="page"/>
      </w:r>
      <w:r>
        <w:rPr>
          <w:noProof/>
          <w:sz w:val="20"/>
        </w:rPr>
        <w:lastRenderedPageBreak/>
        <w:pict>
          <v:shape id="_x0000_s1028" type="#_x0000_t202" style="position:absolute;margin-left:0;margin-top:0;width:468pt;height:36pt;z-index:-251661312" strokeweight="1.5pt">
            <v:shadow on="t" offset="-6pt,-6pt"/>
            <v:textbox style="mso-next-textbox:#_x0000_s1028">
              <w:txbxContent>
                <w:p w:rsidR="00CC41DF" w:rsidRDefault="00CC41DF">
                  <w:pPr>
                    <w:jc w:val="center"/>
                    <w:rPr>
                      <w:rFonts w:ascii="Arial Black" w:hAnsi="Arial Black"/>
                      <w:sz w:val="36"/>
                    </w:rPr>
                  </w:pPr>
                  <w:r>
                    <w:rPr>
                      <w:rFonts w:ascii="Arial Black" w:hAnsi="Arial Black"/>
                      <w:sz w:val="36"/>
                    </w:rPr>
                    <w:t xml:space="preserve">3.  STRATEGIC PLAN RESULTS </w:t>
                  </w:r>
                </w:p>
                <w:p w:rsidR="00CC41DF" w:rsidRDefault="00CC41DF">
                  <w:pPr>
                    <w:jc w:val="center"/>
                    <w:rPr>
                      <w:rFonts w:ascii="Bookman Old Style" w:hAnsi="Bookman Old Style"/>
                      <w:b/>
                      <w:sz w:val="32"/>
                    </w:rPr>
                  </w:pPr>
                </w:p>
                <w:p w:rsidR="00CC41DF" w:rsidRDefault="00CC41DF"/>
              </w:txbxContent>
            </v:textbox>
          </v:shape>
        </w:pict>
      </w:r>
    </w:p>
    <w:p w:rsidR="00CC41DF" w:rsidRDefault="00CC41DF">
      <w:pPr>
        <w:rPr>
          <w:b/>
        </w:rPr>
      </w:pPr>
    </w:p>
    <w:p w:rsidR="00CC41DF" w:rsidRDefault="00CC41DF">
      <w:pPr>
        <w:sectPr w:rsidR="00CC41DF">
          <w:type w:val="continuous"/>
          <w:pgSz w:w="12240" w:h="15840"/>
          <w:pgMar w:top="1440" w:right="1440" w:bottom="1440" w:left="1440" w:header="720" w:footer="720" w:gutter="0"/>
          <w:cols w:num="2" w:space="720"/>
          <w:docGrid w:linePitch="360"/>
        </w:sectPr>
      </w:pPr>
    </w:p>
    <w:p w:rsidR="00CC41DF" w:rsidRDefault="00CC41DF"/>
    <w:p w:rsidR="00CC41DF" w:rsidRDefault="00CC41DF"/>
    <w:p w:rsidR="00CC41DF" w:rsidRDefault="00CC41DF">
      <w:pPr>
        <w:pStyle w:val="Heading7"/>
        <w:rPr>
          <w:bCs/>
        </w:rPr>
      </w:pPr>
      <w:r>
        <w:rPr>
          <w:bCs/>
        </w:rPr>
        <w:t xml:space="preserve">Key Strategic Challenges </w:t>
      </w:r>
    </w:p>
    <w:p w:rsidR="00CC41DF" w:rsidRDefault="00CC41DF"/>
    <w:p w:rsidR="00CC41DF" w:rsidRDefault="00CC41DF">
      <w:pPr>
        <w:jc w:val="both"/>
      </w:pPr>
      <w:r>
        <w:t>IPERS is facing a number of important strategic issues concerning unfunded liability, governance, technology utilization and compliance with new or revised state or federal laws.  To encourage multiple approaches to solutions, the challenges are worded as “How” questions.  How will IPERS…:</w:t>
      </w:r>
    </w:p>
    <w:p w:rsidR="00CC41DF" w:rsidRDefault="00CC41DF">
      <w:pPr>
        <w:jc w:val="both"/>
      </w:pPr>
    </w:p>
    <w:p w:rsidR="00CC41DF" w:rsidRDefault="00CC41DF">
      <w:pPr>
        <w:pStyle w:val="BodyTextIndent3"/>
        <w:ind w:hanging="360"/>
        <w:jc w:val="left"/>
      </w:pPr>
      <w:r>
        <w:rPr>
          <w:b/>
          <w:bCs/>
        </w:rPr>
        <w:t>1.</w:t>
      </w:r>
      <w:r>
        <w:tab/>
        <w:t>Solve the actuarial unfunded liability problem that has resulted in the amortization period</w:t>
      </w:r>
    </w:p>
    <w:p w:rsidR="00CC41DF" w:rsidRDefault="00CC41DF">
      <w:pPr>
        <w:pStyle w:val="BodyTextIndent3"/>
        <w:ind w:hanging="360"/>
        <w:jc w:val="left"/>
      </w:pPr>
      <w:r>
        <w:t xml:space="preserve">       increasing to an infinite level?</w:t>
      </w:r>
    </w:p>
    <w:p w:rsidR="00CC41DF" w:rsidRDefault="00CC41DF">
      <w:pPr>
        <w:pStyle w:val="BodyText"/>
        <w:rPr>
          <w:rFonts w:ascii="Times New Roman" w:hAnsi="Times New Roman"/>
        </w:rPr>
      </w:pPr>
      <w:r>
        <w:rPr>
          <w:rFonts w:ascii="Times New Roman" w:hAnsi="Times New Roman"/>
          <w:b/>
          <w:bCs/>
        </w:rPr>
        <w:t>2.</w:t>
      </w:r>
      <w:r>
        <w:rPr>
          <w:rFonts w:ascii="Times New Roman" w:hAnsi="Times New Roman"/>
        </w:rPr>
        <w:t xml:space="preserve">   Better educate members, employers, and other stakeholders about fiduciary responsibility,</w:t>
      </w:r>
    </w:p>
    <w:p w:rsidR="00CC41DF" w:rsidRDefault="00CC41DF">
      <w:pPr>
        <w:pStyle w:val="BodyText"/>
        <w:rPr>
          <w:rFonts w:ascii="Times New Roman" w:hAnsi="Times New Roman"/>
        </w:rPr>
      </w:pPr>
      <w:r>
        <w:rPr>
          <w:rFonts w:ascii="Times New Roman" w:hAnsi="Times New Roman"/>
        </w:rPr>
        <w:t xml:space="preserve">      the overall fiscal soundness of the system, and the good value</w:t>
      </w:r>
    </w:p>
    <w:p w:rsidR="00CC41DF" w:rsidRDefault="00CC41DF">
      <w:pPr>
        <w:pStyle w:val="BodyText"/>
      </w:pPr>
      <w:r>
        <w:rPr>
          <w:rFonts w:ascii="Times New Roman" w:hAnsi="Times New Roman"/>
        </w:rPr>
        <w:t xml:space="preserve">      they receive for their contributions?</w:t>
      </w:r>
    </w:p>
    <w:p w:rsidR="00CC41DF" w:rsidRDefault="00CC41DF">
      <w:pPr>
        <w:ind w:left="360" w:hanging="360"/>
        <w:jc w:val="both"/>
      </w:pPr>
      <w:r>
        <w:rPr>
          <w:b/>
          <w:bCs/>
        </w:rPr>
        <w:t>3.</w:t>
      </w:r>
      <w:r>
        <w:t xml:space="preserve">  Ensure that the CEO position, strengthened Investment Board, and empowered Benefits Advisory Committee lead to greater independence for the system resulting in clearer lines of authority, less complexity, and greater responsiveness to members needs, and move the Investment Board and the Benefits Advisory Committee into a more effective and cooperative partnership arrangement?</w:t>
      </w:r>
    </w:p>
    <w:p w:rsidR="00CC41DF" w:rsidRDefault="00CC41DF">
      <w:pPr>
        <w:ind w:left="360" w:hanging="360"/>
        <w:jc w:val="both"/>
      </w:pPr>
      <w:r>
        <w:rPr>
          <w:b/>
          <w:bCs/>
        </w:rPr>
        <w:t>4.</w:t>
      </w:r>
      <w:r>
        <w:t xml:space="preserve">  Effectively counter legislative and executive initiatives that, however unintended, in fact</w:t>
      </w:r>
    </w:p>
    <w:p w:rsidR="00CC41DF" w:rsidRDefault="00CC41DF">
      <w:pPr>
        <w:ind w:left="360" w:hanging="360"/>
        <w:jc w:val="both"/>
      </w:pPr>
      <w:r>
        <w:t xml:space="preserve">     undermine the viability and future soundness of our defined benefit plan?</w:t>
      </w:r>
    </w:p>
    <w:p w:rsidR="00CC41DF" w:rsidRDefault="00CC41DF">
      <w:pPr>
        <w:pStyle w:val="BodyTextIndent3"/>
        <w:ind w:hanging="360"/>
      </w:pPr>
      <w:r>
        <w:rPr>
          <w:b/>
          <w:bCs/>
        </w:rPr>
        <w:t>5.</w:t>
      </w:r>
      <w:r>
        <w:t xml:space="preserve">  Determine the changing needs of our members, and how will it obtain additional staff and other resources to meet the main wave of baby boomers expected to begin approximately 2007?</w:t>
      </w:r>
    </w:p>
    <w:p w:rsidR="00CC41DF" w:rsidRDefault="00CC41DF">
      <w:pPr>
        <w:ind w:left="360" w:hanging="360"/>
        <w:jc w:val="both"/>
      </w:pPr>
      <w:r>
        <w:rPr>
          <w:b/>
          <w:bCs/>
        </w:rPr>
        <w:t>6.</w:t>
      </w:r>
      <w:r>
        <w:t xml:space="preserve">  Maintain the functionality of the current computer system, prioritize among the backlogged technological needs of the System, while obtaining the resources for reengineering of work processes and replacement of the core system to meet the needs of members, employers and staff?</w:t>
      </w:r>
    </w:p>
    <w:p w:rsidR="00CC41DF" w:rsidRDefault="00CC41DF">
      <w:pPr>
        <w:ind w:left="360" w:hanging="360"/>
        <w:jc w:val="both"/>
      </w:pPr>
      <w:r>
        <w:rPr>
          <w:b/>
          <w:bCs/>
        </w:rPr>
        <w:t>7.</w:t>
      </w:r>
      <w:r>
        <w:tab/>
        <w:t>Utilize its benchmarking information  (rated against other public and private retirement</w:t>
      </w:r>
    </w:p>
    <w:p w:rsidR="00CC41DF" w:rsidRDefault="00CC41DF">
      <w:pPr>
        <w:ind w:left="360" w:hanging="360"/>
        <w:jc w:val="both"/>
      </w:pPr>
      <w:r>
        <w:t xml:space="preserve">      plans), maintain and expand competitiveness, and increase its ability to consistently think and plan strategically in an environment that is rapidly changing?</w:t>
      </w:r>
    </w:p>
    <w:p w:rsidR="00CC41DF" w:rsidRDefault="00CC41DF">
      <w:pPr>
        <w:ind w:left="360" w:hanging="360"/>
        <w:jc w:val="both"/>
      </w:pPr>
      <w:r>
        <w:rPr>
          <w:b/>
          <w:bCs/>
        </w:rPr>
        <w:t>8.</w:t>
      </w:r>
      <w:r>
        <w:rPr>
          <w:b/>
          <w:bCs/>
        </w:rPr>
        <w:tab/>
      </w:r>
      <w:r>
        <w:t>Meet the increasing need for training, credentialing and developing technical and professional competencies for staff to ensure organizational credibility and provide growth opportunities for staff?</w:t>
      </w:r>
    </w:p>
    <w:p w:rsidR="00CC41DF" w:rsidRDefault="00CC41DF">
      <w:pPr>
        <w:ind w:left="360" w:hanging="360"/>
        <w:jc w:val="both"/>
      </w:pPr>
      <w:r>
        <w:rPr>
          <w:b/>
          <w:bCs/>
        </w:rPr>
        <w:t>9.</w:t>
      </w:r>
      <w:r>
        <w:t xml:space="preserve">  Meet the requirements of the Iowa Accountable Government Act in a manner, which ensures compliance, but which also, improves the quality of services to members?</w:t>
      </w:r>
    </w:p>
    <w:p w:rsidR="00CC41DF" w:rsidRDefault="00CC41DF">
      <w:pPr>
        <w:ind w:left="360" w:hanging="360"/>
        <w:jc w:val="both"/>
      </w:pPr>
      <w:r>
        <w:rPr>
          <w:b/>
          <w:bCs/>
        </w:rPr>
        <w:t>10.</w:t>
      </w:r>
      <w:r>
        <w:t xml:space="preserve">  Ensure that legislative changes are implemented in a timely and effective manner?</w:t>
      </w:r>
    </w:p>
    <w:p w:rsidR="00CC41DF" w:rsidRDefault="00CC41DF">
      <w:pPr>
        <w:jc w:val="both"/>
      </w:pPr>
      <w:r>
        <w:rPr>
          <w:b/>
          <w:bCs/>
        </w:rPr>
        <w:t xml:space="preserve">11. </w:t>
      </w:r>
      <w:r>
        <w:t>Meet its responsibilities as Social Security Administrator for the state with limited staff</w:t>
      </w:r>
    </w:p>
    <w:p w:rsidR="00CC41DF" w:rsidRDefault="00CC41DF">
      <w:pPr>
        <w:jc w:val="both"/>
      </w:pPr>
      <w:r>
        <w:t xml:space="preserve">      resources?</w:t>
      </w:r>
    </w:p>
    <w:p w:rsidR="00CC41DF" w:rsidRDefault="00CC41DF"/>
    <w:p w:rsidR="00CC41DF" w:rsidRDefault="00CC41DF">
      <w:pPr>
        <w:pStyle w:val="Heading2"/>
        <w:jc w:val="both"/>
        <w:rPr>
          <w:b/>
          <w:bCs/>
          <w:sz w:val="24"/>
        </w:rPr>
      </w:pPr>
      <w:bookmarkStart w:id="0" w:name="_Toc53974114"/>
      <w:r>
        <w:rPr>
          <w:b/>
          <w:bCs/>
          <w:sz w:val="24"/>
        </w:rPr>
        <w:t>Greatest Opportunities</w:t>
      </w:r>
      <w:bookmarkEnd w:id="0"/>
    </w:p>
    <w:p w:rsidR="00CC41DF" w:rsidRDefault="00CC41DF"/>
    <w:p w:rsidR="00CC41DF" w:rsidRDefault="00CC41DF">
      <w:pPr>
        <w:pStyle w:val="Bullet"/>
        <w:numPr>
          <w:ilvl w:val="0"/>
          <w:numId w:val="13"/>
        </w:numPr>
        <w:spacing w:after="0"/>
        <w:rPr>
          <w:b/>
          <w:bCs/>
          <w:u w:val="single"/>
        </w:rPr>
      </w:pPr>
      <w:r>
        <w:t>To significantly reduce the System unfunded liability.</w:t>
      </w:r>
    </w:p>
    <w:p w:rsidR="00CC41DF" w:rsidRDefault="00CC41DF">
      <w:pPr>
        <w:pStyle w:val="Bullet"/>
        <w:numPr>
          <w:ilvl w:val="0"/>
          <w:numId w:val="13"/>
        </w:numPr>
        <w:spacing w:after="0"/>
        <w:rPr>
          <w:b/>
          <w:bCs/>
          <w:u w:val="single"/>
        </w:rPr>
      </w:pPr>
      <w:r>
        <w:t>To meet the demand of baby boomers.</w:t>
      </w:r>
    </w:p>
    <w:p w:rsidR="00CC41DF" w:rsidRDefault="00CC41DF">
      <w:pPr>
        <w:pStyle w:val="Bullet"/>
        <w:numPr>
          <w:ilvl w:val="0"/>
          <w:numId w:val="13"/>
        </w:numPr>
        <w:spacing w:after="0"/>
        <w:rPr>
          <w:b/>
          <w:bCs/>
          <w:u w:val="single"/>
        </w:rPr>
      </w:pPr>
      <w:r>
        <w:t>To strengthen IPERS’ through improved governance and structure.</w:t>
      </w:r>
    </w:p>
    <w:p w:rsidR="00CC41DF" w:rsidRDefault="00CC41DF">
      <w:pPr>
        <w:pStyle w:val="Bullet"/>
        <w:numPr>
          <w:ilvl w:val="0"/>
          <w:numId w:val="13"/>
        </w:numPr>
        <w:spacing w:after="0"/>
        <w:rPr>
          <w:b/>
          <w:bCs/>
          <w:u w:val="single"/>
        </w:rPr>
      </w:pPr>
      <w:r>
        <w:lastRenderedPageBreak/>
        <w:t>To enhance direct communication with all members and employers.</w:t>
      </w:r>
    </w:p>
    <w:p w:rsidR="00CC41DF" w:rsidRDefault="00CC41DF">
      <w:pPr>
        <w:numPr>
          <w:ilvl w:val="0"/>
          <w:numId w:val="13"/>
        </w:numPr>
        <w:jc w:val="both"/>
        <w:rPr>
          <w:b/>
          <w:bCs/>
          <w:u w:val="single"/>
        </w:rPr>
      </w:pPr>
      <w:r>
        <w:t>To take leadership role in pension world.</w:t>
      </w:r>
    </w:p>
    <w:p w:rsidR="00CC41DF" w:rsidRDefault="00CC41DF">
      <w:pPr>
        <w:pStyle w:val="Bullet"/>
        <w:numPr>
          <w:ilvl w:val="0"/>
          <w:numId w:val="13"/>
        </w:numPr>
        <w:spacing w:after="0"/>
        <w:rPr>
          <w:b/>
          <w:bCs/>
          <w:u w:val="single"/>
        </w:rPr>
      </w:pPr>
      <w:r>
        <w:t>To reaffirm the valuable role played by defined benefit plans and meet the challenge of defined contribution competition.</w:t>
      </w:r>
    </w:p>
    <w:p w:rsidR="00CC41DF" w:rsidRDefault="00CC41DF">
      <w:pPr>
        <w:numPr>
          <w:ilvl w:val="0"/>
          <w:numId w:val="13"/>
        </w:numPr>
        <w:jc w:val="both"/>
        <w:rPr>
          <w:b/>
          <w:bCs/>
          <w:u w:val="single"/>
        </w:rPr>
      </w:pPr>
      <w:r>
        <w:t>To demonstrate sound investment policy in difficult economic times.</w:t>
      </w:r>
    </w:p>
    <w:p w:rsidR="00CC41DF" w:rsidRDefault="00CC41DF">
      <w:pPr>
        <w:pStyle w:val="Bullet"/>
        <w:numPr>
          <w:ilvl w:val="0"/>
          <w:numId w:val="13"/>
        </w:numPr>
        <w:spacing w:after="0"/>
        <w:rPr>
          <w:b/>
          <w:bCs/>
          <w:u w:val="single"/>
        </w:rPr>
      </w:pPr>
      <w:r>
        <w:t>To educate elected leaders and other key policy makers and other key stakeholders on fiduciary responsibility and the need for IPERS’ autonomy.</w:t>
      </w:r>
    </w:p>
    <w:p w:rsidR="00CC41DF" w:rsidRDefault="00CC41DF">
      <w:pPr>
        <w:numPr>
          <w:ilvl w:val="0"/>
          <w:numId w:val="13"/>
        </w:numPr>
        <w:rPr>
          <w:b/>
          <w:bCs/>
        </w:rPr>
      </w:pPr>
      <w:r>
        <w:t>To focus on services offered to segments of membership that adds greater value for each segment.</w:t>
      </w:r>
    </w:p>
    <w:p w:rsidR="00CC41DF" w:rsidRDefault="00CC41DF">
      <w:pPr>
        <w:ind w:left="360"/>
        <w:rPr>
          <w:b/>
          <w:bCs/>
        </w:rPr>
      </w:pPr>
    </w:p>
    <w:p w:rsidR="00CC41DF" w:rsidRDefault="00CC41DF">
      <w:pPr>
        <w:pStyle w:val="Heading1"/>
        <w:jc w:val="both"/>
        <w:rPr>
          <w:b/>
          <w:bCs/>
          <w:sz w:val="24"/>
        </w:rPr>
      </w:pPr>
      <w:r>
        <w:rPr>
          <w:b/>
          <w:bCs/>
          <w:sz w:val="24"/>
        </w:rPr>
        <w:t>GOALS</w:t>
      </w:r>
    </w:p>
    <w:tbl>
      <w:tblPr>
        <w:tblpPr w:leftFromText="180" w:rightFromText="180" w:vertAnchor="page" w:horzAnchor="margin" w:tblpY="5617"/>
        <w:tblW w:w="0" w:type="auto"/>
        <w:tblLook w:val="0000"/>
      </w:tblPr>
      <w:tblGrid>
        <w:gridCol w:w="1368"/>
        <w:gridCol w:w="8208"/>
      </w:tblGrid>
      <w:tr w:rsidR="00CC41DF">
        <w:tblPrEx>
          <w:tblCellMar>
            <w:top w:w="0" w:type="dxa"/>
            <w:bottom w:w="0" w:type="dxa"/>
          </w:tblCellMar>
        </w:tblPrEx>
        <w:tc>
          <w:tcPr>
            <w:tcW w:w="1368" w:type="dxa"/>
          </w:tcPr>
          <w:p w:rsidR="00CC41DF" w:rsidRDefault="00CC41DF">
            <w:pPr>
              <w:jc w:val="both"/>
              <w:rPr>
                <w:b/>
                <w:bCs/>
              </w:rPr>
            </w:pPr>
            <w:r>
              <w:rPr>
                <w:b/>
                <w:bCs/>
              </w:rPr>
              <w:t xml:space="preserve">Goal # 1:   </w:t>
            </w:r>
          </w:p>
        </w:tc>
        <w:tc>
          <w:tcPr>
            <w:tcW w:w="8208" w:type="dxa"/>
          </w:tcPr>
          <w:p w:rsidR="00CC41DF" w:rsidRDefault="00CC41DF">
            <w:pPr>
              <w:pStyle w:val="Heading1"/>
              <w:rPr>
                <w:sz w:val="24"/>
              </w:rPr>
            </w:pPr>
            <w:r>
              <w:rPr>
                <w:sz w:val="24"/>
              </w:rPr>
              <w:t>By June 30, 2004 IPERS will have made significant progress in solving the unfunded  actuarial liability problem including increasing contributions, maintaining benefits for current and future members and participating employers and achieving improved administrative efficiencies.</w:t>
            </w:r>
          </w:p>
          <w:p w:rsidR="00CC41DF" w:rsidRDefault="00CC41DF">
            <w:pPr>
              <w:jc w:val="both"/>
              <w:rPr>
                <w:rFonts w:ascii="Arial" w:hAnsi="Arial" w:cs="Arial"/>
              </w:rPr>
            </w:pPr>
          </w:p>
        </w:tc>
      </w:tr>
    </w:tbl>
    <w:p w:rsidR="00CC41DF" w:rsidRDefault="00CC41DF"/>
    <w:p w:rsidR="00CC41DF" w:rsidRDefault="00CC41DF">
      <w:r>
        <w:t xml:space="preserve">Only Goals 1-3 will be covered in this report since Goals 4 and 5 have completion dates in FY 2006.  </w:t>
      </w:r>
    </w:p>
    <w:p w:rsidR="00CC41DF" w:rsidRDefault="00CC41DF"/>
    <w:p w:rsidR="00CC41DF" w:rsidRDefault="00CC41DF">
      <w:pPr>
        <w:pStyle w:val="BodyText2"/>
        <w:rPr>
          <w:rFonts w:ascii="Times New Roman" w:hAnsi="Times New Roman" w:cs="Times New Roman"/>
        </w:rPr>
      </w:pPr>
      <w:r>
        <w:rPr>
          <w:rFonts w:ascii="Times New Roman" w:hAnsi="Times New Roman" w:cs="Times New Roman"/>
        </w:rPr>
        <w:t>Strategies:</w:t>
      </w:r>
    </w:p>
    <w:p w:rsidR="00CC41DF" w:rsidRDefault="00CC41DF">
      <w:pPr>
        <w:numPr>
          <w:ilvl w:val="0"/>
          <w:numId w:val="14"/>
        </w:numPr>
        <w:jc w:val="both"/>
      </w:pPr>
      <w:r>
        <w:t>Continue to emphasize fiduciary responsibility and statutory compliance to maintain the structural and financial integrity of the system and its benefits program.</w:t>
      </w:r>
    </w:p>
    <w:p w:rsidR="00CC41DF" w:rsidRDefault="00CC41DF">
      <w:pPr>
        <w:ind w:left="360" w:hanging="360"/>
        <w:jc w:val="both"/>
      </w:pPr>
      <w:r>
        <w:t>2. Expand communication and education efforts to increase involvement of stakeholders, especially employers and active members, in the decision making process of IPERS.</w:t>
      </w:r>
    </w:p>
    <w:p w:rsidR="00CC41DF" w:rsidRDefault="00CC41DF">
      <w:pPr>
        <w:ind w:left="360" w:hanging="360"/>
        <w:jc w:val="both"/>
      </w:pPr>
      <w:r>
        <w:t>3.  Increase legislative activity on issues of highest priority to gain support for necessary   changes.</w:t>
      </w:r>
    </w:p>
    <w:p w:rsidR="00CC41DF" w:rsidRDefault="00CC41DF">
      <w:pPr>
        <w:ind w:left="360" w:hanging="360"/>
        <w:jc w:val="both"/>
      </w:pPr>
    </w:p>
    <w:p w:rsidR="00CC41DF" w:rsidRDefault="00CC41DF">
      <w:pPr>
        <w:pStyle w:val="BodyText2"/>
        <w:rPr>
          <w:rFonts w:ascii="Times New Roman" w:hAnsi="Times New Roman" w:cs="Times New Roman"/>
        </w:rPr>
      </w:pPr>
      <w:r>
        <w:rPr>
          <w:rFonts w:ascii="Times New Roman" w:hAnsi="Times New Roman" w:cs="Times New Roman"/>
        </w:rPr>
        <w:t>Tasks Accomplished</w:t>
      </w:r>
    </w:p>
    <w:p w:rsidR="00CC41DF" w:rsidRDefault="00CC41DF">
      <w:pPr>
        <w:numPr>
          <w:ilvl w:val="0"/>
          <w:numId w:val="17"/>
        </w:numPr>
        <w:jc w:val="both"/>
      </w:pPr>
      <w:r>
        <w:t>Developed draft legislation that provided for an increase in contribution rates to be phased in over 4 years.</w:t>
      </w:r>
    </w:p>
    <w:p w:rsidR="00CC41DF" w:rsidRDefault="00CC41DF">
      <w:pPr>
        <w:numPr>
          <w:ilvl w:val="0"/>
          <w:numId w:val="17"/>
        </w:numPr>
        <w:jc w:val="both"/>
      </w:pPr>
      <w:r>
        <w:t>Developed and implemented information strategies to inform major stakeholders of problems and proposed solutions.</w:t>
      </w:r>
    </w:p>
    <w:p w:rsidR="00CC41DF" w:rsidRDefault="00CC41DF">
      <w:pPr>
        <w:numPr>
          <w:ilvl w:val="0"/>
          <w:numId w:val="17"/>
        </w:numPr>
        <w:jc w:val="both"/>
      </w:pPr>
      <w:r>
        <w:t>Presented draft legislation to the Investment Board and Benefits Advisory Council for review, comment and recommendations.</w:t>
      </w:r>
    </w:p>
    <w:p w:rsidR="00CC41DF" w:rsidRDefault="00CC41DF">
      <w:pPr>
        <w:numPr>
          <w:ilvl w:val="0"/>
          <w:numId w:val="17"/>
        </w:numPr>
        <w:jc w:val="both"/>
      </w:pPr>
      <w:r>
        <w:t xml:space="preserve"> Through benefit consultant, monitored what other public retirement systems are doing about unfunded liability problems (benchmarking).</w:t>
      </w:r>
    </w:p>
    <w:p w:rsidR="00CC41DF" w:rsidRDefault="00CC41DF">
      <w:pPr>
        <w:numPr>
          <w:ilvl w:val="0"/>
          <w:numId w:val="17"/>
        </w:numPr>
        <w:jc w:val="both"/>
      </w:pPr>
      <w:r>
        <w:t>Informed staff of major developments with the legislation, especially on the options being considered and any changes in the bill provisions.</w:t>
      </w:r>
    </w:p>
    <w:p w:rsidR="00CC41DF" w:rsidRDefault="00CC41DF">
      <w:pPr>
        <w:pStyle w:val="Bullet"/>
        <w:numPr>
          <w:ilvl w:val="0"/>
          <w:numId w:val="17"/>
        </w:numPr>
        <w:spacing w:after="0"/>
      </w:pPr>
      <w:r>
        <w:t>Informed the BAC, Investment Board and other stakeholders of progress with legislation and changes in provisions.</w:t>
      </w:r>
    </w:p>
    <w:p w:rsidR="00CC41DF" w:rsidRDefault="00CC41DF">
      <w:pPr>
        <w:pStyle w:val="Bullet"/>
        <w:numPr>
          <w:ilvl w:val="0"/>
          <w:numId w:val="17"/>
        </w:numPr>
        <w:spacing w:after="0"/>
      </w:pPr>
      <w:r>
        <w:t>Met with leadership of both houses to answer questions and consider status of proposed legislative remedies.</w:t>
      </w:r>
    </w:p>
    <w:p w:rsidR="00CC41DF" w:rsidRDefault="00CC41DF">
      <w:pPr>
        <w:pStyle w:val="Bullet"/>
        <w:numPr>
          <w:ilvl w:val="0"/>
          <w:numId w:val="17"/>
        </w:numPr>
        <w:spacing w:after="0"/>
      </w:pPr>
      <w:r>
        <w:t>Developed a department bill to increase administrative efficiency that was passed by the Legislature and signed by the Governor.</w:t>
      </w:r>
    </w:p>
    <w:p w:rsidR="00CC41DF" w:rsidRDefault="00CC41DF">
      <w:pPr>
        <w:ind w:left="360"/>
        <w:jc w:val="both"/>
      </w:pPr>
    </w:p>
    <w:tbl>
      <w:tblPr>
        <w:tblpPr w:leftFromText="180" w:rightFromText="180" w:vertAnchor="text" w:tblpY="479"/>
        <w:tblW w:w="9720" w:type="dxa"/>
        <w:tblCellSpacing w:w="0" w:type="dxa"/>
        <w:tblLayout w:type="fixed"/>
        <w:tblCellMar>
          <w:left w:w="0" w:type="dxa"/>
          <w:right w:w="0" w:type="dxa"/>
        </w:tblCellMar>
        <w:tblLook w:val="0000"/>
      </w:tblPr>
      <w:tblGrid>
        <w:gridCol w:w="9720"/>
      </w:tblGrid>
      <w:tr w:rsidR="00CC41DF">
        <w:trPr>
          <w:tblCellSpacing w:w="0" w:type="dxa"/>
        </w:trPr>
        <w:tc>
          <w:tcPr>
            <w:tcW w:w="9720" w:type="dxa"/>
            <w:shd w:val="clear" w:color="auto" w:fill="FFFFFF"/>
          </w:tcPr>
          <w:p w:rsidR="00CC41DF" w:rsidRDefault="00CC41DF">
            <w:pPr>
              <w:shd w:val="clear" w:color="auto" w:fill="E6E6E6"/>
              <w:spacing w:line="320" w:lineRule="atLeast"/>
              <w:ind w:left="160" w:right="160"/>
              <w:rPr>
                <w:rFonts w:ascii="Arial" w:hAnsi="Arial" w:cs="Arial"/>
                <w:b/>
                <w:bCs/>
                <w:i/>
                <w:iCs/>
                <w:color w:val="000000"/>
                <w:sz w:val="22"/>
                <w:szCs w:val="22"/>
              </w:rPr>
            </w:pPr>
            <w:r>
              <w:rPr>
                <w:rFonts w:ascii="Arial" w:hAnsi="Arial" w:cs="Arial"/>
                <w:i/>
                <w:iCs/>
                <w:color w:val="000000"/>
                <w:sz w:val="22"/>
                <w:szCs w:val="22"/>
              </w:rPr>
              <w:lastRenderedPageBreak/>
              <w:t xml:space="preserve">                                                                 </w:t>
            </w:r>
            <w:r>
              <w:rPr>
                <w:rFonts w:ascii="Arial" w:hAnsi="Arial" w:cs="Arial"/>
                <w:b/>
                <w:bCs/>
                <w:i/>
                <w:iCs/>
                <w:color w:val="000000"/>
                <w:sz w:val="22"/>
                <w:szCs w:val="22"/>
              </w:rPr>
              <w:t xml:space="preserve">Results </w:t>
            </w:r>
          </w:p>
          <w:tbl>
            <w:tblPr>
              <w:tblW w:w="9950" w:type="dxa"/>
              <w:jc w:val="center"/>
              <w:tblCellSpacing w:w="0" w:type="dxa"/>
              <w:tblInd w:w="805" w:type="dxa"/>
              <w:tblLayout w:type="fixed"/>
              <w:tblCellMar>
                <w:left w:w="0" w:type="dxa"/>
                <w:right w:w="0" w:type="dxa"/>
              </w:tblCellMar>
              <w:tblLook w:val="0000"/>
            </w:tblPr>
            <w:tblGrid>
              <w:gridCol w:w="4810"/>
              <w:gridCol w:w="5140"/>
            </w:tblGrid>
            <w:tr w:rsidR="00CC41DF">
              <w:trPr>
                <w:trHeight w:val="1645"/>
                <w:tblCellSpacing w:w="0" w:type="dxa"/>
                <w:jc w:val="center"/>
              </w:trPr>
              <w:tc>
                <w:tcPr>
                  <w:tcW w:w="4810" w:type="dxa"/>
                  <w:tcBorders>
                    <w:right w:val="dotted" w:sz="8" w:space="0" w:color="333333"/>
                  </w:tcBorders>
                  <w:tcMar>
                    <w:top w:w="200" w:type="dxa"/>
                    <w:left w:w="200" w:type="dxa"/>
                    <w:bottom w:w="200" w:type="dxa"/>
                    <w:right w:w="200" w:type="dxa"/>
                  </w:tcMar>
                </w:tcPr>
                <w:p w:rsidR="00CC41DF" w:rsidRDefault="00CC41DF">
                  <w:pPr>
                    <w:framePr w:hSpace="180" w:wrap="around" w:vAnchor="text" w:hAnchor="text" w:y="479"/>
                    <w:spacing w:line="320" w:lineRule="atLeast"/>
                    <w:rPr>
                      <w:rFonts w:ascii="Arial" w:hAnsi="Arial" w:cs="Arial"/>
                      <w:i/>
                      <w:iCs/>
                      <w:color w:val="000000"/>
                      <w:sz w:val="22"/>
                      <w:szCs w:val="22"/>
                    </w:rPr>
                  </w:pPr>
                  <w:r>
                    <w:rPr>
                      <w:rFonts w:ascii="Arial" w:hAnsi="Arial" w:cs="Arial"/>
                      <w:b/>
                      <w:bCs/>
                      <w:i/>
                      <w:iCs/>
                      <w:color w:val="000000"/>
                      <w:sz w:val="22"/>
                      <w:szCs w:val="22"/>
                    </w:rPr>
                    <w:t>Performance Measure</w:t>
                  </w:r>
                  <w:r>
                    <w:rPr>
                      <w:rFonts w:ascii="Arial" w:hAnsi="Arial" w:cs="Arial"/>
                      <w:i/>
                      <w:iCs/>
                      <w:color w:val="000000"/>
                      <w:sz w:val="22"/>
                      <w:szCs w:val="22"/>
                    </w:rPr>
                    <w:t>:</w:t>
                  </w:r>
                </w:p>
                <w:p w:rsidR="00CC41DF" w:rsidRDefault="00CC41DF">
                  <w:pPr>
                    <w:framePr w:hSpace="180" w:wrap="around" w:vAnchor="text" w:hAnchor="text" w:y="479"/>
                    <w:spacing w:line="320" w:lineRule="atLeast"/>
                    <w:rPr>
                      <w:rFonts w:ascii="Arial" w:hAnsi="Arial" w:cs="Arial"/>
                      <w:color w:val="000000"/>
                      <w:sz w:val="22"/>
                      <w:szCs w:val="22"/>
                    </w:rPr>
                  </w:pPr>
                  <w:r>
                    <w:rPr>
                      <w:rFonts w:ascii="Arial" w:hAnsi="Arial" w:cs="Arial"/>
                      <w:color w:val="000000"/>
                      <w:sz w:val="22"/>
                      <w:szCs w:val="22"/>
                    </w:rPr>
                    <w:t>Percent of recommendations adopted by Legislature.</w:t>
                  </w:r>
                </w:p>
                <w:p w:rsidR="00CC41DF" w:rsidRDefault="00CC41DF">
                  <w:pPr>
                    <w:framePr w:hSpace="180" w:wrap="around" w:vAnchor="text" w:hAnchor="text" w:y="479"/>
                    <w:spacing w:line="320" w:lineRule="atLeast"/>
                    <w:rPr>
                      <w:rFonts w:ascii="Arial" w:hAnsi="Arial" w:cs="Arial"/>
                      <w:i/>
                      <w:iCs/>
                      <w:color w:val="000000"/>
                      <w:sz w:val="22"/>
                      <w:szCs w:val="22"/>
                    </w:rPr>
                  </w:pPr>
                  <w:r>
                    <w:rPr>
                      <w:rFonts w:ascii="Arial" w:hAnsi="Arial" w:cs="Arial"/>
                      <w:b/>
                      <w:bCs/>
                      <w:i/>
                      <w:iCs/>
                      <w:color w:val="000000"/>
                      <w:sz w:val="22"/>
                      <w:szCs w:val="22"/>
                    </w:rPr>
                    <w:t>Data Sources</w:t>
                  </w:r>
                  <w:r>
                    <w:rPr>
                      <w:rFonts w:ascii="Arial" w:hAnsi="Arial" w:cs="Arial"/>
                      <w:i/>
                      <w:iCs/>
                      <w:color w:val="000000"/>
                      <w:sz w:val="22"/>
                      <w:szCs w:val="22"/>
                    </w:rPr>
                    <w:t xml:space="preserve">: </w:t>
                  </w:r>
                </w:p>
                <w:p w:rsidR="00CC41DF" w:rsidRDefault="00CC41DF">
                  <w:pPr>
                    <w:framePr w:hSpace="180" w:wrap="around" w:vAnchor="text" w:hAnchor="text" w:y="479"/>
                    <w:spacing w:line="320" w:lineRule="atLeast"/>
                    <w:rPr>
                      <w:rFonts w:ascii="Arial" w:eastAsia="Arial Unicode MS" w:hAnsi="Arial" w:cs="Arial"/>
                      <w:color w:val="000000"/>
                      <w:sz w:val="22"/>
                      <w:szCs w:val="22"/>
                    </w:rPr>
                  </w:pPr>
                  <w:r>
                    <w:rPr>
                      <w:rFonts w:ascii="Arial" w:eastAsia="Arial Unicode MS" w:hAnsi="Arial" w:cs="Arial"/>
                      <w:color w:val="000000"/>
                      <w:sz w:val="22"/>
                      <w:szCs w:val="22"/>
                    </w:rPr>
                    <w:t>Iowa Legislative News Service Bulletins and observations by legislative liaisons.</w:t>
                  </w:r>
                </w:p>
              </w:tc>
              <w:tc>
                <w:tcPr>
                  <w:tcW w:w="5140" w:type="dxa"/>
                  <w:tcBorders>
                    <w:top w:val="single" w:sz="4" w:space="0" w:color="auto"/>
                    <w:left w:val="single" w:sz="4" w:space="0" w:color="auto"/>
                    <w:bottom w:val="single" w:sz="4" w:space="0" w:color="auto"/>
                    <w:right w:val="single" w:sz="4" w:space="0" w:color="auto"/>
                  </w:tcBorders>
                  <w:tcMar>
                    <w:top w:w="200" w:type="dxa"/>
                    <w:left w:w="200" w:type="dxa"/>
                    <w:bottom w:w="200" w:type="dxa"/>
                    <w:right w:w="200" w:type="dxa"/>
                  </w:tcMar>
                </w:tcPr>
                <w:p w:rsidR="00CC41DF" w:rsidRDefault="00CC41DF">
                  <w:pPr>
                    <w:pStyle w:val="BodyText3"/>
                    <w:framePr w:hSpace="180" w:wrap="around" w:vAnchor="text" w:hAnchor="text" w:y="479"/>
                  </w:pPr>
                  <w:r>
                    <w:t>No Legislation related to UAL was passed by both houses during the 2004 Session of the Legislature.</w:t>
                  </w:r>
                </w:p>
                <w:p w:rsidR="00CC41DF" w:rsidRDefault="00CC41DF">
                  <w:pPr>
                    <w:framePr w:hSpace="180" w:wrap="around" w:vAnchor="text" w:hAnchor="text" w:y="479"/>
                    <w:spacing w:line="320" w:lineRule="atLeast"/>
                    <w:rPr>
                      <w:rFonts w:ascii="Arial" w:eastAsia="Arial Unicode MS" w:hAnsi="Arial" w:cs="Arial"/>
                      <w:color w:val="000000"/>
                      <w:sz w:val="22"/>
                      <w:szCs w:val="22"/>
                    </w:rPr>
                  </w:pPr>
                  <w:r>
                    <w:rPr>
                      <w:rFonts w:ascii="Arial" w:eastAsia="Arial Unicode MS" w:hAnsi="Arial" w:cs="Arial"/>
                      <w:color w:val="000000"/>
                      <w:sz w:val="22"/>
                      <w:szCs w:val="22"/>
                    </w:rPr>
                    <w:t xml:space="preserve"> </w:t>
                  </w:r>
                </w:p>
              </w:tc>
            </w:tr>
          </w:tbl>
          <w:p w:rsidR="00CC41DF" w:rsidRDefault="00130AD5">
            <w:pPr>
              <w:shd w:val="clear" w:color="auto" w:fill="E6E6E6"/>
              <w:spacing w:line="320" w:lineRule="atLeast"/>
              <w:ind w:left="160" w:right="160"/>
              <w:rPr>
                <w:rFonts w:ascii="Arial" w:eastAsia="Arial Unicode MS" w:hAnsi="Arial" w:cs="Arial"/>
                <w:color w:val="000000"/>
                <w:sz w:val="22"/>
                <w:szCs w:val="22"/>
              </w:rPr>
            </w:pPr>
            <w:r>
              <w:rPr>
                <w:rFonts w:ascii="Arial" w:hAnsi="Arial" w:cs="Arial"/>
                <w:noProof/>
                <w:color w:val="000000"/>
                <w:sz w:val="22"/>
                <w:szCs w:val="22"/>
              </w:rPr>
              <w:drawing>
                <wp:inline distT="0" distB="0" distL="0" distR="0">
                  <wp:extent cx="5915025" cy="142875"/>
                  <wp:effectExtent l="19050" t="0" r="9525" b="0"/>
                  <wp:docPr id="4" name="Picture 4" descr="goal_gray_b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oal_gray_btm"/>
                          <pic:cNvPicPr>
                            <a:picLocks noChangeAspect="1" noChangeArrowheads="1"/>
                          </pic:cNvPicPr>
                        </pic:nvPicPr>
                        <pic:blipFill>
                          <a:blip r:embed="rId11"/>
                          <a:srcRect/>
                          <a:stretch>
                            <a:fillRect/>
                          </a:stretch>
                        </pic:blipFill>
                        <pic:spPr bwMode="auto">
                          <a:xfrm>
                            <a:off x="0" y="0"/>
                            <a:ext cx="5915025" cy="142875"/>
                          </a:xfrm>
                          <a:prstGeom prst="rect">
                            <a:avLst/>
                          </a:prstGeom>
                          <a:noFill/>
                          <a:ln w="9525">
                            <a:noFill/>
                            <a:miter lim="800000"/>
                            <a:headEnd/>
                            <a:tailEnd/>
                          </a:ln>
                        </pic:spPr>
                      </pic:pic>
                    </a:graphicData>
                  </a:graphic>
                </wp:inline>
              </w:drawing>
            </w:r>
          </w:p>
        </w:tc>
      </w:tr>
      <w:tr w:rsidR="00CC41DF">
        <w:trPr>
          <w:tblCellSpacing w:w="0" w:type="dxa"/>
        </w:trPr>
        <w:tc>
          <w:tcPr>
            <w:tcW w:w="9720" w:type="dxa"/>
            <w:shd w:val="clear" w:color="auto" w:fill="FFFFFF"/>
          </w:tcPr>
          <w:p w:rsidR="00CC41DF" w:rsidRDefault="00CC41DF">
            <w:pPr>
              <w:jc w:val="both"/>
              <w:rPr>
                <w:rFonts w:cs="Arial"/>
              </w:rPr>
            </w:pPr>
            <w:r>
              <w:rPr>
                <w:rFonts w:cs="Arial"/>
                <w:b/>
                <w:bCs/>
              </w:rPr>
              <w:t>Data reliability:</w:t>
            </w:r>
          </w:p>
          <w:p w:rsidR="00CC41DF" w:rsidRDefault="00CC41DF">
            <w:pPr>
              <w:ind w:left="3"/>
              <w:jc w:val="both"/>
              <w:rPr>
                <w:rFonts w:cs="Arial"/>
                <w:bCs/>
              </w:rPr>
            </w:pPr>
            <w:r>
              <w:rPr>
                <w:rFonts w:cs="Arial"/>
                <w:bCs/>
              </w:rPr>
              <w:t>Very reliable since it is based on published information and direct observations.</w:t>
            </w:r>
          </w:p>
          <w:p w:rsidR="00CC41DF" w:rsidRDefault="00CC41DF">
            <w:pPr>
              <w:ind w:left="3"/>
              <w:jc w:val="both"/>
              <w:rPr>
                <w:rFonts w:cs="Arial"/>
                <w:bCs/>
              </w:rPr>
            </w:pPr>
          </w:p>
          <w:p w:rsidR="00CC41DF" w:rsidRDefault="00CC41DF">
            <w:pPr>
              <w:ind w:left="3"/>
              <w:jc w:val="both"/>
              <w:rPr>
                <w:rFonts w:cs="Arial"/>
                <w:bCs/>
              </w:rPr>
            </w:pPr>
            <w:r>
              <w:rPr>
                <w:rFonts w:cs="Arial"/>
                <w:b/>
              </w:rPr>
              <w:t xml:space="preserve">What was achieved: </w:t>
            </w:r>
          </w:p>
          <w:p w:rsidR="00CC41DF" w:rsidRDefault="00CC41DF">
            <w:pPr>
              <w:ind w:left="3"/>
              <w:jc w:val="both"/>
              <w:rPr>
                <w:rFonts w:cs="Arial"/>
                <w:bCs/>
              </w:rPr>
            </w:pPr>
            <w:r>
              <w:rPr>
                <w:rFonts w:cs="Arial"/>
                <w:bCs/>
              </w:rPr>
              <w:t xml:space="preserve">IPERS did succeed in getting a bill to raise contributions rates to be introduced by the Governor. The Iowa House of Representatives passed a separate bill, but the Iowa Senate took no action.  As indicated above, however, several actions were taken to educate stakeholders about the need for change and legislation to achieve improved administrative efficiencies was approved. </w:t>
            </w:r>
          </w:p>
          <w:p w:rsidR="00CC41DF" w:rsidRDefault="00CC41DF">
            <w:pPr>
              <w:pStyle w:val="NormalWeb"/>
              <w:tabs>
                <w:tab w:val="left" w:pos="1083"/>
              </w:tabs>
              <w:ind w:left="3"/>
              <w:rPr>
                <w:rFonts w:cs="Arial"/>
                <w:b/>
                <w:bCs/>
              </w:rPr>
            </w:pPr>
            <w:r>
              <w:rPr>
                <w:rFonts w:cs="Arial"/>
                <w:b/>
                <w:bCs/>
              </w:rPr>
              <w:t xml:space="preserve">Analysis of results: </w:t>
            </w:r>
          </w:p>
          <w:p w:rsidR="00CC41DF" w:rsidRDefault="00CC41DF">
            <w:pPr>
              <w:pStyle w:val="NormalWeb"/>
              <w:tabs>
                <w:tab w:val="left" w:pos="1083"/>
              </w:tabs>
              <w:ind w:left="3"/>
              <w:rPr>
                <w:rFonts w:cs="Arial"/>
              </w:rPr>
            </w:pPr>
            <w:r>
              <w:rPr>
                <w:rFonts w:cs="Arial"/>
              </w:rPr>
              <w:t>The Senate was not willing to consider contribution rate increases during this session.  Also, better investment returns were interpreted by some legislators as grounds to not take action during the 2004 session.   Action is still urgently needed because the period to amortize the UAL is still infinite and will become more costly with further passage of time if no action is taken.</w:t>
            </w:r>
          </w:p>
          <w:p w:rsidR="00CC41DF" w:rsidRDefault="00CC41DF">
            <w:pPr>
              <w:pStyle w:val="NormalWeb"/>
              <w:tabs>
                <w:tab w:val="left" w:pos="1083"/>
              </w:tabs>
              <w:ind w:left="3"/>
              <w:rPr>
                <w:rFonts w:eastAsia="Arial Unicode MS" w:cs="Arial"/>
              </w:rPr>
            </w:pPr>
            <w:r>
              <w:rPr>
                <w:rFonts w:cs="Arial"/>
                <w:b/>
                <w:bCs/>
              </w:rPr>
              <w:t xml:space="preserve"> Link(s) to </w:t>
            </w:r>
            <w:smartTag w:uri="urn:schemas-microsoft-com:office:smarttags" w:element="City">
              <w:smartTag w:uri="urn:schemas-microsoft-com:office:smarttags" w:element="place">
                <w:r>
                  <w:rPr>
                    <w:rFonts w:cs="Arial"/>
                    <w:b/>
                    <w:bCs/>
                  </w:rPr>
                  <w:t>Enterprise</w:t>
                </w:r>
              </w:smartTag>
            </w:smartTag>
            <w:r>
              <w:rPr>
                <w:rFonts w:cs="Arial"/>
                <w:b/>
                <w:bCs/>
              </w:rPr>
              <w:t xml:space="preserve"> Plan:  Accountable Government</w:t>
            </w:r>
          </w:p>
        </w:tc>
      </w:tr>
    </w:tbl>
    <w:p w:rsidR="00CC41DF" w:rsidRDefault="00CC41DF">
      <w:pPr>
        <w:pStyle w:val="BodyTextIndent3"/>
        <w:rPr>
          <w:szCs w:val="24"/>
        </w:rPr>
      </w:pPr>
      <w:r>
        <w:rPr>
          <w:szCs w:val="24"/>
        </w:rPr>
        <w:t>.</w:t>
      </w:r>
    </w:p>
    <w:p w:rsidR="00CC41DF" w:rsidRDefault="00CC41DF">
      <w:pPr>
        <w:pStyle w:val="BodyText2"/>
      </w:pPr>
    </w:p>
    <w:tbl>
      <w:tblPr>
        <w:tblpPr w:leftFromText="180" w:rightFromText="180" w:vertAnchor="text" w:horzAnchor="margin" w:tblpY="1791"/>
        <w:tblW w:w="9828" w:type="dxa"/>
        <w:tblCellSpacing w:w="0" w:type="dxa"/>
        <w:tblLayout w:type="fixed"/>
        <w:tblCellMar>
          <w:left w:w="0" w:type="dxa"/>
          <w:right w:w="0" w:type="dxa"/>
        </w:tblCellMar>
        <w:tblLook w:val="0000"/>
      </w:tblPr>
      <w:tblGrid>
        <w:gridCol w:w="9828"/>
      </w:tblGrid>
      <w:tr w:rsidR="00CC41DF">
        <w:trPr>
          <w:tblCellSpacing w:w="0" w:type="dxa"/>
        </w:trPr>
        <w:tc>
          <w:tcPr>
            <w:tcW w:w="9828" w:type="dxa"/>
            <w:shd w:val="clear" w:color="auto" w:fill="FFFFFF"/>
          </w:tcPr>
          <w:p w:rsidR="00CC41DF" w:rsidRDefault="00CC41DF">
            <w:pPr>
              <w:shd w:val="clear" w:color="auto" w:fill="E6E6E6"/>
              <w:spacing w:line="320" w:lineRule="atLeast"/>
              <w:ind w:left="160" w:right="160"/>
              <w:rPr>
                <w:rFonts w:ascii="Arial" w:hAnsi="Arial" w:cs="Arial"/>
                <w:b/>
                <w:bCs/>
                <w:i/>
                <w:iCs/>
                <w:color w:val="000000"/>
                <w:sz w:val="22"/>
                <w:szCs w:val="22"/>
              </w:rPr>
            </w:pPr>
            <w:r>
              <w:rPr>
                <w:rFonts w:ascii="Arial" w:hAnsi="Arial" w:cs="Arial"/>
                <w:i/>
                <w:iCs/>
                <w:color w:val="000000"/>
                <w:sz w:val="22"/>
                <w:szCs w:val="22"/>
              </w:rPr>
              <w:lastRenderedPageBreak/>
              <w:t xml:space="preserve">                                                                                 </w:t>
            </w:r>
            <w:r>
              <w:rPr>
                <w:rFonts w:ascii="Arial" w:hAnsi="Arial" w:cs="Arial"/>
                <w:b/>
                <w:bCs/>
                <w:i/>
                <w:iCs/>
                <w:color w:val="000000"/>
                <w:sz w:val="22"/>
                <w:szCs w:val="22"/>
              </w:rPr>
              <w:t xml:space="preserve">Results </w:t>
            </w:r>
          </w:p>
          <w:tbl>
            <w:tblPr>
              <w:tblW w:w="10116" w:type="dxa"/>
              <w:jc w:val="center"/>
              <w:tblCellSpacing w:w="0" w:type="dxa"/>
              <w:tblInd w:w="784" w:type="dxa"/>
              <w:tblLayout w:type="fixed"/>
              <w:tblCellMar>
                <w:left w:w="0" w:type="dxa"/>
                <w:right w:w="0" w:type="dxa"/>
              </w:tblCellMar>
              <w:tblLook w:val="0000"/>
            </w:tblPr>
            <w:tblGrid>
              <w:gridCol w:w="2916"/>
              <w:gridCol w:w="7200"/>
            </w:tblGrid>
            <w:tr w:rsidR="00CC41DF">
              <w:trPr>
                <w:trHeight w:val="3235"/>
                <w:tblCellSpacing w:w="0" w:type="dxa"/>
                <w:jc w:val="center"/>
              </w:trPr>
              <w:tc>
                <w:tcPr>
                  <w:tcW w:w="2916" w:type="dxa"/>
                  <w:tcBorders>
                    <w:right w:val="dotted" w:sz="8" w:space="0" w:color="333333"/>
                  </w:tcBorders>
                  <w:tcMar>
                    <w:top w:w="200" w:type="dxa"/>
                    <w:left w:w="200" w:type="dxa"/>
                    <w:bottom w:w="200" w:type="dxa"/>
                    <w:right w:w="200" w:type="dxa"/>
                  </w:tcMar>
                </w:tcPr>
                <w:p w:rsidR="00CC41DF" w:rsidRDefault="00CC41DF">
                  <w:pPr>
                    <w:framePr w:hSpace="180" w:wrap="around" w:vAnchor="text" w:hAnchor="margin" w:y="1791"/>
                    <w:spacing w:line="320" w:lineRule="atLeast"/>
                    <w:rPr>
                      <w:rFonts w:ascii="Arial" w:hAnsi="Arial" w:cs="Arial"/>
                      <w:i/>
                      <w:iCs/>
                      <w:color w:val="000000"/>
                      <w:sz w:val="22"/>
                      <w:szCs w:val="22"/>
                    </w:rPr>
                  </w:pPr>
                  <w:r>
                    <w:rPr>
                      <w:rFonts w:ascii="Arial" w:hAnsi="Arial" w:cs="Arial"/>
                      <w:b/>
                      <w:bCs/>
                      <w:i/>
                      <w:iCs/>
                      <w:color w:val="000000"/>
                      <w:sz w:val="22"/>
                      <w:szCs w:val="22"/>
                    </w:rPr>
                    <w:t>Performance Measure</w:t>
                  </w:r>
                  <w:r>
                    <w:rPr>
                      <w:rFonts w:ascii="Arial" w:hAnsi="Arial" w:cs="Arial"/>
                      <w:i/>
                      <w:iCs/>
                      <w:color w:val="000000"/>
                      <w:sz w:val="22"/>
                      <w:szCs w:val="22"/>
                    </w:rPr>
                    <w:t>:</w:t>
                  </w:r>
                </w:p>
                <w:p w:rsidR="00CC41DF" w:rsidRDefault="00CC41DF">
                  <w:pPr>
                    <w:framePr w:hSpace="180" w:wrap="around" w:vAnchor="text" w:hAnchor="margin" w:y="1791"/>
                    <w:spacing w:line="320" w:lineRule="atLeast"/>
                    <w:rPr>
                      <w:rFonts w:ascii="Arial" w:hAnsi="Arial" w:cs="Arial"/>
                      <w:i/>
                      <w:iCs/>
                      <w:color w:val="000000"/>
                      <w:sz w:val="22"/>
                      <w:szCs w:val="22"/>
                    </w:rPr>
                  </w:pPr>
                  <w:r>
                    <w:t>IPERS will rank in the upper quartile among CEM peers in terms of effective structure and governance.</w:t>
                  </w:r>
                  <w:r>
                    <w:rPr>
                      <w:rFonts w:ascii="Arial" w:hAnsi="Arial" w:cs="Arial"/>
                      <w:color w:val="000000"/>
                      <w:sz w:val="22"/>
                      <w:szCs w:val="22"/>
                    </w:rPr>
                    <w:br/>
                  </w:r>
                  <w:r>
                    <w:rPr>
                      <w:rFonts w:ascii="Arial" w:hAnsi="Arial" w:cs="Arial"/>
                      <w:b/>
                      <w:bCs/>
                      <w:i/>
                      <w:iCs/>
                      <w:color w:val="000000"/>
                      <w:sz w:val="22"/>
                      <w:szCs w:val="22"/>
                    </w:rPr>
                    <w:t>Data Sources</w:t>
                  </w:r>
                  <w:r>
                    <w:rPr>
                      <w:rFonts w:ascii="Arial" w:hAnsi="Arial" w:cs="Arial"/>
                      <w:i/>
                      <w:iCs/>
                      <w:color w:val="000000"/>
                      <w:sz w:val="22"/>
                      <w:szCs w:val="22"/>
                    </w:rPr>
                    <w:t xml:space="preserve">: </w:t>
                  </w:r>
                </w:p>
                <w:p w:rsidR="00CC41DF" w:rsidRDefault="00CC41DF">
                  <w:pPr>
                    <w:pStyle w:val="NormalWeb"/>
                    <w:framePr w:hSpace="180" w:wrap="around" w:vAnchor="text" w:hAnchor="margin" w:y="1791"/>
                    <w:spacing w:before="0" w:beforeAutospacing="0" w:after="0" w:afterAutospacing="0" w:line="320" w:lineRule="atLeast"/>
                    <w:rPr>
                      <w:rFonts w:eastAsia="Arial Unicode MS"/>
                      <w:szCs w:val="22"/>
                    </w:rPr>
                  </w:pPr>
                  <w:r>
                    <w:rPr>
                      <w:szCs w:val="22"/>
                    </w:rPr>
                    <w:t>CEM FY 03 Defined Benefit Administration Benchmarking Report</w:t>
                  </w:r>
                </w:p>
              </w:tc>
              <w:tc>
                <w:tcPr>
                  <w:tcW w:w="7200" w:type="dxa"/>
                  <w:tcMar>
                    <w:top w:w="200" w:type="dxa"/>
                    <w:left w:w="200" w:type="dxa"/>
                    <w:bottom w:w="200" w:type="dxa"/>
                    <w:right w:w="200" w:type="dxa"/>
                  </w:tcMar>
                </w:tcPr>
                <w:p w:rsidR="00CC41DF" w:rsidRDefault="00130AD5">
                  <w:pPr>
                    <w:framePr w:hSpace="180" w:wrap="around" w:vAnchor="text" w:hAnchor="margin" w:y="1791"/>
                    <w:spacing w:line="320" w:lineRule="atLeast"/>
                    <w:rPr>
                      <w:rFonts w:ascii="Arial" w:eastAsia="Arial Unicode MS" w:hAnsi="Arial" w:cs="Arial"/>
                      <w:color w:val="000000"/>
                      <w:sz w:val="22"/>
                      <w:szCs w:val="22"/>
                    </w:rPr>
                  </w:pPr>
                  <w:r>
                    <w:rPr>
                      <w:rFonts w:ascii="Arial" w:eastAsia="Arial Unicode MS" w:hAnsi="Arial" w:cs="Arial"/>
                      <w:noProof/>
                      <w:color w:val="000000"/>
                      <w:sz w:val="22"/>
                      <w:szCs w:val="22"/>
                    </w:rPr>
                    <w:drawing>
                      <wp:inline distT="0" distB="0" distL="0" distR="0">
                        <wp:extent cx="4362450" cy="2076450"/>
                        <wp:effectExtent l="0" t="0" r="0" b="0"/>
                        <wp:docPr id="5" name="Object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rsidR="00CC41DF" w:rsidRDefault="00130AD5">
            <w:pPr>
              <w:shd w:val="clear" w:color="auto" w:fill="E6E6E6"/>
              <w:spacing w:line="320" w:lineRule="atLeast"/>
              <w:ind w:left="160" w:right="160"/>
              <w:rPr>
                <w:rFonts w:ascii="Arial" w:eastAsia="Arial Unicode MS" w:hAnsi="Arial" w:cs="Arial"/>
                <w:color w:val="000000"/>
                <w:sz w:val="22"/>
                <w:szCs w:val="22"/>
              </w:rPr>
            </w:pPr>
            <w:r>
              <w:rPr>
                <w:rFonts w:ascii="Arial" w:hAnsi="Arial" w:cs="Arial"/>
                <w:noProof/>
                <w:color w:val="000000"/>
                <w:sz w:val="22"/>
                <w:szCs w:val="22"/>
              </w:rPr>
              <w:drawing>
                <wp:inline distT="0" distB="0" distL="0" distR="0">
                  <wp:extent cx="7067550" cy="228600"/>
                  <wp:effectExtent l="19050" t="0" r="0" b="0"/>
                  <wp:docPr id="6" name="Picture 6" descr="goal_gray_b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oal_gray_btm"/>
                          <pic:cNvPicPr>
                            <a:picLocks noChangeAspect="1" noChangeArrowheads="1"/>
                          </pic:cNvPicPr>
                        </pic:nvPicPr>
                        <pic:blipFill>
                          <a:blip r:embed="rId11"/>
                          <a:srcRect/>
                          <a:stretch>
                            <a:fillRect/>
                          </a:stretch>
                        </pic:blipFill>
                        <pic:spPr bwMode="auto">
                          <a:xfrm>
                            <a:off x="0" y="0"/>
                            <a:ext cx="7067550" cy="228600"/>
                          </a:xfrm>
                          <a:prstGeom prst="rect">
                            <a:avLst/>
                          </a:prstGeom>
                          <a:noFill/>
                          <a:ln w="9525">
                            <a:noFill/>
                            <a:miter lim="800000"/>
                            <a:headEnd/>
                            <a:tailEnd/>
                          </a:ln>
                        </pic:spPr>
                      </pic:pic>
                    </a:graphicData>
                  </a:graphic>
                </wp:inline>
              </w:drawing>
            </w:r>
          </w:p>
        </w:tc>
      </w:tr>
      <w:tr w:rsidR="00CC41DF">
        <w:trPr>
          <w:trHeight w:val="2805"/>
          <w:tblCellSpacing w:w="0" w:type="dxa"/>
        </w:trPr>
        <w:tc>
          <w:tcPr>
            <w:tcW w:w="9828" w:type="dxa"/>
            <w:shd w:val="clear" w:color="auto" w:fill="FFFFFF"/>
          </w:tcPr>
          <w:p w:rsidR="00CC41DF" w:rsidRDefault="00CC41DF">
            <w:pPr>
              <w:jc w:val="both"/>
              <w:rPr>
                <w:rFonts w:cs="Arial"/>
              </w:rPr>
            </w:pPr>
            <w:r>
              <w:rPr>
                <w:rFonts w:cs="Arial"/>
                <w:b/>
                <w:bCs/>
              </w:rPr>
              <w:t>Data reliability:</w:t>
            </w:r>
          </w:p>
          <w:p w:rsidR="00CC41DF" w:rsidRDefault="00CC41DF">
            <w:pPr>
              <w:ind w:left="3"/>
              <w:jc w:val="both"/>
              <w:rPr>
                <w:rFonts w:cs="Arial"/>
                <w:bCs/>
              </w:rPr>
            </w:pPr>
            <w:r>
              <w:rPr>
                <w:rFonts w:cs="Arial"/>
                <w:bCs/>
              </w:rPr>
              <w:t>CEM performance information is generally accurate and meets the tests of validity and reliability.</w:t>
            </w:r>
          </w:p>
          <w:p w:rsidR="00CC41DF" w:rsidRDefault="00CC41DF">
            <w:pPr>
              <w:ind w:left="3"/>
              <w:jc w:val="both"/>
              <w:rPr>
                <w:rFonts w:cs="Arial"/>
                <w:b/>
              </w:rPr>
            </w:pPr>
          </w:p>
          <w:p w:rsidR="00CC41DF" w:rsidRDefault="00CC41DF">
            <w:pPr>
              <w:ind w:left="3"/>
              <w:jc w:val="both"/>
              <w:rPr>
                <w:rFonts w:cs="Arial"/>
                <w:bCs/>
              </w:rPr>
            </w:pPr>
            <w:r>
              <w:rPr>
                <w:rFonts w:cs="Arial"/>
                <w:b/>
              </w:rPr>
              <w:t xml:space="preserve">What was achieved: </w:t>
            </w:r>
          </w:p>
          <w:p w:rsidR="00CC41DF" w:rsidRDefault="00CC41DF">
            <w:pPr>
              <w:ind w:left="3"/>
              <w:jc w:val="both"/>
              <w:rPr>
                <w:rFonts w:cs="Arial"/>
                <w:bCs/>
              </w:rPr>
            </w:pPr>
            <w:r>
              <w:rPr>
                <w:rFonts w:cs="Arial"/>
                <w:bCs/>
              </w:rPr>
              <w:t xml:space="preserve">We rated between the median and 25 percent, which was well below the highest quartile.  </w:t>
            </w:r>
          </w:p>
          <w:p w:rsidR="00CC41DF" w:rsidRDefault="00CC41DF">
            <w:pPr>
              <w:pStyle w:val="NormalWeb"/>
              <w:tabs>
                <w:tab w:val="left" w:pos="1083"/>
              </w:tabs>
              <w:ind w:left="3"/>
              <w:rPr>
                <w:rFonts w:cs="Arial"/>
                <w:b/>
                <w:bCs/>
              </w:rPr>
            </w:pPr>
            <w:r>
              <w:rPr>
                <w:rFonts w:cs="Arial"/>
                <w:b/>
                <w:bCs/>
              </w:rPr>
              <w:t>Analysis of results:</w:t>
            </w:r>
          </w:p>
          <w:p w:rsidR="00CC41DF" w:rsidRDefault="00CC41DF">
            <w:pPr>
              <w:pStyle w:val="NormalWeb"/>
              <w:tabs>
                <w:tab w:val="left" w:pos="1083"/>
              </w:tabs>
              <w:ind w:left="3"/>
            </w:pPr>
            <w:r>
              <w:t>The CEM benchmarking process is excellent for member services, but is not as comprehensive for management functions.  As a result, we will probably benchmark management performance through other methodologies in addition to CEM.  A business case supporting the outcomes related to independence will also be developed during FY 2005.</w:t>
            </w:r>
          </w:p>
          <w:p w:rsidR="00CC41DF" w:rsidRDefault="00CC41DF">
            <w:pPr>
              <w:pStyle w:val="NormalWeb"/>
              <w:tabs>
                <w:tab w:val="left" w:pos="1083"/>
              </w:tabs>
              <w:ind w:left="3"/>
              <w:rPr>
                <w:rFonts w:eastAsia="Arial Unicode MS" w:cs="Arial"/>
              </w:rPr>
            </w:pPr>
            <w:r>
              <w:rPr>
                <w:rFonts w:cs="Arial"/>
                <w:b/>
                <w:bCs/>
              </w:rPr>
              <w:t xml:space="preserve">Link(s) to </w:t>
            </w:r>
            <w:smartTag w:uri="urn:schemas-microsoft-com:office:smarttags" w:element="City">
              <w:smartTag w:uri="urn:schemas-microsoft-com:office:smarttags" w:element="place">
                <w:r>
                  <w:rPr>
                    <w:rFonts w:cs="Arial"/>
                    <w:b/>
                    <w:bCs/>
                  </w:rPr>
                  <w:t>Enterprise</w:t>
                </w:r>
              </w:smartTag>
            </w:smartTag>
            <w:r>
              <w:rPr>
                <w:rFonts w:cs="Arial"/>
                <w:b/>
                <w:bCs/>
              </w:rPr>
              <w:t xml:space="preserve"> Plan:  </w:t>
            </w:r>
            <w:r>
              <w:rPr>
                <w:rFonts w:cs="Arial"/>
              </w:rPr>
              <w:t>Accountable Government</w:t>
            </w:r>
          </w:p>
        </w:tc>
      </w:tr>
    </w:tbl>
    <w:tbl>
      <w:tblPr>
        <w:tblpPr w:leftFromText="180" w:rightFromText="180" w:vertAnchor="text" w:horzAnchor="margin" w:tblpY="187"/>
        <w:tblW w:w="9576" w:type="dxa"/>
        <w:tblLook w:val="0000"/>
      </w:tblPr>
      <w:tblGrid>
        <w:gridCol w:w="2268"/>
        <w:gridCol w:w="7308"/>
      </w:tblGrid>
      <w:tr w:rsidR="00CC41DF">
        <w:tblPrEx>
          <w:tblCellMar>
            <w:top w:w="0" w:type="dxa"/>
            <w:bottom w:w="0" w:type="dxa"/>
          </w:tblCellMar>
        </w:tblPrEx>
        <w:tc>
          <w:tcPr>
            <w:tcW w:w="2268" w:type="dxa"/>
          </w:tcPr>
          <w:p w:rsidR="00CC41DF" w:rsidRDefault="00CC41DF">
            <w:pPr>
              <w:pStyle w:val="Heading5"/>
            </w:pPr>
            <w:r>
              <w:t>Goal 2</w:t>
            </w:r>
          </w:p>
        </w:tc>
        <w:tc>
          <w:tcPr>
            <w:tcW w:w="7308" w:type="dxa"/>
          </w:tcPr>
          <w:p w:rsidR="00CC41DF" w:rsidRDefault="00CC41DF">
            <w:pPr>
              <w:jc w:val="both"/>
            </w:pPr>
            <w:r>
              <w:t>By July 1, 2006, IPERS will have its own board of trustees – composed of significant numbers of  members and participating employers and empowered with comprehensive budgeting,</w:t>
            </w:r>
            <w:bookmarkStart w:id="1" w:name="_Toc53974120"/>
            <w:r>
              <w:t xml:space="preserve"> operational and staffing authority.</w:t>
            </w:r>
            <w:bookmarkEnd w:id="1"/>
          </w:p>
        </w:tc>
      </w:tr>
    </w:tbl>
    <w:p w:rsidR="00CC41DF" w:rsidRDefault="00CC41DF">
      <w:pPr>
        <w:ind w:left="-720"/>
        <w:rPr>
          <w:rFonts w:ascii="Arial" w:hAnsi="Arial" w:cs="Arial"/>
          <w:b/>
          <w:bCs/>
        </w:rPr>
      </w:pPr>
    </w:p>
    <w:p w:rsidR="00CC41DF" w:rsidRDefault="00CC41DF"/>
    <w:p w:rsidR="00CC41DF" w:rsidRDefault="00CC41DF"/>
    <w:p w:rsidR="00CC41DF" w:rsidRDefault="00CC41DF"/>
    <w:p w:rsidR="00CC41DF" w:rsidRDefault="00CC41DF"/>
    <w:p w:rsidR="00CC41DF" w:rsidRDefault="00CC41DF"/>
    <w:p w:rsidR="00CC41DF" w:rsidRDefault="00CC41DF"/>
    <w:p w:rsidR="00CC41DF" w:rsidRDefault="00CC41DF"/>
    <w:p w:rsidR="00CC41DF" w:rsidRDefault="00CC41DF"/>
    <w:p w:rsidR="00CC41DF" w:rsidRDefault="00CC41DF"/>
    <w:p w:rsidR="00CC41DF" w:rsidRDefault="00CC41DF"/>
    <w:tbl>
      <w:tblPr>
        <w:tblpPr w:leftFromText="180" w:rightFromText="180" w:vertAnchor="text" w:horzAnchor="margin" w:tblpY="182"/>
        <w:tblW w:w="0" w:type="auto"/>
        <w:tblLook w:val="0000"/>
      </w:tblPr>
      <w:tblGrid>
        <w:gridCol w:w="2268"/>
        <w:gridCol w:w="7308"/>
      </w:tblGrid>
      <w:tr w:rsidR="00CC41DF">
        <w:tblPrEx>
          <w:tblCellMar>
            <w:top w:w="0" w:type="dxa"/>
            <w:bottom w:w="0" w:type="dxa"/>
          </w:tblCellMar>
        </w:tblPrEx>
        <w:tc>
          <w:tcPr>
            <w:tcW w:w="2268" w:type="dxa"/>
          </w:tcPr>
          <w:p w:rsidR="00CC41DF" w:rsidRDefault="00CC41DF">
            <w:pPr>
              <w:pStyle w:val="Heading5"/>
            </w:pPr>
            <w:r>
              <w:lastRenderedPageBreak/>
              <w:t>Goal 3</w:t>
            </w:r>
          </w:p>
        </w:tc>
        <w:tc>
          <w:tcPr>
            <w:tcW w:w="7308" w:type="dxa"/>
          </w:tcPr>
          <w:p w:rsidR="00CC41DF" w:rsidRDefault="00CC41DF">
            <w:r>
              <w:rPr>
                <w:b/>
                <w:bCs/>
              </w:rPr>
              <w:t xml:space="preserve">By January 1, 2004 IPERS will have integrated its planning functions, performance measures and strategic initiatives into a comprehensive strategic plan that accurately identifies threats and opportunities. </w:t>
            </w:r>
          </w:p>
        </w:tc>
      </w:tr>
    </w:tbl>
    <w:p w:rsidR="00CC41DF" w:rsidRDefault="00CC41DF">
      <w:pPr>
        <w:pStyle w:val="BodyText2"/>
        <w:rPr>
          <w:rFonts w:ascii="Times New Roman" w:hAnsi="Times New Roman"/>
        </w:rPr>
      </w:pPr>
      <w:r>
        <w:rPr>
          <w:rFonts w:ascii="Times New Roman" w:hAnsi="Times New Roman"/>
        </w:rPr>
        <w:t>Strategies:</w:t>
      </w:r>
    </w:p>
    <w:p w:rsidR="00CC41DF" w:rsidRDefault="00CC41DF">
      <w:pPr>
        <w:pStyle w:val="BodyText2"/>
        <w:rPr>
          <w:rFonts w:ascii="Times New Roman" w:hAnsi="Times New Roman"/>
        </w:rPr>
      </w:pPr>
    </w:p>
    <w:p w:rsidR="00CC41DF" w:rsidRDefault="00CC41DF">
      <w:pPr>
        <w:pStyle w:val="BodyText2"/>
        <w:numPr>
          <w:ilvl w:val="0"/>
          <w:numId w:val="19"/>
        </w:numPr>
        <w:rPr>
          <w:rFonts w:ascii="Times New Roman" w:hAnsi="Times New Roman" w:cs="Times New Roman"/>
          <w:b w:val="0"/>
          <w:bCs w:val="0"/>
        </w:rPr>
      </w:pPr>
      <w:r>
        <w:rPr>
          <w:rFonts w:ascii="Times New Roman" w:hAnsi="Times New Roman" w:cs="Times New Roman"/>
          <w:b w:val="0"/>
          <w:bCs w:val="0"/>
        </w:rPr>
        <w:t>Expand communication and education efforts to increase involvement of stakeholders, especially employers and active members, in the decision making process of IPERS.</w:t>
      </w:r>
    </w:p>
    <w:p w:rsidR="00CC41DF" w:rsidRDefault="00CC41DF">
      <w:pPr>
        <w:pStyle w:val="BodyText2"/>
        <w:rPr>
          <w:rFonts w:ascii="Times New Roman" w:hAnsi="Times New Roman" w:cs="Times New Roman"/>
        </w:rPr>
      </w:pPr>
    </w:p>
    <w:p w:rsidR="00CC41DF" w:rsidRDefault="00CC41DF">
      <w:pPr>
        <w:pStyle w:val="BodyTextIndent"/>
        <w:numPr>
          <w:ilvl w:val="0"/>
          <w:numId w:val="19"/>
        </w:numPr>
      </w:pPr>
      <w:r>
        <w:t>Reduce complexity in administration by ensuring greater accountability through appropriate performance standards focused on results.</w:t>
      </w:r>
    </w:p>
    <w:p w:rsidR="00CC41DF" w:rsidRDefault="00CC41DF">
      <w:pPr>
        <w:ind w:left="-720"/>
        <w:rPr>
          <w:rFonts w:cs="Arial"/>
          <w:b/>
          <w:bCs/>
        </w:rPr>
      </w:pPr>
    </w:p>
    <w:tbl>
      <w:tblPr>
        <w:tblW w:w="9735" w:type="dxa"/>
        <w:tblCellSpacing w:w="0" w:type="dxa"/>
        <w:tblInd w:w="15" w:type="dxa"/>
        <w:tblLayout w:type="fixed"/>
        <w:tblCellMar>
          <w:left w:w="0" w:type="dxa"/>
          <w:right w:w="0" w:type="dxa"/>
        </w:tblCellMar>
        <w:tblLook w:val="0000"/>
      </w:tblPr>
      <w:tblGrid>
        <w:gridCol w:w="9735"/>
      </w:tblGrid>
      <w:tr w:rsidR="00CC41DF">
        <w:trPr>
          <w:trHeight w:val="5320"/>
          <w:tblCellSpacing w:w="0" w:type="dxa"/>
        </w:trPr>
        <w:tc>
          <w:tcPr>
            <w:tcW w:w="9735" w:type="dxa"/>
            <w:shd w:val="clear" w:color="auto" w:fill="FFFFFF"/>
          </w:tcPr>
          <w:p w:rsidR="00CC41DF" w:rsidRDefault="00CC41DF">
            <w:pPr>
              <w:shd w:val="clear" w:color="auto" w:fill="E6E6E6"/>
              <w:spacing w:line="320" w:lineRule="atLeast"/>
              <w:ind w:left="160" w:right="160"/>
              <w:rPr>
                <w:rFonts w:cs="Arial"/>
                <w:b/>
                <w:bCs/>
                <w:i/>
                <w:iCs/>
                <w:color w:val="000000"/>
                <w:szCs w:val="22"/>
              </w:rPr>
            </w:pPr>
            <w:r>
              <w:rPr>
                <w:rFonts w:cs="Arial"/>
                <w:i/>
                <w:iCs/>
                <w:color w:val="000000"/>
                <w:szCs w:val="22"/>
              </w:rPr>
              <w:t xml:space="preserve">                                                                                 </w:t>
            </w:r>
            <w:r>
              <w:rPr>
                <w:rFonts w:cs="Arial"/>
                <w:b/>
                <w:bCs/>
                <w:i/>
                <w:iCs/>
                <w:color w:val="000000"/>
                <w:szCs w:val="22"/>
              </w:rPr>
              <w:t xml:space="preserve">Results </w:t>
            </w:r>
          </w:p>
          <w:tbl>
            <w:tblPr>
              <w:tblW w:w="10131" w:type="dxa"/>
              <w:jc w:val="center"/>
              <w:tblCellSpacing w:w="0" w:type="dxa"/>
              <w:tblInd w:w="785" w:type="dxa"/>
              <w:tblLayout w:type="fixed"/>
              <w:tblCellMar>
                <w:left w:w="0" w:type="dxa"/>
                <w:right w:w="0" w:type="dxa"/>
              </w:tblCellMar>
              <w:tblLook w:val="0000"/>
            </w:tblPr>
            <w:tblGrid>
              <w:gridCol w:w="4164"/>
              <w:gridCol w:w="5967"/>
            </w:tblGrid>
            <w:tr w:rsidR="00CC41DF">
              <w:trPr>
                <w:trHeight w:val="3601"/>
                <w:tblCellSpacing w:w="0" w:type="dxa"/>
                <w:jc w:val="center"/>
              </w:trPr>
              <w:tc>
                <w:tcPr>
                  <w:tcW w:w="4164" w:type="dxa"/>
                  <w:tcBorders>
                    <w:right w:val="dotted" w:sz="8" w:space="0" w:color="333333"/>
                  </w:tcBorders>
                  <w:tcMar>
                    <w:top w:w="200" w:type="dxa"/>
                    <w:left w:w="200" w:type="dxa"/>
                    <w:bottom w:w="200" w:type="dxa"/>
                    <w:right w:w="200" w:type="dxa"/>
                  </w:tcMar>
                </w:tcPr>
                <w:p w:rsidR="00CC41DF" w:rsidRDefault="00CC41DF">
                  <w:pPr>
                    <w:spacing w:line="320" w:lineRule="atLeast"/>
                    <w:rPr>
                      <w:rFonts w:cs="Arial"/>
                      <w:i/>
                      <w:iCs/>
                      <w:color w:val="000000"/>
                      <w:szCs w:val="22"/>
                    </w:rPr>
                  </w:pPr>
                  <w:r>
                    <w:rPr>
                      <w:rFonts w:cs="Arial"/>
                      <w:b/>
                      <w:bCs/>
                      <w:i/>
                      <w:iCs/>
                      <w:color w:val="000000"/>
                      <w:szCs w:val="22"/>
                    </w:rPr>
                    <w:t>Performance Measure</w:t>
                  </w:r>
                  <w:r>
                    <w:rPr>
                      <w:rFonts w:cs="Arial"/>
                      <w:i/>
                      <w:iCs/>
                      <w:color w:val="000000"/>
                      <w:szCs w:val="22"/>
                    </w:rPr>
                    <w:t>:</w:t>
                  </w:r>
                </w:p>
                <w:p w:rsidR="00CC41DF" w:rsidRDefault="00CC41DF">
                  <w:pPr>
                    <w:pStyle w:val="BodyText"/>
                    <w:rPr>
                      <w:rFonts w:ascii="Times New Roman" w:hAnsi="Times New Roman"/>
                    </w:rPr>
                  </w:pPr>
                  <w:r>
                    <w:rPr>
                      <w:rFonts w:ascii="Times New Roman" w:hAnsi="Times New Roman"/>
                    </w:rPr>
                    <w:t>IPERS will achieve 100 percent compliance with the Accountable Government Act, which includes strategic planning, Iowa Excellence Assessment, and performance planning and reporting.</w:t>
                  </w:r>
                </w:p>
                <w:p w:rsidR="00CC41DF" w:rsidRDefault="00CC41DF">
                  <w:pPr>
                    <w:spacing w:line="320" w:lineRule="atLeast"/>
                    <w:ind w:left="720"/>
                    <w:rPr>
                      <w:rFonts w:cs="Arial"/>
                      <w:color w:val="000000"/>
                      <w:szCs w:val="22"/>
                    </w:rPr>
                  </w:pPr>
                </w:p>
                <w:p w:rsidR="00CC41DF" w:rsidRDefault="00CC41DF">
                  <w:pPr>
                    <w:spacing w:line="320" w:lineRule="atLeast"/>
                    <w:rPr>
                      <w:rFonts w:cs="Arial"/>
                      <w:i/>
                      <w:iCs/>
                      <w:color w:val="000000"/>
                      <w:szCs w:val="22"/>
                    </w:rPr>
                  </w:pPr>
                  <w:r>
                    <w:rPr>
                      <w:rFonts w:cs="Arial"/>
                      <w:b/>
                      <w:bCs/>
                      <w:i/>
                      <w:iCs/>
                      <w:color w:val="000000"/>
                      <w:szCs w:val="22"/>
                    </w:rPr>
                    <w:t>Data Sources</w:t>
                  </w:r>
                  <w:r>
                    <w:rPr>
                      <w:rFonts w:cs="Arial"/>
                      <w:i/>
                      <w:iCs/>
                      <w:color w:val="000000"/>
                      <w:szCs w:val="22"/>
                    </w:rPr>
                    <w:t xml:space="preserve">: </w:t>
                  </w:r>
                </w:p>
                <w:p w:rsidR="00CC41DF" w:rsidRDefault="00CC41DF">
                  <w:pPr>
                    <w:spacing w:line="320" w:lineRule="atLeast"/>
                    <w:rPr>
                      <w:rFonts w:eastAsia="Arial Unicode MS" w:cs="Arial"/>
                      <w:color w:val="000000"/>
                      <w:szCs w:val="22"/>
                    </w:rPr>
                  </w:pPr>
                  <w:r>
                    <w:rPr>
                      <w:rFonts w:cs="Arial"/>
                      <w:color w:val="000000"/>
                      <w:szCs w:val="22"/>
                    </w:rPr>
                    <w:t>Non-compliance is based on notification from DOM on lack of  timeliness, inaccuracy or not meeting other requirements.</w:t>
                  </w:r>
                </w:p>
              </w:tc>
              <w:tc>
                <w:tcPr>
                  <w:tcW w:w="5967" w:type="dxa"/>
                  <w:tcMar>
                    <w:top w:w="200" w:type="dxa"/>
                    <w:left w:w="200" w:type="dxa"/>
                    <w:bottom w:w="200" w:type="dxa"/>
                    <w:right w:w="200" w:type="dxa"/>
                  </w:tcMar>
                </w:tcPr>
                <w:p w:rsidR="00CC41DF" w:rsidRDefault="00130AD5">
                  <w:pPr>
                    <w:spacing w:line="320" w:lineRule="atLeast"/>
                    <w:rPr>
                      <w:rFonts w:eastAsia="Arial Unicode MS" w:cs="Arial"/>
                      <w:color w:val="000000"/>
                      <w:szCs w:val="22"/>
                    </w:rPr>
                  </w:pPr>
                  <w:r>
                    <w:rPr>
                      <w:rFonts w:eastAsia="Arial Unicode MS" w:cs="Arial"/>
                      <w:noProof/>
                      <w:color w:val="000000"/>
                      <w:szCs w:val="22"/>
                    </w:rPr>
                    <w:drawing>
                      <wp:inline distT="0" distB="0" distL="0" distR="0">
                        <wp:extent cx="3543300" cy="2571750"/>
                        <wp:effectExtent l="0" t="0" r="0" b="0"/>
                        <wp:docPr id="7" name="Object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c>
                <w:tcPr>
                  <w:gridSpan w:val="0"/>
                </w:tcPr>
                <w:p w:rsidR="00CC41DF" w:rsidRDefault="00130AD5">
                  <w:pPr>
                    <w:spacing w:line="320" w:lineRule="atLeast"/>
                    <w:rPr>
                      <w:rFonts w:cs="Arial"/>
                      <w:szCs w:val="20"/>
                    </w:rPr>
                  </w:pPr>
                  <w:r>
                    <w:rPr>
                      <w:rFonts w:cs="Arial"/>
                      <w:noProof/>
                      <w:szCs w:val="20"/>
                    </w:rPr>
                    <w:drawing>
                      <wp:inline distT="0" distB="0" distL="0" distR="0">
                        <wp:extent cx="2743200" cy="1828800"/>
                        <wp:effectExtent l="0" t="0" r="0" b="0"/>
                        <wp:docPr id="1"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bl>
          <w:p w:rsidR="00CC41DF" w:rsidRDefault="00130AD5">
            <w:pPr>
              <w:shd w:val="clear" w:color="auto" w:fill="E6E6E6"/>
              <w:spacing w:line="320" w:lineRule="atLeast"/>
              <w:ind w:left="160" w:right="160"/>
              <w:rPr>
                <w:rFonts w:eastAsia="Arial Unicode MS" w:cs="Arial"/>
                <w:color w:val="000000"/>
                <w:szCs w:val="22"/>
              </w:rPr>
            </w:pPr>
            <w:r>
              <w:rPr>
                <w:rFonts w:cs="Arial"/>
                <w:noProof/>
                <w:color w:val="000000"/>
                <w:szCs w:val="22"/>
              </w:rPr>
              <w:drawing>
                <wp:inline distT="0" distB="0" distL="0" distR="0">
                  <wp:extent cx="7067550" cy="142875"/>
                  <wp:effectExtent l="19050" t="0" r="0" b="0"/>
                  <wp:docPr id="8" name="Picture 8" descr="goal_gray_b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oal_gray_btm"/>
                          <pic:cNvPicPr>
                            <a:picLocks noChangeAspect="1" noChangeArrowheads="1"/>
                          </pic:cNvPicPr>
                        </pic:nvPicPr>
                        <pic:blipFill>
                          <a:blip r:embed="rId11"/>
                          <a:srcRect/>
                          <a:stretch>
                            <a:fillRect/>
                          </a:stretch>
                        </pic:blipFill>
                        <pic:spPr bwMode="auto">
                          <a:xfrm>
                            <a:off x="0" y="0"/>
                            <a:ext cx="7067550" cy="142875"/>
                          </a:xfrm>
                          <a:prstGeom prst="rect">
                            <a:avLst/>
                          </a:prstGeom>
                          <a:noFill/>
                          <a:ln w="9525">
                            <a:noFill/>
                            <a:miter lim="800000"/>
                            <a:headEnd/>
                            <a:tailEnd/>
                          </a:ln>
                        </pic:spPr>
                      </pic:pic>
                    </a:graphicData>
                  </a:graphic>
                </wp:inline>
              </w:drawing>
            </w:r>
          </w:p>
        </w:tc>
      </w:tr>
      <w:tr w:rsidR="00CC41DF">
        <w:trPr>
          <w:trHeight w:val="3807"/>
          <w:tblCellSpacing w:w="0" w:type="dxa"/>
        </w:trPr>
        <w:tc>
          <w:tcPr>
            <w:tcW w:w="9735" w:type="dxa"/>
            <w:shd w:val="clear" w:color="auto" w:fill="FFFFFF"/>
          </w:tcPr>
          <w:p w:rsidR="00CC41DF" w:rsidRDefault="00CC41DF">
            <w:pPr>
              <w:jc w:val="both"/>
              <w:rPr>
                <w:rFonts w:cs="Arial"/>
              </w:rPr>
            </w:pPr>
            <w:r>
              <w:rPr>
                <w:rFonts w:cs="Arial"/>
                <w:b/>
                <w:bCs/>
              </w:rPr>
              <w:t>Data reliability:</w:t>
            </w:r>
          </w:p>
          <w:p w:rsidR="00CC41DF" w:rsidRDefault="00CC41DF">
            <w:pPr>
              <w:ind w:left="3"/>
              <w:jc w:val="both"/>
              <w:rPr>
                <w:rFonts w:cs="Arial"/>
                <w:bCs/>
              </w:rPr>
            </w:pPr>
            <w:r>
              <w:rPr>
                <w:rFonts w:cs="Arial"/>
                <w:bCs/>
              </w:rPr>
              <w:t>Since this is an exception process, notification is the primary source of data, so it is straight  forward.</w:t>
            </w:r>
          </w:p>
          <w:p w:rsidR="00CC41DF" w:rsidRDefault="00CC41DF">
            <w:pPr>
              <w:ind w:left="3"/>
              <w:jc w:val="both"/>
              <w:rPr>
                <w:rFonts w:cs="Arial"/>
                <w:bCs/>
              </w:rPr>
            </w:pPr>
            <w:r>
              <w:rPr>
                <w:rFonts w:cs="Arial"/>
                <w:b/>
              </w:rPr>
              <w:t xml:space="preserve">What was achieved: </w:t>
            </w:r>
          </w:p>
          <w:p w:rsidR="00CC41DF" w:rsidRDefault="00CC41DF">
            <w:pPr>
              <w:ind w:left="3"/>
              <w:jc w:val="both"/>
              <w:rPr>
                <w:rFonts w:cs="Arial"/>
                <w:bCs/>
              </w:rPr>
            </w:pPr>
            <w:r>
              <w:rPr>
                <w:rFonts w:cs="Arial"/>
                <w:bCs/>
              </w:rPr>
              <w:t>IPERS has worked hard to comply with the AGA requirements because we believe that the focus on strategic planning and excellence in performance results is very important to organizational effectiveness and agility.  We have also integrated the processes and functions to provide continuity and continual progress.</w:t>
            </w:r>
          </w:p>
          <w:p w:rsidR="00CC41DF" w:rsidRDefault="00CC41DF">
            <w:pPr>
              <w:pStyle w:val="NormalWeb"/>
              <w:tabs>
                <w:tab w:val="left" w:pos="1083"/>
              </w:tabs>
              <w:ind w:left="3"/>
              <w:rPr>
                <w:rFonts w:cs="Arial"/>
                <w:b/>
                <w:bCs/>
              </w:rPr>
            </w:pPr>
            <w:r>
              <w:rPr>
                <w:rFonts w:cs="Arial"/>
                <w:b/>
                <w:bCs/>
              </w:rPr>
              <w:t xml:space="preserve">Analysis of results: </w:t>
            </w:r>
          </w:p>
          <w:p w:rsidR="00CC41DF" w:rsidRDefault="00CC41DF">
            <w:pPr>
              <w:pStyle w:val="NormalWeb"/>
              <w:tabs>
                <w:tab w:val="left" w:pos="1083"/>
              </w:tabs>
              <w:ind w:left="3"/>
              <w:rPr>
                <w:rFonts w:cs="Arial"/>
              </w:rPr>
            </w:pPr>
            <w:r>
              <w:rPr>
                <w:rFonts w:cs="Arial"/>
              </w:rPr>
              <w:t xml:space="preserve">Achieving full compliance with the AGA has required significant effort, but has also resulted in substantial improvements.  </w:t>
            </w:r>
          </w:p>
          <w:p w:rsidR="00CC41DF" w:rsidRDefault="00CC41DF">
            <w:pPr>
              <w:pStyle w:val="NormalWeb"/>
              <w:tabs>
                <w:tab w:val="left" w:pos="1083"/>
              </w:tabs>
              <w:ind w:left="3"/>
              <w:rPr>
                <w:rFonts w:eastAsia="Arial Unicode MS" w:cs="Arial"/>
              </w:rPr>
            </w:pPr>
            <w:r>
              <w:rPr>
                <w:rFonts w:cs="Arial"/>
                <w:b/>
                <w:bCs/>
              </w:rPr>
              <w:t xml:space="preserve">Link(s) to Enterprise Plan:  Accountable Government </w:t>
            </w:r>
          </w:p>
        </w:tc>
      </w:tr>
    </w:tbl>
    <w:p w:rsidR="00CC41DF" w:rsidRDefault="00CC41DF">
      <w:pPr>
        <w:rPr>
          <w:b/>
          <w:bCs/>
        </w:rPr>
      </w:pPr>
      <w:r>
        <w:rPr>
          <w:b/>
          <w:bCs/>
          <w:noProof/>
          <w:sz w:val="20"/>
        </w:rPr>
        <w:pict>
          <v:shape id="_x0000_s1029" type="#_x0000_t202" style="position:absolute;margin-left:9pt;margin-top:-1.8pt;width:468pt;height:36pt;z-index:-251660288;mso-position-horizontal-relative:text;mso-position-vertical-relative:text" strokeweight="1.5pt">
            <v:shadow on="t" offset="-6pt,-6pt"/>
            <v:textbox style="mso-next-textbox:#_x0000_s1029">
              <w:txbxContent>
                <w:p w:rsidR="00CC41DF" w:rsidRDefault="00CC41DF">
                  <w:pPr>
                    <w:jc w:val="center"/>
                    <w:rPr>
                      <w:rFonts w:ascii="Arial Black" w:hAnsi="Arial Black"/>
                      <w:sz w:val="36"/>
                    </w:rPr>
                  </w:pPr>
                  <w:r>
                    <w:rPr>
                      <w:rFonts w:ascii="Arial Black" w:hAnsi="Arial Black"/>
                      <w:sz w:val="36"/>
                    </w:rPr>
                    <w:t xml:space="preserve">4.  PERFORMANCE PLAN RESULTS </w:t>
                  </w:r>
                </w:p>
                <w:p w:rsidR="00CC41DF" w:rsidRDefault="00CC41DF">
                  <w:pPr>
                    <w:jc w:val="center"/>
                    <w:rPr>
                      <w:rFonts w:ascii="Bookman Old Style" w:hAnsi="Bookman Old Style"/>
                      <w:b/>
                      <w:sz w:val="32"/>
                    </w:rPr>
                  </w:pPr>
                </w:p>
                <w:p w:rsidR="00CC41DF" w:rsidRDefault="00CC41DF"/>
              </w:txbxContent>
            </v:textbox>
          </v:shape>
        </w:pict>
      </w:r>
    </w:p>
    <w:p w:rsidR="00CC41DF" w:rsidRDefault="00CC41DF">
      <w:pPr>
        <w:rPr>
          <w:b/>
          <w:bCs/>
        </w:rPr>
      </w:pPr>
    </w:p>
    <w:p w:rsidR="00CC41DF" w:rsidRDefault="00CC41DF">
      <w:pPr>
        <w:rPr>
          <w:b/>
          <w:bCs/>
        </w:rPr>
      </w:pPr>
    </w:p>
    <w:p w:rsidR="00CC41DF" w:rsidRDefault="00CC41DF">
      <w:pPr>
        <w:pStyle w:val="Heading8"/>
      </w:pPr>
      <w:r>
        <w:t>CORE FUNCTIONS AND SERVICES, PRODUCTS AND ACTIVITIES</w:t>
      </w:r>
    </w:p>
    <w:p w:rsidR="00CC41DF" w:rsidRDefault="00CC41DF">
      <w:pPr>
        <w:rPr>
          <w:b/>
          <w:bCs/>
        </w:rPr>
      </w:pPr>
    </w:p>
    <w:p w:rsidR="00CC41DF" w:rsidRDefault="00CC41DF">
      <w:pPr>
        <w:rPr>
          <w:b/>
          <w:bCs/>
        </w:rPr>
      </w:pPr>
      <w:r>
        <w:rPr>
          <w:b/>
          <w:bCs/>
        </w:rPr>
        <w:t xml:space="preserve">As was mentioned previously in the report, IPERS has two core functions:  Retirement System Services and Benefits and Resource Management.  To facilitate review of the outcome measures for the Core Functions and the measures associated with relevant Services, Products and/or Activities (SPAs),  two tables are attached that are variations of the Performance Plan format.  The column headings for core functions are as follows:  </w:t>
      </w:r>
    </w:p>
    <w:p w:rsidR="00CC41DF" w:rsidRDefault="00CC41DF">
      <w:pPr>
        <w:rPr>
          <w:b/>
          <w:bCs/>
        </w:rPr>
      </w:pPr>
    </w:p>
    <w:tbl>
      <w:tblPr>
        <w:tblW w:w="959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56"/>
        <w:gridCol w:w="1800"/>
        <w:gridCol w:w="1260"/>
        <w:gridCol w:w="1260"/>
        <w:gridCol w:w="3420"/>
      </w:tblGrid>
      <w:tr w:rsidR="00CC41DF">
        <w:tblPrEx>
          <w:tblCellMar>
            <w:top w:w="0" w:type="dxa"/>
            <w:bottom w:w="0" w:type="dxa"/>
          </w:tblCellMar>
        </w:tblPrEx>
        <w:tc>
          <w:tcPr>
            <w:tcW w:w="1856" w:type="dxa"/>
            <w:shd w:val="pct20" w:color="auto" w:fill="auto"/>
          </w:tcPr>
          <w:p w:rsidR="00CC41DF" w:rsidRDefault="00CC41DF">
            <w:pPr>
              <w:jc w:val="center"/>
              <w:rPr>
                <w:b/>
                <w:bCs/>
                <w:sz w:val="20"/>
              </w:rPr>
            </w:pPr>
            <w:r>
              <w:rPr>
                <w:b/>
                <w:bCs/>
                <w:sz w:val="20"/>
              </w:rPr>
              <w:t>Core Function</w:t>
            </w:r>
          </w:p>
        </w:tc>
        <w:tc>
          <w:tcPr>
            <w:tcW w:w="1800" w:type="dxa"/>
            <w:shd w:val="pct20" w:color="auto" w:fill="auto"/>
          </w:tcPr>
          <w:p w:rsidR="00CC41DF" w:rsidRDefault="00CC41DF">
            <w:pPr>
              <w:jc w:val="center"/>
              <w:rPr>
                <w:b/>
                <w:bCs/>
                <w:sz w:val="20"/>
              </w:rPr>
            </w:pPr>
            <w:r>
              <w:rPr>
                <w:b/>
                <w:bCs/>
                <w:sz w:val="20"/>
              </w:rPr>
              <w:t>Outcome Measure(s)</w:t>
            </w:r>
          </w:p>
        </w:tc>
        <w:tc>
          <w:tcPr>
            <w:tcW w:w="1260" w:type="dxa"/>
            <w:tcBorders>
              <w:bottom w:val="single" w:sz="4" w:space="0" w:color="auto"/>
            </w:tcBorders>
            <w:shd w:val="pct20" w:color="auto" w:fill="auto"/>
          </w:tcPr>
          <w:p w:rsidR="00CC41DF" w:rsidRDefault="00CC41DF">
            <w:pPr>
              <w:jc w:val="center"/>
              <w:rPr>
                <w:b/>
                <w:bCs/>
                <w:sz w:val="20"/>
              </w:rPr>
            </w:pPr>
            <w:r>
              <w:rPr>
                <w:b/>
                <w:bCs/>
                <w:sz w:val="20"/>
              </w:rPr>
              <w:t>Data</w:t>
            </w:r>
          </w:p>
          <w:p w:rsidR="00CC41DF" w:rsidRDefault="00CC41DF">
            <w:pPr>
              <w:jc w:val="center"/>
              <w:rPr>
                <w:b/>
                <w:bCs/>
                <w:sz w:val="20"/>
              </w:rPr>
            </w:pPr>
            <w:r>
              <w:rPr>
                <w:b/>
                <w:bCs/>
                <w:sz w:val="20"/>
              </w:rPr>
              <w:t xml:space="preserve">Reported/ </w:t>
            </w:r>
          </w:p>
          <w:p w:rsidR="00CC41DF" w:rsidRDefault="00CC41DF">
            <w:pPr>
              <w:jc w:val="center"/>
              <w:rPr>
                <w:b/>
                <w:bCs/>
                <w:sz w:val="20"/>
              </w:rPr>
            </w:pPr>
            <w:r>
              <w:rPr>
                <w:b/>
                <w:bCs/>
                <w:sz w:val="20"/>
              </w:rPr>
              <w:t>Results</w:t>
            </w:r>
          </w:p>
        </w:tc>
        <w:tc>
          <w:tcPr>
            <w:tcW w:w="1260" w:type="dxa"/>
            <w:tcBorders>
              <w:bottom w:val="single" w:sz="4" w:space="0" w:color="auto"/>
            </w:tcBorders>
            <w:shd w:val="pct20" w:color="auto" w:fill="auto"/>
          </w:tcPr>
          <w:p w:rsidR="00CC41DF" w:rsidRDefault="00CC41DF">
            <w:pPr>
              <w:jc w:val="center"/>
              <w:rPr>
                <w:b/>
                <w:bCs/>
                <w:sz w:val="20"/>
              </w:rPr>
            </w:pPr>
            <w:r>
              <w:rPr>
                <w:b/>
                <w:bCs/>
                <w:sz w:val="20"/>
              </w:rPr>
              <w:t>Data Source and</w:t>
            </w:r>
          </w:p>
          <w:p w:rsidR="00CC41DF" w:rsidRDefault="00CC41DF">
            <w:pPr>
              <w:jc w:val="center"/>
              <w:rPr>
                <w:b/>
                <w:bCs/>
                <w:sz w:val="20"/>
              </w:rPr>
            </w:pPr>
            <w:r>
              <w:rPr>
                <w:b/>
                <w:bCs/>
                <w:sz w:val="20"/>
              </w:rPr>
              <w:t>Resources</w:t>
            </w:r>
          </w:p>
        </w:tc>
        <w:tc>
          <w:tcPr>
            <w:tcW w:w="3420" w:type="dxa"/>
            <w:tcBorders>
              <w:bottom w:val="single" w:sz="4" w:space="0" w:color="auto"/>
            </w:tcBorders>
            <w:shd w:val="clear" w:color="auto" w:fill="CCCCCC"/>
          </w:tcPr>
          <w:p w:rsidR="00CC41DF" w:rsidRDefault="00CC41DF">
            <w:pPr>
              <w:jc w:val="center"/>
              <w:rPr>
                <w:b/>
                <w:bCs/>
                <w:sz w:val="20"/>
              </w:rPr>
            </w:pPr>
            <w:r>
              <w:rPr>
                <w:b/>
                <w:bCs/>
                <w:sz w:val="20"/>
              </w:rPr>
              <w:t>1.  Purpose of Measure(s)</w:t>
            </w:r>
          </w:p>
          <w:p w:rsidR="00CC41DF" w:rsidRDefault="00CC41DF">
            <w:pPr>
              <w:jc w:val="center"/>
              <w:rPr>
                <w:b/>
                <w:bCs/>
                <w:sz w:val="20"/>
              </w:rPr>
            </w:pPr>
            <w:r>
              <w:rPr>
                <w:b/>
                <w:bCs/>
                <w:sz w:val="20"/>
              </w:rPr>
              <w:t>2.  Significance of Results</w:t>
            </w:r>
          </w:p>
          <w:p w:rsidR="00CC41DF" w:rsidRDefault="00CC41DF">
            <w:pPr>
              <w:jc w:val="center"/>
              <w:rPr>
                <w:sz w:val="20"/>
              </w:rPr>
            </w:pPr>
            <w:r>
              <w:rPr>
                <w:b/>
                <w:bCs/>
                <w:sz w:val="20"/>
              </w:rPr>
              <w:t>3.  Usefulness of Measure</w:t>
            </w:r>
          </w:p>
        </w:tc>
      </w:tr>
    </w:tbl>
    <w:p w:rsidR="00CC41DF" w:rsidRDefault="00CC41DF">
      <w:pPr>
        <w:rPr>
          <w:b/>
          <w:bCs/>
        </w:rPr>
      </w:pPr>
    </w:p>
    <w:p w:rsidR="00CC41DF" w:rsidRDefault="00CC41DF">
      <w:pPr>
        <w:pStyle w:val="BodyText2"/>
        <w:rPr>
          <w:rFonts w:ascii="Times New Roman" w:hAnsi="Times New Roman" w:cs="Times New Roman"/>
        </w:rPr>
      </w:pPr>
      <w:r>
        <w:rPr>
          <w:rFonts w:ascii="Times New Roman" w:hAnsi="Times New Roman" w:cs="Times New Roman"/>
        </w:rPr>
        <w:t>These column headings contain summary information that is included in the templates, and for more complex measures, templates are included with appropriate cross references.  The SPAs related to a core function are listed in the same table with the following column headings:</w:t>
      </w:r>
    </w:p>
    <w:tbl>
      <w:tblPr>
        <w:tblpPr w:leftFromText="180" w:rightFromText="180" w:vertAnchor="text" w:horzAnchor="margin" w:tblpY="186"/>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1800"/>
        <w:gridCol w:w="1260"/>
        <w:gridCol w:w="1260"/>
        <w:gridCol w:w="3420"/>
      </w:tblGrid>
      <w:tr w:rsidR="00CC41DF">
        <w:tblPrEx>
          <w:tblCellMar>
            <w:top w:w="0" w:type="dxa"/>
            <w:bottom w:w="0" w:type="dxa"/>
          </w:tblCellMar>
        </w:tblPrEx>
        <w:tc>
          <w:tcPr>
            <w:tcW w:w="1908" w:type="dxa"/>
            <w:shd w:val="pct20" w:color="auto" w:fill="auto"/>
          </w:tcPr>
          <w:p w:rsidR="00CC41DF" w:rsidRDefault="00CC41DF">
            <w:pPr>
              <w:jc w:val="center"/>
              <w:rPr>
                <w:b/>
                <w:bCs/>
                <w:sz w:val="20"/>
              </w:rPr>
            </w:pPr>
            <w:r>
              <w:rPr>
                <w:b/>
                <w:bCs/>
                <w:sz w:val="20"/>
              </w:rPr>
              <w:t xml:space="preserve">Services, Products, Activities, </w:t>
            </w:r>
          </w:p>
        </w:tc>
        <w:tc>
          <w:tcPr>
            <w:tcW w:w="1800" w:type="dxa"/>
            <w:shd w:val="pct20" w:color="auto" w:fill="auto"/>
          </w:tcPr>
          <w:p w:rsidR="00CC41DF" w:rsidRDefault="00CC41DF">
            <w:pPr>
              <w:pStyle w:val="Heading3"/>
              <w:jc w:val="center"/>
              <w:rPr>
                <w:b/>
                <w:bCs/>
                <w:sz w:val="20"/>
              </w:rPr>
            </w:pPr>
            <w:r>
              <w:rPr>
                <w:b/>
                <w:bCs/>
                <w:sz w:val="20"/>
              </w:rPr>
              <w:t>Performance Measure(s)</w:t>
            </w:r>
          </w:p>
        </w:tc>
        <w:tc>
          <w:tcPr>
            <w:tcW w:w="1260" w:type="dxa"/>
            <w:shd w:val="pct20" w:color="auto" w:fill="auto"/>
          </w:tcPr>
          <w:p w:rsidR="00CC41DF" w:rsidRDefault="00CC41DF">
            <w:pPr>
              <w:jc w:val="center"/>
              <w:rPr>
                <w:b/>
                <w:bCs/>
                <w:sz w:val="20"/>
              </w:rPr>
            </w:pPr>
            <w:r>
              <w:rPr>
                <w:b/>
                <w:bCs/>
                <w:sz w:val="20"/>
              </w:rPr>
              <w:t>Data</w:t>
            </w:r>
          </w:p>
          <w:p w:rsidR="00CC41DF" w:rsidRDefault="00CC41DF">
            <w:pPr>
              <w:jc w:val="center"/>
              <w:rPr>
                <w:b/>
                <w:bCs/>
                <w:sz w:val="20"/>
              </w:rPr>
            </w:pPr>
            <w:r>
              <w:rPr>
                <w:b/>
                <w:bCs/>
                <w:sz w:val="20"/>
              </w:rPr>
              <w:t>Reported</w:t>
            </w:r>
          </w:p>
          <w:p w:rsidR="00CC41DF" w:rsidRDefault="00CC41DF">
            <w:pPr>
              <w:pStyle w:val="Heading9"/>
            </w:pPr>
            <w:r>
              <w:t>Results</w:t>
            </w:r>
          </w:p>
        </w:tc>
        <w:tc>
          <w:tcPr>
            <w:tcW w:w="1260" w:type="dxa"/>
            <w:shd w:val="pct20" w:color="auto" w:fill="auto"/>
          </w:tcPr>
          <w:p w:rsidR="00CC41DF" w:rsidRDefault="00CC41DF">
            <w:pPr>
              <w:jc w:val="center"/>
              <w:rPr>
                <w:b/>
                <w:bCs/>
                <w:sz w:val="20"/>
              </w:rPr>
            </w:pPr>
            <w:r>
              <w:rPr>
                <w:b/>
                <w:bCs/>
                <w:sz w:val="20"/>
              </w:rPr>
              <w:t>Data Source and</w:t>
            </w:r>
          </w:p>
          <w:p w:rsidR="00CC41DF" w:rsidRDefault="00CC41DF">
            <w:pPr>
              <w:jc w:val="center"/>
              <w:rPr>
                <w:b/>
                <w:bCs/>
                <w:sz w:val="20"/>
              </w:rPr>
            </w:pPr>
            <w:r>
              <w:rPr>
                <w:b/>
                <w:bCs/>
                <w:sz w:val="20"/>
              </w:rPr>
              <w:t>Resources</w:t>
            </w:r>
          </w:p>
        </w:tc>
        <w:tc>
          <w:tcPr>
            <w:tcW w:w="3420" w:type="dxa"/>
            <w:shd w:val="pct20" w:color="auto" w:fill="auto"/>
          </w:tcPr>
          <w:p w:rsidR="00CC41DF" w:rsidRDefault="00CC41DF">
            <w:pPr>
              <w:jc w:val="center"/>
              <w:rPr>
                <w:b/>
                <w:bCs/>
                <w:sz w:val="20"/>
              </w:rPr>
            </w:pPr>
            <w:r>
              <w:rPr>
                <w:b/>
                <w:bCs/>
                <w:sz w:val="20"/>
              </w:rPr>
              <w:t>1.  Purpose of Measure(s)</w:t>
            </w:r>
          </w:p>
          <w:p w:rsidR="00CC41DF" w:rsidRDefault="00CC41DF">
            <w:pPr>
              <w:jc w:val="center"/>
              <w:rPr>
                <w:b/>
                <w:bCs/>
                <w:sz w:val="20"/>
              </w:rPr>
            </w:pPr>
            <w:r>
              <w:rPr>
                <w:b/>
                <w:bCs/>
                <w:sz w:val="20"/>
              </w:rPr>
              <w:t>2.  Significance of Results</w:t>
            </w:r>
          </w:p>
          <w:p w:rsidR="00CC41DF" w:rsidRDefault="00CC41DF">
            <w:pPr>
              <w:jc w:val="center"/>
              <w:rPr>
                <w:b/>
                <w:bCs/>
              </w:rPr>
            </w:pPr>
            <w:r>
              <w:rPr>
                <w:b/>
                <w:bCs/>
                <w:sz w:val="20"/>
              </w:rPr>
              <w:t>3.  Usefulness of Measure</w:t>
            </w:r>
          </w:p>
        </w:tc>
      </w:tr>
    </w:tbl>
    <w:p w:rsidR="00CC41DF" w:rsidRDefault="00CC41DF">
      <w:pPr>
        <w:rPr>
          <w:b/>
          <w:bCs/>
        </w:rPr>
      </w:pPr>
    </w:p>
    <w:p w:rsidR="00CC41DF" w:rsidRDefault="00CC41DF">
      <w:pPr>
        <w:pStyle w:val="BodyText2"/>
        <w:rPr>
          <w:rFonts w:ascii="Times New Roman" w:hAnsi="Times New Roman" w:cs="Times New Roman"/>
        </w:rPr>
      </w:pPr>
      <w:r>
        <w:rPr>
          <w:rFonts w:ascii="Times New Roman" w:hAnsi="Times New Roman" w:cs="Times New Roman"/>
        </w:rPr>
        <w:t>Except for “Performance Measure” being  substituted for “Outcome Measure,” the headings are the same.</w:t>
      </w:r>
    </w:p>
    <w:p w:rsidR="00CC41DF" w:rsidRDefault="00CC41DF">
      <w:pPr>
        <w:pStyle w:val="BodyText2"/>
        <w:rPr>
          <w:rFonts w:ascii="Times New Roman" w:hAnsi="Times New Roman" w:cs="Times New Roman"/>
        </w:rPr>
      </w:pPr>
    </w:p>
    <w:p w:rsidR="00CC41DF" w:rsidRDefault="00CC41DF">
      <w:pPr>
        <w:pStyle w:val="BodyText2"/>
        <w:rPr>
          <w:rFonts w:ascii="Times New Roman" w:hAnsi="Times New Roman" w:cs="Times New Roman"/>
        </w:rPr>
      </w:pPr>
      <w:r>
        <w:rPr>
          <w:rFonts w:ascii="Times New Roman" w:hAnsi="Times New Roman" w:cs="Times New Roman"/>
        </w:rPr>
        <w:t>Templates will be used for core function outcome measures that have been found to be most valuable.  SPA information is summarized in the tables, and if a measure did not prove useful or data could not be obtained, no data are provided.  In some cases, a notation is provided in the matrix that the particular measure will not be used in FY 2005.</w:t>
      </w:r>
    </w:p>
    <w:p w:rsidR="00CC41DF" w:rsidRDefault="00CC41DF">
      <w:pPr>
        <w:pStyle w:val="BodyText2"/>
        <w:rPr>
          <w:rFonts w:ascii="Times New Roman" w:hAnsi="Times New Roman" w:cs="Times New Roman"/>
        </w:rPr>
      </w:pPr>
    </w:p>
    <w:p w:rsidR="00CC41DF" w:rsidRDefault="00CC41DF">
      <w:pPr>
        <w:pStyle w:val="Heading8"/>
        <w:rPr>
          <w:rFonts w:ascii="Arial" w:hAnsi="Arial" w:cs="Arial"/>
        </w:rPr>
      </w:pPr>
      <w:r>
        <w:rPr>
          <w:rFonts w:ascii="Arial" w:hAnsi="Arial" w:cs="Arial"/>
        </w:rPr>
        <w:t>CORE FUNCTION RESULTS</w:t>
      </w:r>
    </w:p>
    <w:p w:rsidR="00CC41DF" w:rsidRDefault="00CC41DF">
      <w:pPr>
        <w:jc w:val="both"/>
        <w:rPr>
          <w:rFonts w:ascii="Arial" w:hAnsi="Arial" w:cs="Arial"/>
          <w:b/>
          <w:bCs/>
        </w:rPr>
      </w:pPr>
    </w:p>
    <w:p w:rsidR="00CC41DF" w:rsidRDefault="00CC41DF">
      <w:pPr>
        <w:pStyle w:val="Heading6"/>
        <w:rPr>
          <w:rFonts w:ascii="Times New Roman" w:hAnsi="Times New Roman"/>
        </w:rPr>
      </w:pPr>
      <w:r>
        <w:rPr>
          <w:rFonts w:ascii="Times New Roman" w:hAnsi="Times New Roman"/>
        </w:rPr>
        <w:t xml:space="preserve">Name: </w:t>
      </w:r>
      <w:r>
        <w:rPr>
          <w:rFonts w:ascii="Times New Roman" w:hAnsi="Times New Roman"/>
        </w:rPr>
        <w:tab/>
        <w:t>Retirement System Services and Benefits</w:t>
      </w:r>
    </w:p>
    <w:p w:rsidR="00CC41DF" w:rsidRDefault="00CC41DF">
      <w:pPr>
        <w:jc w:val="both"/>
      </w:pPr>
    </w:p>
    <w:p w:rsidR="00CC41DF" w:rsidRDefault="00CC41DF">
      <w:pPr>
        <w:jc w:val="both"/>
      </w:pPr>
      <w:r>
        <w:rPr>
          <w:b/>
          <w:bCs/>
        </w:rPr>
        <w:t xml:space="preserve">Description: </w:t>
      </w:r>
      <w:r>
        <w:t>IPERS provides retirement benefits to its members and also offers a variety of services to members, retirees and employers.</w:t>
      </w:r>
    </w:p>
    <w:p w:rsidR="00CC41DF" w:rsidRDefault="00CC41DF">
      <w:pPr>
        <w:jc w:val="both"/>
      </w:pPr>
    </w:p>
    <w:p w:rsidR="00CC41DF" w:rsidRDefault="00CC41DF">
      <w:pPr>
        <w:pStyle w:val="BodyText"/>
        <w:jc w:val="left"/>
        <w:rPr>
          <w:rFonts w:ascii="Times New Roman" w:hAnsi="Times New Roman"/>
        </w:rPr>
      </w:pPr>
      <w:r>
        <w:rPr>
          <w:rFonts w:ascii="Times New Roman" w:hAnsi="Times New Roman"/>
          <w:b/>
          <w:bCs/>
        </w:rPr>
        <w:t>Why we are doing this:</w:t>
      </w:r>
      <w:r>
        <w:rPr>
          <w:rFonts w:ascii="Times New Roman" w:hAnsi="Times New Roman"/>
        </w:rPr>
        <w:t xml:space="preserve">   IPERS seeks to provide cost-effective and sufficient core retirement benefits and services exclusively to members and beneficiaries for their care in retirement, to reduce personnel turnover and to attract competent men and women to public service in the State of Iowa.</w:t>
      </w:r>
    </w:p>
    <w:p w:rsidR="00CC41DF" w:rsidRDefault="00CC41DF"/>
    <w:p w:rsidR="00CC41DF" w:rsidRDefault="00CC41DF">
      <w:r>
        <w:rPr>
          <w:b/>
          <w:bCs/>
        </w:rPr>
        <w:t xml:space="preserve">What we're doing to achieve results:  </w:t>
      </w:r>
      <w:r>
        <w:t>IPERS improves its benefits and services through the Iowa Excellence Assessment, benchmarking against peer retirement systems, and strategic deployment of human, financial and technology resources.</w:t>
      </w:r>
    </w:p>
    <w:p w:rsidR="00CC41DF" w:rsidRDefault="00CC41DF">
      <w:pPr>
        <w:jc w:val="both"/>
      </w:pPr>
      <w:r>
        <w:t xml:space="preserve"> </w:t>
      </w:r>
    </w:p>
    <w:tbl>
      <w:tblPr>
        <w:tblW w:w="9900" w:type="dxa"/>
        <w:tblCellSpacing w:w="0" w:type="dxa"/>
        <w:tblInd w:w="-165" w:type="dxa"/>
        <w:tblLayout w:type="fixed"/>
        <w:tblCellMar>
          <w:left w:w="0" w:type="dxa"/>
          <w:right w:w="0" w:type="dxa"/>
        </w:tblCellMar>
        <w:tblLook w:val="0000"/>
      </w:tblPr>
      <w:tblGrid>
        <w:gridCol w:w="9720"/>
        <w:gridCol w:w="180"/>
      </w:tblGrid>
      <w:tr w:rsidR="00CC41DF">
        <w:trPr>
          <w:gridAfter w:val="1"/>
          <w:wAfter w:w="180" w:type="dxa"/>
          <w:trHeight w:val="5556"/>
          <w:tblCellSpacing w:w="0" w:type="dxa"/>
        </w:trPr>
        <w:tc>
          <w:tcPr>
            <w:tcW w:w="9720" w:type="dxa"/>
            <w:shd w:val="clear" w:color="auto" w:fill="FFFFFF"/>
          </w:tcPr>
          <w:p w:rsidR="00CC41DF" w:rsidRDefault="00CC41DF">
            <w:pPr>
              <w:shd w:val="clear" w:color="auto" w:fill="E6E6E6"/>
              <w:spacing w:line="320" w:lineRule="atLeast"/>
              <w:ind w:left="160" w:right="160"/>
              <w:rPr>
                <w:rFonts w:ascii="Arial" w:hAnsi="Arial" w:cs="Arial"/>
                <w:b/>
                <w:bCs/>
                <w:i/>
                <w:iCs/>
                <w:color w:val="000000"/>
                <w:sz w:val="22"/>
                <w:szCs w:val="22"/>
              </w:rPr>
            </w:pPr>
            <w:r>
              <w:rPr>
                <w:rFonts w:ascii="Arial" w:hAnsi="Arial" w:cs="Arial"/>
                <w:i/>
                <w:iCs/>
                <w:color w:val="000000"/>
                <w:sz w:val="22"/>
                <w:szCs w:val="22"/>
              </w:rPr>
              <w:lastRenderedPageBreak/>
              <w:t xml:space="preserve">                                                                                 </w:t>
            </w:r>
            <w:r>
              <w:rPr>
                <w:rFonts w:ascii="Arial" w:hAnsi="Arial" w:cs="Arial"/>
                <w:b/>
                <w:bCs/>
                <w:i/>
                <w:iCs/>
                <w:color w:val="000000"/>
                <w:sz w:val="22"/>
                <w:szCs w:val="22"/>
              </w:rPr>
              <w:t xml:space="preserve">Results </w:t>
            </w:r>
          </w:p>
          <w:tbl>
            <w:tblPr>
              <w:tblW w:w="10740" w:type="dxa"/>
              <w:jc w:val="center"/>
              <w:tblCellSpacing w:w="0" w:type="dxa"/>
              <w:tblInd w:w="160" w:type="dxa"/>
              <w:tblLayout w:type="fixed"/>
              <w:tblCellMar>
                <w:left w:w="0" w:type="dxa"/>
                <w:right w:w="0" w:type="dxa"/>
              </w:tblCellMar>
              <w:tblLook w:val="0000"/>
            </w:tblPr>
            <w:tblGrid>
              <w:gridCol w:w="5010"/>
              <w:gridCol w:w="5730"/>
            </w:tblGrid>
            <w:tr w:rsidR="00CC41DF">
              <w:trPr>
                <w:trHeight w:val="3763"/>
                <w:tblCellSpacing w:w="0" w:type="dxa"/>
                <w:jc w:val="center"/>
              </w:trPr>
              <w:tc>
                <w:tcPr>
                  <w:tcW w:w="5010" w:type="dxa"/>
                  <w:tcBorders>
                    <w:right w:val="dotted" w:sz="8" w:space="0" w:color="333333"/>
                  </w:tcBorders>
                  <w:tcMar>
                    <w:top w:w="200" w:type="dxa"/>
                    <w:left w:w="200" w:type="dxa"/>
                    <w:bottom w:w="200" w:type="dxa"/>
                    <w:right w:w="200" w:type="dxa"/>
                  </w:tcMar>
                </w:tcPr>
                <w:p w:rsidR="00CC41DF" w:rsidRDefault="00CC41DF">
                  <w:pPr>
                    <w:ind w:left="720"/>
                    <w:rPr>
                      <w:rFonts w:ascii="Arial" w:hAnsi="Arial" w:cs="Arial"/>
                      <w:b/>
                      <w:bCs/>
                      <w:sz w:val="20"/>
                    </w:rPr>
                  </w:pPr>
                  <w:r>
                    <w:rPr>
                      <w:rFonts w:ascii="Arial" w:hAnsi="Arial" w:cs="Arial"/>
                      <w:b/>
                      <w:bCs/>
                      <w:i/>
                      <w:iCs/>
                      <w:color w:val="000000"/>
                      <w:sz w:val="22"/>
                      <w:szCs w:val="22"/>
                    </w:rPr>
                    <w:t>Performance Measure</w:t>
                  </w:r>
                  <w:r>
                    <w:rPr>
                      <w:rFonts w:ascii="Arial" w:hAnsi="Arial" w:cs="Arial"/>
                      <w:i/>
                      <w:iCs/>
                      <w:color w:val="000000"/>
                      <w:sz w:val="22"/>
                      <w:szCs w:val="22"/>
                    </w:rPr>
                    <w:t xml:space="preserve">:  </w:t>
                  </w:r>
                  <w:r>
                    <w:rPr>
                      <w:rFonts w:ascii="Arial" w:hAnsi="Arial" w:cs="Arial"/>
                      <w:b/>
                      <w:bCs/>
                      <w:sz w:val="20"/>
                    </w:rPr>
                    <w:t xml:space="preserve">Percent of services rating in the top 25 percent of peer retirement systems. </w:t>
                  </w:r>
                </w:p>
                <w:p w:rsidR="00CC41DF" w:rsidRDefault="00CC41DF">
                  <w:pPr>
                    <w:ind w:left="720"/>
                    <w:rPr>
                      <w:b/>
                      <w:bCs/>
                      <w:sz w:val="20"/>
                    </w:rPr>
                  </w:pPr>
                </w:p>
                <w:p w:rsidR="00CC41DF" w:rsidRDefault="00CC41DF">
                  <w:pPr>
                    <w:spacing w:line="320" w:lineRule="atLeast"/>
                    <w:ind w:left="720"/>
                    <w:jc w:val="center"/>
                    <w:rPr>
                      <w:rFonts w:ascii="Arial" w:hAnsi="Arial" w:cs="Arial"/>
                      <w:i/>
                      <w:iCs/>
                      <w:color w:val="000000"/>
                      <w:sz w:val="22"/>
                      <w:szCs w:val="22"/>
                    </w:rPr>
                  </w:pPr>
                  <w:r>
                    <w:rPr>
                      <w:rFonts w:ascii="Arial" w:hAnsi="Arial" w:cs="Arial"/>
                      <w:b/>
                      <w:bCs/>
                      <w:i/>
                      <w:iCs/>
                      <w:color w:val="000000"/>
                      <w:sz w:val="22"/>
                      <w:szCs w:val="22"/>
                    </w:rPr>
                    <w:t>Performance Target</w:t>
                  </w:r>
                  <w:r>
                    <w:rPr>
                      <w:rFonts w:ascii="Arial" w:hAnsi="Arial" w:cs="Arial"/>
                      <w:i/>
                      <w:iCs/>
                      <w:color w:val="000000"/>
                      <w:sz w:val="22"/>
                      <w:szCs w:val="22"/>
                    </w:rPr>
                    <w:t>:</w:t>
                  </w:r>
                </w:p>
                <w:p w:rsidR="00CC41DF" w:rsidRDefault="00CC41DF">
                  <w:pPr>
                    <w:spacing w:line="320" w:lineRule="atLeast"/>
                    <w:ind w:left="720"/>
                    <w:jc w:val="center"/>
                    <w:rPr>
                      <w:rFonts w:ascii="Arial" w:hAnsi="Arial" w:cs="Arial"/>
                      <w:color w:val="000000"/>
                      <w:sz w:val="22"/>
                      <w:szCs w:val="22"/>
                    </w:rPr>
                  </w:pPr>
                  <w:r>
                    <w:rPr>
                      <w:rFonts w:ascii="Arial" w:hAnsi="Arial" w:cs="Arial"/>
                      <w:color w:val="000000"/>
                      <w:sz w:val="22"/>
                      <w:szCs w:val="22"/>
                    </w:rPr>
                    <w:t>60 percent</w:t>
                  </w:r>
                </w:p>
                <w:p w:rsidR="00CC41DF" w:rsidRDefault="00CC41DF">
                  <w:pPr>
                    <w:spacing w:line="320" w:lineRule="atLeast"/>
                    <w:ind w:left="720"/>
                    <w:jc w:val="center"/>
                    <w:rPr>
                      <w:rFonts w:ascii="Arial" w:hAnsi="Arial" w:cs="Arial"/>
                      <w:i/>
                      <w:iCs/>
                      <w:color w:val="000000"/>
                      <w:sz w:val="22"/>
                      <w:szCs w:val="22"/>
                    </w:rPr>
                  </w:pPr>
                </w:p>
                <w:p w:rsidR="00CC41DF" w:rsidRDefault="00CC41DF">
                  <w:pPr>
                    <w:spacing w:line="320" w:lineRule="atLeast"/>
                    <w:ind w:left="720"/>
                    <w:jc w:val="center"/>
                    <w:rPr>
                      <w:rFonts w:ascii="Arial" w:hAnsi="Arial" w:cs="Arial"/>
                      <w:i/>
                      <w:iCs/>
                      <w:color w:val="000000"/>
                      <w:sz w:val="22"/>
                      <w:szCs w:val="22"/>
                    </w:rPr>
                  </w:pPr>
                  <w:r>
                    <w:rPr>
                      <w:rFonts w:ascii="Arial" w:hAnsi="Arial" w:cs="Arial"/>
                      <w:b/>
                      <w:bCs/>
                      <w:i/>
                      <w:iCs/>
                      <w:color w:val="000000"/>
                      <w:sz w:val="22"/>
                      <w:szCs w:val="22"/>
                    </w:rPr>
                    <w:t>Data Sources</w:t>
                  </w:r>
                  <w:r>
                    <w:rPr>
                      <w:rFonts w:ascii="Arial" w:hAnsi="Arial" w:cs="Arial"/>
                      <w:i/>
                      <w:iCs/>
                      <w:color w:val="000000"/>
                      <w:sz w:val="22"/>
                      <w:szCs w:val="22"/>
                    </w:rPr>
                    <w:t>:</w:t>
                  </w:r>
                </w:p>
                <w:p w:rsidR="00CC41DF" w:rsidRDefault="00CC41DF">
                  <w:pPr>
                    <w:spacing w:line="320" w:lineRule="atLeast"/>
                    <w:ind w:left="720"/>
                    <w:jc w:val="center"/>
                    <w:rPr>
                      <w:rFonts w:ascii="Arial" w:eastAsia="Arial Unicode MS" w:hAnsi="Arial" w:cs="Arial"/>
                      <w:color w:val="000000"/>
                      <w:sz w:val="22"/>
                      <w:szCs w:val="22"/>
                    </w:rPr>
                  </w:pPr>
                  <w:r>
                    <w:rPr>
                      <w:rFonts w:ascii="Arial" w:hAnsi="Arial" w:cs="Arial"/>
                      <w:color w:val="000000"/>
                      <w:sz w:val="22"/>
                      <w:szCs w:val="22"/>
                    </w:rPr>
                    <w:t>Cost Effectiveness Measurement  Benchmarking Report for FY 2003</w:t>
                  </w:r>
                </w:p>
              </w:tc>
              <w:tc>
                <w:tcPr>
                  <w:tcW w:w="5730" w:type="dxa"/>
                  <w:tcMar>
                    <w:top w:w="200" w:type="dxa"/>
                    <w:left w:w="200" w:type="dxa"/>
                    <w:bottom w:w="200" w:type="dxa"/>
                    <w:right w:w="200" w:type="dxa"/>
                  </w:tcMar>
                </w:tcPr>
                <w:p w:rsidR="00CC41DF" w:rsidRDefault="00CC41DF">
                  <w:pPr>
                    <w:spacing w:line="320" w:lineRule="atLeast"/>
                    <w:rPr>
                      <w:rFonts w:ascii="Arial" w:eastAsia="Arial Unicode MS" w:hAnsi="Arial" w:cs="Arial"/>
                      <w:color w:val="000000"/>
                      <w:sz w:val="22"/>
                      <w:szCs w:val="22"/>
                    </w:rPr>
                  </w:pPr>
                  <w:r>
                    <w:rPr>
                      <w:rFonts w:ascii="Arial" w:hAnsi="Arial" w:cs="Arial"/>
                      <w:color w:val="000000"/>
                      <w:sz w:val="22"/>
                      <w:szCs w:val="22"/>
                    </w:rPr>
                    <w:br/>
                  </w:r>
                  <w:r w:rsidR="00130AD5">
                    <w:rPr>
                      <w:rFonts w:ascii="Arial" w:hAnsi="Arial" w:cs="Arial"/>
                      <w:noProof/>
                      <w:color w:val="000000"/>
                      <w:sz w:val="22"/>
                      <w:szCs w:val="22"/>
                    </w:rPr>
                    <w:drawing>
                      <wp:inline distT="0" distB="0" distL="0" distR="0">
                        <wp:extent cx="3867150" cy="2533650"/>
                        <wp:effectExtent l="0" t="0" r="0" b="0"/>
                        <wp:docPr id="9" name="Object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Pr>
                      <w:rFonts w:ascii="Arial" w:hAnsi="Arial" w:cs="Arial"/>
                      <w:color w:val="000000"/>
                      <w:sz w:val="22"/>
                      <w:szCs w:val="22"/>
                    </w:rPr>
                    <w:t>*</w:t>
                  </w:r>
                  <w:r>
                    <w:rPr>
                      <w:color w:val="000000"/>
                      <w:sz w:val="22"/>
                      <w:szCs w:val="22"/>
                    </w:rPr>
                    <w:t>Actual FY 2004 Data will be available in January, 2005.</w:t>
                  </w:r>
                </w:p>
              </w:tc>
            </w:tr>
          </w:tbl>
          <w:p w:rsidR="00CC41DF" w:rsidRDefault="00130AD5">
            <w:pPr>
              <w:shd w:val="clear" w:color="auto" w:fill="E6E6E6"/>
              <w:spacing w:line="320" w:lineRule="atLeast"/>
              <w:ind w:left="160" w:right="160"/>
              <w:rPr>
                <w:rFonts w:ascii="Arial" w:eastAsia="Arial Unicode MS" w:hAnsi="Arial" w:cs="Arial"/>
                <w:color w:val="000000"/>
                <w:sz w:val="22"/>
                <w:szCs w:val="22"/>
              </w:rPr>
            </w:pPr>
            <w:r>
              <w:rPr>
                <w:rFonts w:ascii="Arial" w:hAnsi="Arial" w:cs="Arial"/>
                <w:noProof/>
                <w:color w:val="000000"/>
                <w:sz w:val="22"/>
                <w:szCs w:val="22"/>
              </w:rPr>
              <w:drawing>
                <wp:inline distT="0" distB="0" distL="0" distR="0">
                  <wp:extent cx="7067550" cy="114300"/>
                  <wp:effectExtent l="19050" t="0" r="0" b="0"/>
                  <wp:docPr id="10" name="Picture 10" descr="goal_gray_b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oal_gray_btm"/>
                          <pic:cNvPicPr>
                            <a:picLocks noChangeAspect="1" noChangeArrowheads="1"/>
                          </pic:cNvPicPr>
                        </pic:nvPicPr>
                        <pic:blipFill>
                          <a:blip r:embed="rId11"/>
                          <a:srcRect/>
                          <a:stretch>
                            <a:fillRect/>
                          </a:stretch>
                        </pic:blipFill>
                        <pic:spPr bwMode="auto">
                          <a:xfrm>
                            <a:off x="0" y="0"/>
                            <a:ext cx="7067550" cy="114300"/>
                          </a:xfrm>
                          <a:prstGeom prst="rect">
                            <a:avLst/>
                          </a:prstGeom>
                          <a:noFill/>
                          <a:ln w="9525">
                            <a:noFill/>
                            <a:miter lim="800000"/>
                            <a:headEnd/>
                            <a:tailEnd/>
                          </a:ln>
                        </pic:spPr>
                      </pic:pic>
                    </a:graphicData>
                  </a:graphic>
                </wp:inline>
              </w:drawing>
            </w:r>
          </w:p>
        </w:tc>
      </w:tr>
      <w:tr w:rsidR="00CC41DF">
        <w:trPr>
          <w:tblCellSpacing w:w="0" w:type="dxa"/>
        </w:trPr>
        <w:tc>
          <w:tcPr>
            <w:tcW w:w="9900" w:type="dxa"/>
            <w:gridSpan w:val="2"/>
            <w:shd w:val="clear" w:color="auto" w:fill="FFFFFF"/>
          </w:tcPr>
          <w:p w:rsidR="00CC41DF" w:rsidRDefault="00CC41DF">
            <w:pPr>
              <w:pStyle w:val="NormalWeb"/>
            </w:pPr>
            <w:r>
              <w:rPr>
                <w:b/>
                <w:bCs/>
              </w:rPr>
              <w:t xml:space="preserve">Data reliability:  </w:t>
            </w:r>
            <w:r>
              <w:t>The CEM benchmarking survey is conducted every year following the close of the fiscal year.  Comparisons to other systems are performed through an Excel macro using common definitions and criteria to ensure high reliability.</w:t>
            </w:r>
          </w:p>
          <w:p w:rsidR="00CC41DF" w:rsidRDefault="00CC41DF">
            <w:pPr>
              <w:pStyle w:val="NormalWeb"/>
              <w:rPr>
                <w:b/>
                <w:bCs/>
              </w:rPr>
            </w:pPr>
          </w:p>
        </w:tc>
      </w:tr>
      <w:tr w:rsidR="00CC41DF">
        <w:trPr>
          <w:tblCellSpacing w:w="0" w:type="dxa"/>
        </w:trPr>
        <w:tc>
          <w:tcPr>
            <w:tcW w:w="9900" w:type="dxa"/>
            <w:gridSpan w:val="2"/>
            <w:shd w:val="clear" w:color="auto" w:fill="FFFFFF"/>
          </w:tcPr>
          <w:p w:rsidR="00CC41DF" w:rsidRDefault="00CC41DF">
            <w:pPr>
              <w:pStyle w:val="NormalWeb"/>
            </w:pPr>
            <w:r>
              <w:rPr>
                <w:b/>
                <w:bCs/>
              </w:rPr>
              <w:t>Why we are using this measure:</w:t>
            </w:r>
            <w:r>
              <w:t xml:space="preserve">  Since IPERS has no real peers among the other agencies of state government, benchmarking provides the opportunity to compare the effectiveness and efficiency of our service delivery processes with peer retirement systems in other states and countries.</w:t>
            </w:r>
          </w:p>
          <w:p w:rsidR="00CC41DF" w:rsidRDefault="00CC41DF">
            <w:pPr>
              <w:pStyle w:val="NormalWeb"/>
              <w:rPr>
                <w:b/>
                <w:bCs/>
              </w:rPr>
            </w:pPr>
          </w:p>
        </w:tc>
      </w:tr>
      <w:tr w:rsidR="00CC41DF">
        <w:trPr>
          <w:tblCellSpacing w:w="0" w:type="dxa"/>
        </w:trPr>
        <w:tc>
          <w:tcPr>
            <w:tcW w:w="9900" w:type="dxa"/>
            <w:gridSpan w:val="2"/>
            <w:shd w:val="clear" w:color="auto" w:fill="FFFFFF"/>
          </w:tcPr>
          <w:p w:rsidR="00CC41DF" w:rsidRDefault="00CC41DF">
            <w:pPr>
              <w:pStyle w:val="NormalWeb"/>
            </w:pPr>
            <w:r>
              <w:rPr>
                <w:b/>
                <w:bCs/>
              </w:rPr>
              <w:t xml:space="preserve">What was achieved:  </w:t>
            </w:r>
            <w:r>
              <w:t xml:space="preserve">  Fifty percent of IPERS’ key services ranked above the 75</w:t>
            </w:r>
            <w:r>
              <w:rPr>
                <w:vertAlign w:val="superscript"/>
              </w:rPr>
              <w:t>th</w:t>
            </w:r>
            <w:r>
              <w:t xml:space="preserve"> quartile in comparison to peer systems.</w:t>
            </w:r>
          </w:p>
          <w:p w:rsidR="00CC41DF" w:rsidRDefault="00CC41DF">
            <w:pPr>
              <w:pStyle w:val="NormalWeb"/>
              <w:rPr>
                <w:b/>
                <w:bCs/>
              </w:rPr>
            </w:pPr>
          </w:p>
        </w:tc>
      </w:tr>
      <w:tr w:rsidR="00CC41DF">
        <w:trPr>
          <w:tblCellSpacing w:w="0" w:type="dxa"/>
        </w:trPr>
        <w:tc>
          <w:tcPr>
            <w:tcW w:w="9900" w:type="dxa"/>
            <w:gridSpan w:val="2"/>
            <w:shd w:val="clear" w:color="auto" w:fill="FFFFFF"/>
          </w:tcPr>
          <w:p w:rsidR="00CC41DF" w:rsidRDefault="00CC41DF">
            <w:pPr>
              <w:pStyle w:val="NormalWeb"/>
            </w:pPr>
            <w:r>
              <w:rPr>
                <w:b/>
                <w:bCs/>
              </w:rPr>
              <w:t xml:space="preserve">Analysis of results:  </w:t>
            </w:r>
            <w:r>
              <w:t>Even though IPERS’ composite service quality score was at the 75</w:t>
            </w:r>
            <w:r>
              <w:rPr>
                <w:vertAlign w:val="superscript"/>
              </w:rPr>
              <w:t>th</w:t>
            </w:r>
            <w:r>
              <w:t xml:space="preserve"> percentile, this measure compares individual services with peers resulting in identifying more opportunities for improvement.  The target has been set at 60 percent for FY 2004, but actual performance data will not be available until the end of January.</w:t>
            </w:r>
          </w:p>
          <w:p w:rsidR="00CC41DF" w:rsidRDefault="00CC41DF">
            <w:pPr>
              <w:pStyle w:val="NormalWeb"/>
              <w:rPr>
                <w:b/>
                <w:bCs/>
              </w:rPr>
            </w:pPr>
          </w:p>
        </w:tc>
      </w:tr>
      <w:tr w:rsidR="00CC41DF">
        <w:trPr>
          <w:tblCellSpacing w:w="0" w:type="dxa"/>
        </w:trPr>
        <w:tc>
          <w:tcPr>
            <w:tcW w:w="9900" w:type="dxa"/>
            <w:gridSpan w:val="2"/>
            <w:shd w:val="clear" w:color="auto" w:fill="FFFFFF"/>
          </w:tcPr>
          <w:p w:rsidR="00CC41DF" w:rsidRDefault="00CC41DF">
            <w:pPr>
              <w:pStyle w:val="NormalWeb"/>
            </w:pPr>
            <w:r>
              <w:rPr>
                <w:b/>
                <w:bCs/>
              </w:rPr>
              <w:t xml:space="preserve">Factors affecting results:  </w:t>
            </w:r>
            <w:r>
              <w:t>The primary factor in determining relative rankings is the definition of the benchmarks.  Improvement is tied to achieving more of the quality criteria associated with the service.</w:t>
            </w:r>
          </w:p>
          <w:p w:rsidR="00CC41DF" w:rsidRDefault="00CC41DF">
            <w:pPr>
              <w:pStyle w:val="NormalWeb"/>
              <w:rPr>
                <w:b/>
                <w:bCs/>
              </w:rPr>
            </w:pPr>
          </w:p>
        </w:tc>
      </w:tr>
      <w:tr w:rsidR="00CC41DF">
        <w:trPr>
          <w:tblCellSpacing w:w="0" w:type="dxa"/>
        </w:trPr>
        <w:tc>
          <w:tcPr>
            <w:tcW w:w="9900" w:type="dxa"/>
            <w:gridSpan w:val="2"/>
            <w:shd w:val="clear" w:color="auto" w:fill="FFFFFF"/>
          </w:tcPr>
          <w:p w:rsidR="00CC41DF" w:rsidRDefault="00CC41DF">
            <w:pPr>
              <w:pStyle w:val="NormalWeb"/>
            </w:pPr>
            <w:r>
              <w:rPr>
                <w:b/>
                <w:bCs/>
              </w:rPr>
              <w:t xml:space="preserve">Resources used:  </w:t>
            </w:r>
            <w:r>
              <w:t>$25,000 from IPERS Trust Fund for the Survey.</w:t>
            </w:r>
          </w:p>
        </w:tc>
      </w:tr>
    </w:tbl>
    <w:p w:rsidR="00CC41DF" w:rsidRDefault="00CC41DF">
      <w:pPr>
        <w:pStyle w:val="Heading6"/>
        <w:rPr>
          <w:rFonts w:ascii="Times New Roman" w:hAnsi="Times New Roman"/>
        </w:rPr>
      </w:pPr>
      <w:r>
        <w:rPr>
          <w:rFonts w:ascii="Times New Roman" w:hAnsi="Times New Roman"/>
        </w:rPr>
        <w:t>Name:  Retirement System Benefits and Services Results - Continued</w:t>
      </w:r>
    </w:p>
    <w:p w:rsidR="00CC41DF" w:rsidRDefault="00CC41DF">
      <w:pPr>
        <w:jc w:val="both"/>
        <w:rPr>
          <w:rFonts w:ascii="Arial" w:hAnsi="Arial" w:cs="Arial"/>
        </w:rPr>
      </w:pPr>
    </w:p>
    <w:tbl>
      <w:tblPr>
        <w:tblW w:w="9900" w:type="dxa"/>
        <w:tblCellSpacing w:w="0" w:type="dxa"/>
        <w:tblInd w:w="-165" w:type="dxa"/>
        <w:tblLayout w:type="fixed"/>
        <w:tblCellMar>
          <w:left w:w="0" w:type="dxa"/>
          <w:right w:w="0" w:type="dxa"/>
        </w:tblCellMar>
        <w:tblLook w:val="0000"/>
      </w:tblPr>
      <w:tblGrid>
        <w:gridCol w:w="9900"/>
      </w:tblGrid>
      <w:tr w:rsidR="00CC41DF">
        <w:trPr>
          <w:tblCellSpacing w:w="0" w:type="dxa"/>
        </w:trPr>
        <w:tc>
          <w:tcPr>
            <w:tcW w:w="9900" w:type="dxa"/>
            <w:shd w:val="clear" w:color="auto" w:fill="FFFFFF"/>
          </w:tcPr>
          <w:p w:rsidR="00CC41DF" w:rsidRDefault="00CC41DF">
            <w:pPr>
              <w:shd w:val="clear" w:color="auto" w:fill="E6E6E6"/>
              <w:spacing w:line="320" w:lineRule="atLeast"/>
              <w:ind w:left="160" w:right="160"/>
              <w:rPr>
                <w:rFonts w:ascii="Arial" w:hAnsi="Arial" w:cs="Arial"/>
                <w:b/>
                <w:bCs/>
                <w:i/>
                <w:iCs/>
                <w:color w:val="000000"/>
                <w:sz w:val="22"/>
                <w:szCs w:val="22"/>
              </w:rPr>
            </w:pPr>
            <w:r>
              <w:rPr>
                <w:rFonts w:ascii="Arial" w:hAnsi="Arial" w:cs="Arial"/>
                <w:i/>
                <w:iCs/>
                <w:color w:val="000000"/>
                <w:sz w:val="22"/>
                <w:szCs w:val="22"/>
              </w:rPr>
              <w:lastRenderedPageBreak/>
              <w:t xml:space="preserve">                                                                                 </w:t>
            </w:r>
            <w:r>
              <w:rPr>
                <w:rFonts w:ascii="Arial" w:hAnsi="Arial" w:cs="Arial"/>
                <w:b/>
                <w:bCs/>
                <w:i/>
                <w:iCs/>
                <w:color w:val="000000"/>
                <w:sz w:val="22"/>
                <w:szCs w:val="22"/>
              </w:rPr>
              <w:t xml:space="preserve">Results </w:t>
            </w:r>
          </w:p>
          <w:tbl>
            <w:tblPr>
              <w:tblW w:w="10740" w:type="dxa"/>
              <w:jc w:val="center"/>
              <w:tblCellSpacing w:w="0" w:type="dxa"/>
              <w:tblInd w:w="160" w:type="dxa"/>
              <w:tblLayout w:type="fixed"/>
              <w:tblCellMar>
                <w:left w:w="0" w:type="dxa"/>
                <w:right w:w="0" w:type="dxa"/>
              </w:tblCellMar>
              <w:tblLook w:val="0000"/>
            </w:tblPr>
            <w:tblGrid>
              <w:gridCol w:w="3540"/>
              <w:gridCol w:w="7200"/>
            </w:tblGrid>
            <w:tr w:rsidR="00CC41DF">
              <w:trPr>
                <w:tblCellSpacing w:w="0" w:type="dxa"/>
                <w:jc w:val="center"/>
              </w:trPr>
              <w:tc>
                <w:tcPr>
                  <w:tcW w:w="3540" w:type="dxa"/>
                  <w:tcBorders>
                    <w:right w:val="dotted" w:sz="8" w:space="0" w:color="333333"/>
                  </w:tcBorders>
                  <w:tcMar>
                    <w:top w:w="200" w:type="dxa"/>
                    <w:left w:w="200" w:type="dxa"/>
                    <w:bottom w:w="200" w:type="dxa"/>
                    <w:right w:w="200" w:type="dxa"/>
                  </w:tcMar>
                </w:tcPr>
                <w:p w:rsidR="00CC41DF" w:rsidRDefault="00CC41DF">
                  <w:pPr>
                    <w:jc w:val="center"/>
                    <w:rPr>
                      <w:rFonts w:ascii="Arial" w:hAnsi="Arial" w:cs="Arial"/>
                      <w:i/>
                      <w:iCs/>
                      <w:color w:val="000000"/>
                      <w:sz w:val="22"/>
                      <w:szCs w:val="22"/>
                    </w:rPr>
                  </w:pPr>
                  <w:r>
                    <w:rPr>
                      <w:rFonts w:ascii="Arial" w:hAnsi="Arial" w:cs="Arial"/>
                      <w:b/>
                      <w:bCs/>
                      <w:i/>
                      <w:iCs/>
                      <w:color w:val="000000"/>
                      <w:sz w:val="22"/>
                      <w:szCs w:val="22"/>
                    </w:rPr>
                    <w:t>Performance Measure</w:t>
                  </w:r>
                  <w:r>
                    <w:rPr>
                      <w:rFonts w:ascii="Arial" w:hAnsi="Arial" w:cs="Arial"/>
                      <w:i/>
                      <w:iCs/>
                      <w:color w:val="000000"/>
                      <w:sz w:val="22"/>
                      <w:szCs w:val="22"/>
                    </w:rPr>
                    <w:t>:</w:t>
                  </w:r>
                </w:p>
                <w:p w:rsidR="00CC41DF" w:rsidRDefault="00CC41DF">
                  <w:pPr>
                    <w:jc w:val="center"/>
                    <w:rPr>
                      <w:rFonts w:ascii="Arial" w:hAnsi="Arial" w:cs="Arial"/>
                      <w:b/>
                      <w:bCs/>
                      <w:sz w:val="20"/>
                    </w:rPr>
                  </w:pPr>
                  <w:r>
                    <w:rPr>
                      <w:rFonts w:ascii="Arial" w:hAnsi="Arial" w:cs="Arial"/>
                      <w:b/>
                      <w:bCs/>
                      <w:sz w:val="20"/>
                    </w:rPr>
                    <w:t xml:space="preserve">    Percent of total fund market</w:t>
                  </w:r>
                </w:p>
                <w:p w:rsidR="00CC41DF" w:rsidRDefault="00CC41DF">
                  <w:pPr>
                    <w:jc w:val="center"/>
                    <w:rPr>
                      <w:rFonts w:ascii="Arial" w:hAnsi="Arial" w:cs="Arial"/>
                      <w:b/>
                      <w:bCs/>
                      <w:sz w:val="20"/>
                    </w:rPr>
                  </w:pPr>
                  <w:r>
                    <w:rPr>
                      <w:rFonts w:ascii="Arial" w:hAnsi="Arial" w:cs="Arial"/>
                      <w:b/>
                      <w:bCs/>
                      <w:sz w:val="20"/>
                    </w:rPr>
                    <w:t xml:space="preserve">   value spent on investments</w:t>
                  </w:r>
                </w:p>
                <w:p w:rsidR="00CC41DF" w:rsidRDefault="00CC41DF">
                  <w:pPr>
                    <w:rPr>
                      <w:rFonts w:ascii="Arial" w:hAnsi="Arial" w:cs="Arial"/>
                      <w:b/>
                      <w:bCs/>
                      <w:sz w:val="20"/>
                    </w:rPr>
                  </w:pPr>
                  <w:r>
                    <w:rPr>
                      <w:rFonts w:ascii="Arial" w:hAnsi="Arial" w:cs="Arial"/>
                      <w:b/>
                      <w:bCs/>
                      <w:sz w:val="20"/>
                    </w:rPr>
                    <w:t xml:space="preserve">      administration.</w:t>
                  </w:r>
                </w:p>
                <w:p w:rsidR="00CC41DF" w:rsidRDefault="00CC41DF">
                  <w:pPr>
                    <w:spacing w:line="320" w:lineRule="atLeast"/>
                    <w:jc w:val="center"/>
                    <w:rPr>
                      <w:rFonts w:ascii="Arial" w:hAnsi="Arial" w:cs="Arial"/>
                      <w:color w:val="000000"/>
                      <w:sz w:val="22"/>
                      <w:szCs w:val="22"/>
                    </w:rPr>
                  </w:pPr>
                  <w:r>
                    <w:rPr>
                      <w:rFonts w:ascii="Arial" w:hAnsi="Arial" w:cs="Arial"/>
                      <w:color w:val="000000"/>
                      <w:sz w:val="22"/>
                      <w:szCs w:val="22"/>
                    </w:rPr>
                    <w:br/>
                  </w:r>
                </w:p>
                <w:p w:rsidR="00CC41DF" w:rsidRDefault="00CC41DF">
                  <w:pPr>
                    <w:spacing w:line="320" w:lineRule="atLeast"/>
                    <w:jc w:val="center"/>
                    <w:rPr>
                      <w:rFonts w:ascii="Arial" w:hAnsi="Arial" w:cs="Arial"/>
                      <w:i/>
                      <w:iCs/>
                      <w:color w:val="000000"/>
                      <w:sz w:val="22"/>
                      <w:szCs w:val="22"/>
                    </w:rPr>
                  </w:pPr>
                  <w:r>
                    <w:rPr>
                      <w:rFonts w:ascii="Arial" w:hAnsi="Arial" w:cs="Arial"/>
                      <w:b/>
                      <w:bCs/>
                      <w:i/>
                      <w:iCs/>
                      <w:color w:val="000000"/>
                      <w:sz w:val="22"/>
                      <w:szCs w:val="22"/>
                    </w:rPr>
                    <w:t>Performance Target</w:t>
                  </w:r>
                  <w:r>
                    <w:rPr>
                      <w:rFonts w:ascii="Arial" w:hAnsi="Arial" w:cs="Arial"/>
                      <w:i/>
                      <w:iCs/>
                      <w:color w:val="000000"/>
                      <w:sz w:val="22"/>
                      <w:szCs w:val="22"/>
                    </w:rPr>
                    <w:t>:</w:t>
                  </w:r>
                </w:p>
                <w:p w:rsidR="00CC41DF" w:rsidRDefault="00CC41DF">
                  <w:pPr>
                    <w:spacing w:line="320" w:lineRule="atLeast"/>
                    <w:ind w:left="720"/>
                    <w:rPr>
                      <w:rFonts w:ascii="Arial" w:hAnsi="Arial" w:cs="Arial"/>
                      <w:color w:val="000000"/>
                      <w:sz w:val="22"/>
                      <w:szCs w:val="22"/>
                    </w:rPr>
                  </w:pPr>
                  <w:r>
                    <w:rPr>
                      <w:rFonts w:ascii="Arial" w:hAnsi="Arial" w:cs="Arial"/>
                      <w:color w:val="000000"/>
                      <w:sz w:val="22"/>
                      <w:szCs w:val="22"/>
                    </w:rPr>
                    <w:t>Baseline in 2004, but less than cap set by statute.</w:t>
                  </w:r>
                </w:p>
                <w:p w:rsidR="00CC41DF" w:rsidRDefault="00CC41DF">
                  <w:pPr>
                    <w:spacing w:line="320" w:lineRule="atLeast"/>
                    <w:jc w:val="center"/>
                    <w:rPr>
                      <w:rFonts w:ascii="Arial" w:hAnsi="Arial" w:cs="Arial"/>
                      <w:color w:val="000000"/>
                      <w:sz w:val="22"/>
                      <w:szCs w:val="22"/>
                    </w:rPr>
                  </w:pPr>
                </w:p>
                <w:p w:rsidR="00CC41DF" w:rsidRDefault="00CC41DF">
                  <w:pPr>
                    <w:spacing w:line="320" w:lineRule="atLeast"/>
                    <w:jc w:val="center"/>
                    <w:rPr>
                      <w:rFonts w:ascii="Arial" w:hAnsi="Arial" w:cs="Arial"/>
                      <w:i/>
                      <w:iCs/>
                      <w:color w:val="000000"/>
                      <w:sz w:val="22"/>
                      <w:szCs w:val="22"/>
                    </w:rPr>
                  </w:pPr>
                </w:p>
                <w:p w:rsidR="00CC41DF" w:rsidRDefault="00CC41DF">
                  <w:pPr>
                    <w:spacing w:line="320" w:lineRule="atLeast"/>
                    <w:jc w:val="center"/>
                    <w:rPr>
                      <w:rFonts w:ascii="Arial" w:hAnsi="Arial" w:cs="Arial"/>
                      <w:i/>
                      <w:iCs/>
                      <w:color w:val="000000"/>
                      <w:sz w:val="22"/>
                      <w:szCs w:val="22"/>
                    </w:rPr>
                  </w:pPr>
                  <w:r>
                    <w:rPr>
                      <w:rFonts w:ascii="Arial" w:hAnsi="Arial" w:cs="Arial"/>
                      <w:b/>
                      <w:bCs/>
                      <w:i/>
                      <w:iCs/>
                      <w:color w:val="000000"/>
                      <w:sz w:val="22"/>
                      <w:szCs w:val="22"/>
                    </w:rPr>
                    <w:t>Data Sources</w:t>
                  </w:r>
                  <w:r>
                    <w:rPr>
                      <w:rFonts w:ascii="Arial" w:hAnsi="Arial" w:cs="Arial"/>
                      <w:i/>
                      <w:iCs/>
                      <w:color w:val="000000"/>
                      <w:sz w:val="22"/>
                      <w:szCs w:val="22"/>
                    </w:rPr>
                    <w:t>:</w:t>
                  </w:r>
                </w:p>
                <w:p w:rsidR="00CC41DF" w:rsidRDefault="00CC41DF">
                  <w:pPr>
                    <w:spacing w:line="320" w:lineRule="atLeast"/>
                    <w:jc w:val="center"/>
                    <w:rPr>
                      <w:rFonts w:ascii="Arial" w:eastAsia="Arial Unicode MS" w:hAnsi="Arial" w:cs="Arial"/>
                      <w:color w:val="000000"/>
                      <w:sz w:val="22"/>
                      <w:szCs w:val="22"/>
                    </w:rPr>
                  </w:pPr>
                  <w:r>
                    <w:rPr>
                      <w:rFonts w:ascii="Arial" w:hAnsi="Arial" w:cs="Arial"/>
                      <w:b/>
                      <w:bCs/>
                      <w:color w:val="000000"/>
                      <w:sz w:val="20"/>
                      <w:szCs w:val="20"/>
                    </w:rPr>
                    <w:t>Wilshire Associates, Inc.</w:t>
                  </w:r>
                </w:p>
              </w:tc>
              <w:tc>
                <w:tcPr>
                  <w:tcW w:w="7200" w:type="dxa"/>
                  <w:tcMar>
                    <w:top w:w="200" w:type="dxa"/>
                    <w:left w:w="200" w:type="dxa"/>
                    <w:bottom w:w="200" w:type="dxa"/>
                    <w:right w:w="200" w:type="dxa"/>
                  </w:tcMar>
                </w:tcPr>
                <w:p w:rsidR="00CC41DF" w:rsidRDefault="00130AD5">
                  <w:pPr>
                    <w:spacing w:line="320" w:lineRule="atLeast"/>
                    <w:rPr>
                      <w:rFonts w:ascii="Arial" w:eastAsia="Arial Unicode MS" w:hAnsi="Arial" w:cs="Arial"/>
                      <w:color w:val="000000"/>
                      <w:sz w:val="22"/>
                      <w:szCs w:val="22"/>
                    </w:rPr>
                  </w:pPr>
                  <w:r>
                    <w:rPr>
                      <w:rFonts w:ascii="Arial" w:eastAsia="Arial Unicode MS" w:hAnsi="Arial" w:cs="Arial"/>
                      <w:noProof/>
                      <w:color w:val="000000"/>
                      <w:sz w:val="22"/>
                      <w:szCs w:val="22"/>
                    </w:rPr>
                    <w:drawing>
                      <wp:inline distT="0" distB="0" distL="0" distR="0">
                        <wp:extent cx="4143375" cy="2638425"/>
                        <wp:effectExtent l="0" t="0" r="0" b="0"/>
                        <wp:docPr id="11" name="Object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c>
                <w:tcPr>
                  <w:gridSpan w:val="0"/>
                </w:tcPr>
                <w:p w:rsidR="00CC41DF" w:rsidRDefault="00130AD5">
                  <w:pPr>
                    <w:spacing w:line="320" w:lineRule="atLeast"/>
                    <w:rPr>
                      <w:rFonts w:ascii="Arial" w:hAnsi="Arial" w:cs="Arial"/>
                      <w:sz w:val="20"/>
                      <w:szCs w:val="20"/>
                    </w:rPr>
                  </w:pPr>
                  <w:r>
                    <w:rPr>
                      <w:rFonts w:ascii="Arial" w:hAnsi="Arial" w:cs="Arial"/>
                      <w:noProof/>
                      <w:sz w:val="20"/>
                      <w:szCs w:val="20"/>
                    </w:rPr>
                    <w:drawing>
                      <wp:inline distT="0" distB="0" distL="0" distR="0">
                        <wp:extent cx="2743200" cy="1828800"/>
                        <wp:effectExtent l="0" t="0" r="0" b="0"/>
                        <wp:docPr id="2"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bl>
          <w:p w:rsidR="00CC41DF" w:rsidRDefault="00130AD5">
            <w:pPr>
              <w:shd w:val="clear" w:color="auto" w:fill="E6E6E6"/>
              <w:spacing w:line="320" w:lineRule="atLeast"/>
              <w:ind w:left="160" w:right="160"/>
              <w:rPr>
                <w:rFonts w:ascii="Arial" w:eastAsia="Arial Unicode MS" w:hAnsi="Arial" w:cs="Arial"/>
                <w:color w:val="000000"/>
                <w:sz w:val="22"/>
                <w:szCs w:val="22"/>
              </w:rPr>
            </w:pPr>
            <w:r>
              <w:rPr>
                <w:rFonts w:ascii="Arial" w:hAnsi="Arial" w:cs="Arial"/>
                <w:noProof/>
                <w:color w:val="000000"/>
                <w:sz w:val="22"/>
                <w:szCs w:val="22"/>
              </w:rPr>
              <w:drawing>
                <wp:inline distT="0" distB="0" distL="0" distR="0">
                  <wp:extent cx="7067550" cy="142875"/>
                  <wp:effectExtent l="19050" t="0" r="0" b="0"/>
                  <wp:docPr id="12" name="Picture 12" descr="goal_gray_b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oal_gray_btm"/>
                          <pic:cNvPicPr>
                            <a:picLocks noChangeAspect="1" noChangeArrowheads="1"/>
                          </pic:cNvPicPr>
                        </pic:nvPicPr>
                        <pic:blipFill>
                          <a:blip r:embed="rId11"/>
                          <a:srcRect/>
                          <a:stretch>
                            <a:fillRect/>
                          </a:stretch>
                        </pic:blipFill>
                        <pic:spPr bwMode="auto">
                          <a:xfrm>
                            <a:off x="0" y="0"/>
                            <a:ext cx="7067550" cy="142875"/>
                          </a:xfrm>
                          <a:prstGeom prst="rect">
                            <a:avLst/>
                          </a:prstGeom>
                          <a:noFill/>
                          <a:ln w="9525">
                            <a:noFill/>
                            <a:miter lim="800000"/>
                            <a:headEnd/>
                            <a:tailEnd/>
                          </a:ln>
                        </pic:spPr>
                      </pic:pic>
                    </a:graphicData>
                  </a:graphic>
                </wp:inline>
              </w:drawing>
            </w:r>
          </w:p>
        </w:tc>
      </w:tr>
      <w:tr w:rsidR="00CC41DF">
        <w:trPr>
          <w:tblCellSpacing w:w="0" w:type="dxa"/>
        </w:trPr>
        <w:tc>
          <w:tcPr>
            <w:tcW w:w="9900" w:type="dxa"/>
            <w:shd w:val="clear" w:color="auto" w:fill="FFFFFF"/>
          </w:tcPr>
          <w:p w:rsidR="00CC41DF" w:rsidRDefault="00CC41DF">
            <w:pPr>
              <w:pStyle w:val="NormalWeb"/>
            </w:pPr>
            <w:r>
              <w:rPr>
                <w:b/>
                <w:bCs/>
              </w:rPr>
              <w:t xml:space="preserve">Data reliability:  </w:t>
            </w:r>
            <w:r>
              <w:t>Since information is collected from accounting records and is analyzed by a respected consultant, it is very accurate.</w:t>
            </w:r>
          </w:p>
          <w:p w:rsidR="00CC41DF" w:rsidRDefault="00CC41DF">
            <w:pPr>
              <w:pStyle w:val="NormalWeb"/>
              <w:rPr>
                <w:b/>
                <w:bCs/>
              </w:rPr>
            </w:pPr>
          </w:p>
        </w:tc>
      </w:tr>
      <w:tr w:rsidR="00CC41DF">
        <w:trPr>
          <w:tblCellSpacing w:w="0" w:type="dxa"/>
        </w:trPr>
        <w:tc>
          <w:tcPr>
            <w:tcW w:w="9900" w:type="dxa"/>
            <w:shd w:val="clear" w:color="auto" w:fill="FFFFFF"/>
          </w:tcPr>
          <w:p w:rsidR="00CC41DF" w:rsidRDefault="00CC41DF">
            <w:pPr>
              <w:pStyle w:val="NormalWeb"/>
            </w:pPr>
            <w:r>
              <w:rPr>
                <w:b/>
                <w:bCs/>
              </w:rPr>
              <w:t>Why we are using this measure:</w:t>
            </w:r>
            <w:r>
              <w:t xml:space="preserve">   It is important to track administrative expenses against a recognized baseline value to monitor changes related to maximum efficiency.</w:t>
            </w:r>
          </w:p>
          <w:p w:rsidR="00CC41DF" w:rsidRDefault="00CC41DF">
            <w:pPr>
              <w:pStyle w:val="NormalWeb"/>
              <w:rPr>
                <w:b/>
                <w:bCs/>
              </w:rPr>
            </w:pPr>
          </w:p>
        </w:tc>
      </w:tr>
      <w:tr w:rsidR="00CC41DF">
        <w:trPr>
          <w:tblCellSpacing w:w="0" w:type="dxa"/>
        </w:trPr>
        <w:tc>
          <w:tcPr>
            <w:tcW w:w="9900" w:type="dxa"/>
            <w:shd w:val="clear" w:color="auto" w:fill="FFFFFF"/>
          </w:tcPr>
          <w:p w:rsidR="00CC41DF" w:rsidRDefault="00CC41DF">
            <w:pPr>
              <w:pStyle w:val="NormalWeb"/>
            </w:pPr>
            <w:r>
              <w:rPr>
                <w:b/>
                <w:bCs/>
              </w:rPr>
              <w:t xml:space="preserve">What was achieved:   </w:t>
            </w:r>
            <w:r>
              <w:t>Investment administrative costs as a percentage of total fund value was about 50 percent lower than the benchmark.</w:t>
            </w:r>
          </w:p>
          <w:p w:rsidR="00CC41DF" w:rsidRDefault="00CC41DF">
            <w:pPr>
              <w:pStyle w:val="NormalWeb"/>
              <w:rPr>
                <w:b/>
                <w:bCs/>
              </w:rPr>
            </w:pPr>
          </w:p>
        </w:tc>
      </w:tr>
      <w:tr w:rsidR="00CC41DF">
        <w:trPr>
          <w:tblCellSpacing w:w="0" w:type="dxa"/>
        </w:trPr>
        <w:tc>
          <w:tcPr>
            <w:tcW w:w="9900" w:type="dxa"/>
            <w:shd w:val="clear" w:color="auto" w:fill="FFFFFF"/>
          </w:tcPr>
          <w:p w:rsidR="00CC41DF" w:rsidRDefault="00CC41DF">
            <w:pPr>
              <w:pStyle w:val="NormalWeb"/>
            </w:pPr>
            <w:r>
              <w:rPr>
                <w:b/>
                <w:bCs/>
              </w:rPr>
              <w:t xml:space="preserve">Analysis of results:  </w:t>
            </w:r>
            <w:r>
              <w:t>We are featuring this measure because it demonstrates that IPERS has worked hard to keep down administrative expenses.</w:t>
            </w:r>
          </w:p>
          <w:p w:rsidR="00CC41DF" w:rsidRDefault="00CC41DF">
            <w:pPr>
              <w:pStyle w:val="NormalWeb"/>
              <w:rPr>
                <w:b/>
                <w:bCs/>
              </w:rPr>
            </w:pPr>
          </w:p>
        </w:tc>
      </w:tr>
      <w:tr w:rsidR="00CC41DF">
        <w:trPr>
          <w:tblCellSpacing w:w="0" w:type="dxa"/>
        </w:trPr>
        <w:tc>
          <w:tcPr>
            <w:tcW w:w="9900" w:type="dxa"/>
            <w:shd w:val="clear" w:color="auto" w:fill="FFFFFF"/>
          </w:tcPr>
          <w:p w:rsidR="00CC41DF" w:rsidRDefault="00CC41DF">
            <w:pPr>
              <w:pStyle w:val="NormalWeb"/>
            </w:pPr>
            <w:r>
              <w:rPr>
                <w:b/>
                <w:bCs/>
              </w:rPr>
              <w:t xml:space="preserve">Factors affecting results:  </w:t>
            </w:r>
            <w:r>
              <w:t>The total cost for administration and allocation of costs varies somewhat by methodology, but is in a very narrow range of variation.</w:t>
            </w:r>
          </w:p>
          <w:p w:rsidR="00CC41DF" w:rsidRDefault="00CC41DF">
            <w:pPr>
              <w:pStyle w:val="NormalWeb"/>
              <w:rPr>
                <w:b/>
                <w:bCs/>
              </w:rPr>
            </w:pPr>
          </w:p>
        </w:tc>
      </w:tr>
      <w:tr w:rsidR="00CC41DF">
        <w:trPr>
          <w:tblCellSpacing w:w="0" w:type="dxa"/>
        </w:trPr>
        <w:tc>
          <w:tcPr>
            <w:tcW w:w="9900" w:type="dxa"/>
            <w:shd w:val="clear" w:color="auto" w:fill="FFFFFF"/>
          </w:tcPr>
          <w:p w:rsidR="00CC41DF" w:rsidRDefault="00CC41DF">
            <w:pPr>
              <w:pStyle w:val="NormalWeb"/>
            </w:pPr>
            <w:r>
              <w:rPr>
                <w:b/>
                <w:bCs/>
              </w:rPr>
              <w:t xml:space="preserve">Resources used:  </w:t>
            </w:r>
            <w:r>
              <w:t xml:space="preserve">Investments administrative costs are paid from the IPERS Trust Fund. The estimated administrative costs for FY 2004 are $784,653. </w:t>
            </w:r>
          </w:p>
          <w:p w:rsidR="00CC41DF" w:rsidRDefault="00CC41DF">
            <w:pPr>
              <w:pStyle w:val="NormalWeb"/>
              <w:rPr>
                <w:b/>
                <w:bCs/>
              </w:rPr>
            </w:pPr>
          </w:p>
        </w:tc>
      </w:tr>
    </w:tbl>
    <w:p w:rsidR="00CC41DF" w:rsidRDefault="00CC41DF">
      <w:pPr>
        <w:pStyle w:val="BodyText2"/>
        <w:rPr>
          <w:rFonts w:ascii="Times New Roman" w:hAnsi="Times New Roman" w:cs="Times New Roman"/>
        </w:rPr>
        <w:sectPr w:rsidR="00CC41DF">
          <w:type w:val="continuous"/>
          <w:pgSz w:w="12240" w:h="15840"/>
          <w:pgMar w:top="1296" w:right="1440" w:bottom="1296" w:left="1440" w:header="720" w:footer="720" w:gutter="0"/>
          <w:cols w:space="720"/>
          <w:titlePg/>
          <w:docGrid w:linePitch="360"/>
        </w:sectPr>
      </w:pPr>
    </w:p>
    <w:p w:rsidR="00CC41DF" w:rsidRDefault="00CC41DF">
      <w:pPr>
        <w:pStyle w:val="BodyText2"/>
        <w:rPr>
          <w:rFonts w:ascii="Times New Roman" w:hAnsi="Times New Roman" w:cs="Times New Roman"/>
        </w:rPr>
      </w:pPr>
    </w:p>
    <w:p w:rsidR="00CC41DF" w:rsidRDefault="00CC41DF">
      <w:pPr>
        <w:pBdr>
          <w:top w:val="single" w:sz="12" w:space="1" w:color="auto" w:shadow="1"/>
          <w:left w:val="single" w:sz="12" w:space="4" w:color="auto" w:shadow="1"/>
          <w:bottom w:val="single" w:sz="12" w:space="1" w:color="auto" w:shadow="1"/>
          <w:right w:val="single" w:sz="12" w:space="4" w:color="auto" w:shadow="1"/>
        </w:pBdr>
        <w:jc w:val="center"/>
        <w:rPr>
          <w:rFonts w:ascii="Arial Black" w:hAnsi="Arial Black" w:cs="Arial"/>
          <w:b/>
          <w:sz w:val="36"/>
        </w:rPr>
      </w:pPr>
      <w:r>
        <w:rPr>
          <w:rFonts w:ascii="Arial Black" w:hAnsi="Arial Black" w:cs="Arial"/>
          <w:b/>
          <w:sz w:val="36"/>
        </w:rPr>
        <w:t>RESOURCE REALLOCATIONS</w:t>
      </w:r>
    </w:p>
    <w:p w:rsidR="00CC41DF" w:rsidRDefault="00CC41DF">
      <w:pPr>
        <w:pBdr>
          <w:top w:val="single" w:sz="12" w:space="1" w:color="auto" w:shadow="1"/>
          <w:left w:val="single" w:sz="12" w:space="4" w:color="auto" w:shadow="1"/>
          <w:bottom w:val="single" w:sz="12" w:space="1" w:color="auto" w:shadow="1"/>
          <w:right w:val="single" w:sz="12" w:space="4" w:color="auto" w:shadow="1"/>
        </w:pBdr>
        <w:jc w:val="center"/>
        <w:rPr>
          <w:rFonts w:ascii="Arial Black" w:hAnsi="Arial Black" w:cs="Arial"/>
          <w:b/>
          <w:sz w:val="16"/>
        </w:rPr>
      </w:pPr>
    </w:p>
    <w:p w:rsidR="00CC41DF" w:rsidRDefault="00CC41DF">
      <w:pPr>
        <w:pStyle w:val="BodyText2"/>
        <w:rPr>
          <w:rFonts w:ascii="Times New Roman" w:hAnsi="Times New Roman" w:cs="Times New Roman"/>
        </w:rPr>
      </w:pPr>
    </w:p>
    <w:p w:rsidR="00CC41DF" w:rsidRDefault="00CC41DF">
      <w:pPr>
        <w:pStyle w:val="BodyText2"/>
        <w:rPr>
          <w:rFonts w:ascii="Times New Roman" w:hAnsi="Times New Roman" w:cs="Times New Roman"/>
        </w:rPr>
      </w:pPr>
    </w:p>
    <w:p w:rsidR="00CC41DF" w:rsidRDefault="00CC41DF">
      <w:pPr>
        <w:pStyle w:val="BodyText2"/>
        <w:rPr>
          <w:rFonts w:ascii="Times New Roman" w:hAnsi="Times New Roman" w:cs="Times New Roman"/>
          <w:b w:val="0"/>
          <w:bCs w:val="0"/>
        </w:rPr>
      </w:pPr>
      <w:r>
        <w:rPr>
          <w:rFonts w:ascii="Times New Roman" w:hAnsi="Times New Roman" w:cs="Times New Roman"/>
          <w:b w:val="0"/>
          <w:bCs w:val="0"/>
        </w:rPr>
        <w:t xml:space="preserve">Even though IPERS develops budgets by work unit, funds that will not be spent are placed in a general allocation pool, and units that need additional financial resources may request such funds.  Requests are placed on a list that is prioritized by management, and funds are reallocated on the basis of priority when and if they become available.  </w:t>
      </w:r>
    </w:p>
    <w:p w:rsidR="00CC41DF" w:rsidRDefault="00CC41DF">
      <w:pPr>
        <w:pStyle w:val="BodyText2"/>
        <w:rPr>
          <w:rFonts w:ascii="Times New Roman" w:hAnsi="Times New Roman" w:cs="Times New Roman"/>
          <w:b w:val="0"/>
          <w:bCs w:val="0"/>
        </w:rPr>
      </w:pPr>
    </w:p>
    <w:p w:rsidR="00CC41DF" w:rsidRDefault="00CC41DF">
      <w:pPr>
        <w:pStyle w:val="BodyText2"/>
        <w:rPr>
          <w:rFonts w:ascii="Times New Roman" w:hAnsi="Times New Roman" w:cs="Times New Roman"/>
          <w:b w:val="0"/>
          <w:bCs w:val="0"/>
        </w:rPr>
      </w:pPr>
      <w:r>
        <w:rPr>
          <w:rFonts w:ascii="Times New Roman" w:hAnsi="Times New Roman" w:cs="Times New Roman"/>
          <w:b w:val="0"/>
          <w:bCs w:val="0"/>
        </w:rPr>
        <w:t xml:space="preserve">Reallocation of funds in FY 2004 was very limited with about $200,000 reallocated to moving the computer room from the Grimes Building to the IPERS Building to improve effectiveness and efficiency of the computer operations, and about $50,000 was reallocated to hardware and software upgrades and IT training.  </w:t>
      </w:r>
    </w:p>
    <w:p w:rsidR="00CC41DF" w:rsidRDefault="00CC41DF">
      <w:pPr>
        <w:pStyle w:val="BodyText2"/>
        <w:rPr>
          <w:rFonts w:ascii="Times New Roman" w:hAnsi="Times New Roman" w:cs="Times New Roman"/>
          <w:b w:val="0"/>
          <w:bCs w:val="0"/>
        </w:rPr>
      </w:pPr>
    </w:p>
    <w:p w:rsidR="00CC41DF" w:rsidRDefault="00CC41DF">
      <w:pPr>
        <w:pStyle w:val="BodyText2"/>
        <w:rPr>
          <w:rFonts w:ascii="Times New Roman" w:hAnsi="Times New Roman" w:cs="Times New Roman"/>
          <w:b w:val="0"/>
          <w:bCs w:val="0"/>
        </w:rPr>
      </w:pPr>
      <w:r>
        <w:rPr>
          <w:rFonts w:ascii="Times New Roman" w:hAnsi="Times New Roman" w:cs="Times New Roman"/>
          <w:b w:val="0"/>
          <w:bCs w:val="0"/>
        </w:rPr>
        <w:t>As a result of our efforts to control costs, $287,501.62 was returned to the IPERS Trust Fund at the end of FY 2004.</w:t>
      </w:r>
    </w:p>
    <w:p w:rsidR="00CC41DF" w:rsidRDefault="00CC41DF">
      <w:pPr>
        <w:pStyle w:val="BodyText2"/>
        <w:rPr>
          <w:rFonts w:ascii="Times New Roman" w:hAnsi="Times New Roman" w:cs="Times New Roman"/>
        </w:rPr>
      </w:pPr>
    </w:p>
    <w:p w:rsidR="00CC41DF" w:rsidRDefault="00CC41DF">
      <w:pPr>
        <w:pStyle w:val="BodyText2"/>
        <w:rPr>
          <w:rFonts w:ascii="Times New Roman" w:hAnsi="Times New Roman" w:cs="Times New Roman"/>
        </w:rPr>
      </w:pPr>
    </w:p>
    <w:p w:rsidR="00CC41DF" w:rsidRDefault="00CC41DF">
      <w:pPr>
        <w:pStyle w:val="BodyText2"/>
        <w:rPr>
          <w:rFonts w:ascii="Times New Roman" w:hAnsi="Times New Roman" w:cs="Times New Roman"/>
        </w:rPr>
      </w:pPr>
    </w:p>
    <w:p w:rsidR="00CC41DF" w:rsidRDefault="00CC41DF">
      <w:pPr>
        <w:pStyle w:val="BodyText2"/>
        <w:rPr>
          <w:rFonts w:ascii="Times New Roman" w:hAnsi="Times New Roman" w:cs="Times New Roman"/>
        </w:rPr>
      </w:pPr>
    </w:p>
    <w:p w:rsidR="00CC41DF" w:rsidRDefault="00CC41DF">
      <w:pPr>
        <w:pStyle w:val="BodyText2"/>
        <w:rPr>
          <w:rFonts w:ascii="Times New Roman" w:hAnsi="Times New Roman" w:cs="Times New Roman"/>
        </w:rPr>
      </w:pPr>
    </w:p>
    <w:p w:rsidR="00CC41DF" w:rsidRDefault="00CC41DF">
      <w:pPr>
        <w:pStyle w:val="BodyText2"/>
        <w:rPr>
          <w:rFonts w:ascii="Times New Roman" w:hAnsi="Times New Roman" w:cs="Times New Roman"/>
        </w:rPr>
      </w:pPr>
    </w:p>
    <w:p w:rsidR="00CC41DF" w:rsidRDefault="00CC41DF">
      <w:pPr>
        <w:pStyle w:val="BodyText2"/>
        <w:rPr>
          <w:rFonts w:ascii="Times New Roman" w:hAnsi="Times New Roman" w:cs="Times New Roman"/>
        </w:rPr>
      </w:pPr>
      <w:r>
        <w:rPr>
          <w:rFonts w:ascii="Times New Roman" w:hAnsi="Times New Roman" w:cs="Times New Roman"/>
        </w:rPr>
        <w:br w:type="page"/>
      </w:r>
    </w:p>
    <w:p w:rsidR="00CC41DF" w:rsidRDefault="00CC41DF">
      <w:pPr>
        <w:pStyle w:val="BodyText2"/>
        <w:rPr>
          <w:rFonts w:ascii="Times New Roman" w:hAnsi="Times New Roman" w:cs="Times New Roman"/>
        </w:rPr>
      </w:pPr>
    </w:p>
    <w:p w:rsidR="00CC41DF" w:rsidRDefault="00CC41DF">
      <w:pPr>
        <w:pStyle w:val="BodyText2"/>
        <w:rPr>
          <w:rFonts w:ascii="Times New Roman" w:hAnsi="Times New Roman" w:cs="Times New Roman"/>
        </w:rPr>
      </w:pPr>
      <w:r>
        <w:rPr>
          <w:rFonts w:ascii="Times New Roman" w:hAnsi="Times New Roman" w:cs="Times New Roman"/>
          <w:noProof/>
          <w:sz w:val="20"/>
        </w:rPr>
        <w:pict>
          <v:shape id="_x0000_s1030" type="#_x0000_t202" style="position:absolute;margin-left:0;margin-top:-38.4pt;width:483pt;height:36pt;z-index:-251659264" strokeweight="1.5pt">
            <v:shadow on="t" offset="-6pt,-6pt"/>
            <v:textbox style="mso-next-textbox:#_x0000_s1030">
              <w:txbxContent>
                <w:p w:rsidR="00CC41DF" w:rsidRDefault="00CC41DF">
                  <w:pPr>
                    <w:jc w:val="center"/>
                  </w:pPr>
                  <w:r>
                    <w:rPr>
                      <w:rFonts w:ascii="Arial Black" w:hAnsi="Arial Black"/>
                      <w:sz w:val="36"/>
                    </w:rPr>
                    <w:t>AGENCY CONTACTS</w:t>
                  </w:r>
                </w:p>
              </w:txbxContent>
            </v:textbox>
          </v:shape>
        </w:pict>
      </w:r>
    </w:p>
    <w:p w:rsidR="00CC41DF" w:rsidRDefault="00CC41DF">
      <w:pPr>
        <w:pStyle w:val="BodyText2"/>
        <w:rPr>
          <w:rFonts w:ascii="Times New Roman" w:hAnsi="Times New Roman" w:cs="Times New Roman"/>
        </w:rPr>
      </w:pPr>
    </w:p>
    <w:p w:rsidR="00CC41DF" w:rsidRDefault="00CC41DF">
      <w:pPr>
        <w:pStyle w:val="BodyText2"/>
        <w:rPr>
          <w:rFonts w:ascii="Times New Roman" w:hAnsi="Times New Roman" w:cs="Times New Roman"/>
          <w:u w:val="single"/>
        </w:rPr>
      </w:pPr>
      <w:r>
        <w:rPr>
          <w:rFonts w:ascii="Times New Roman" w:hAnsi="Times New Roman" w:cs="Times New Roman"/>
          <w:u w:val="single"/>
        </w:rPr>
        <w:t>Performance Planning and Reporting Information</w:t>
      </w:r>
    </w:p>
    <w:p w:rsidR="00CC41DF" w:rsidRDefault="00CC41DF">
      <w:pPr>
        <w:pStyle w:val="BodyText2"/>
        <w:rPr>
          <w:rFonts w:ascii="Times New Roman" w:hAnsi="Times New Roman" w:cs="Times New Roman"/>
          <w:u w:val="single"/>
        </w:rPr>
      </w:pPr>
    </w:p>
    <w:p w:rsidR="00CC41DF" w:rsidRDefault="00CC41DF">
      <w:pPr>
        <w:pStyle w:val="BodyText2"/>
        <w:rPr>
          <w:rFonts w:ascii="Times New Roman" w:hAnsi="Times New Roman" w:cs="Times New Roman"/>
          <w:b w:val="0"/>
          <w:bCs w:val="0"/>
        </w:rPr>
      </w:pPr>
      <w:r>
        <w:rPr>
          <w:rFonts w:ascii="Times New Roman" w:hAnsi="Times New Roman" w:cs="Times New Roman"/>
          <w:b w:val="0"/>
          <w:bCs w:val="0"/>
        </w:rPr>
        <w:t>Curt Sorteberg</w:t>
      </w:r>
    </w:p>
    <w:p w:rsidR="00CC41DF" w:rsidRDefault="00CC41DF">
      <w:pPr>
        <w:pStyle w:val="BodyText2"/>
        <w:rPr>
          <w:rFonts w:ascii="Times New Roman" w:hAnsi="Times New Roman" w:cs="Times New Roman"/>
          <w:b w:val="0"/>
          <w:bCs w:val="0"/>
        </w:rPr>
      </w:pPr>
      <w:r>
        <w:rPr>
          <w:rFonts w:ascii="Times New Roman" w:hAnsi="Times New Roman" w:cs="Times New Roman"/>
          <w:b w:val="0"/>
          <w:bCs w:val="0"/>
        </w:rPr>
        <w:t>Phone:  515-281-3313</w:t>
      </w:r>
    </w:p>
    <w:p w:rsidR="00CC41DF" w:rsidRDefault="00CC41DF">
      <w:pPr>
        <w:pStyle w:val="BodyText2"/>
        <w:rPr>
          <w:rFonts w:ascii="Times New Roman" w:hAnsi="Times New Roman" w:cs="Times New Roman"/>
          <w:b w:val="0"/>
          <w:bCs w:val="0"/>
        </w:rPr>
      </w:pPr>
      <w:r>
        <w:rPr>
          <w:rFonts w:ascii="Times New Roman" w:hAnsi="Times New Roman" w:cs="Times New Roman"/>
          <w:b w:val="0"/>
          <w:bCs w:val="0"/>
        </w:rPr>
        <w:t>FAX:  515-281-0053</w:t>
      </w:r>
    </w:p>
    <w:p w:rsidR="00CC41DF" w:rsidRDefault="00CC41DF">
      <w:pPr>
        <w:pStyle w:val="BodyText2"/>
        <w:rPr>
          <w:rFonts w:ascii="Times New Roman" w:hAnsi="Times New Roman" w:cs="Times New Roman"/>
          <w:b w:val="0"/>
          <w:bCs w:val="0"/>
        </w:rPr>
      </w:pPr>
      <w:r>
        <w:rPr>
          <w:rFonts w:ascii="Times New Roman" w:hAnsi="Times New Roman" w:cs="Times New Roman"/>
          <w:b w:val="0"/>
          <w:bCs w:val="0"/>
        </w:rPr>
        <w:t xml:space="preserve">E-Mail:  </w:t>
      </w:r>
      <w:hyperlink r:id="rId18" w:history="1">
        <w:r>
          <w:rPr>
            <w:rStyle w:val="Hyperlink"/>
          </w:rPr>
          <w:t>Curt.Sorteberg@ipers.org</w:t>
        </w:r>
      </w:hyperlink>
    </w:p>
    <w:p w:rsidR="00CC41DF" w:rsidRDefault="00CC41DF">
      <w:pPr>
        <w:pStyle w:val="BodyText2"/>
        <w:rPr>
          <w:rFonts w:ascii="Times New Roman" w:hAnsi="Times New Roman" w:cs="Times New Roman"/>
          <w:b w:val="0"/>
          <w:bCs w:val="0"/>
        </w:rPr>
      </w:pPr>
    </w:p>
    <w:p w:rsidR="00CC41DF" w:rsidRDefault="00CC41DF">
      <w:pPr>
        <w:pStyle w:val="BodyText2"/>
        <w:rPr>
          <w:rFonts w:ascii="Times New Roman" w:hAnsi="Times New Roman" w:cs="Times New Roman"/>
          <w:u w:val="single"/>
        </w:rPr>
      </w:pPr>
      <w:r>
        <w:rPr>
          <w:rFonts w:ascii="Times New Roman" w:hAnsi="Times New Roman" w:cs="Times New Roman"/>
          <w:u w:val="single"/>
        </w:rPr>
        <w:t>Accounting/Budgeting Information</w:t>
      </w:r>
    </w:p>
    <w:p w:rsidR="00CC41DF" w:rsidRDefault="00CC41DF">
      <w:pPr>
        <w:pStyle w:val="BodyText2"/>
        <w:rPr>
          <w:rFonts w:ascii="Times New Roman" w:hAnsi="Times New Roman" w:cs="Times New Roman"/>
        </w:rPr>
      </w:pPr>
    </w:p>
    <w:p w:rsidR="00CC41DF" w:rsidRDefault="00CC41DF">
      <w:pPr>
        <w:pStyle w:val="BodyText2"/>
        <w:rPr>
          <w:rFonts w:ascii="Times New Roman" w:hAnsi="Times New Roman" w:cs="Times New Roman"/>
          <w:b w:val="0"/>
          <w:bCs w:val="0"/>
        </w:rPr>
      </w:pPr>
      <w:r>
        <w:rPr>
          <w:rFonts w:ascii="Times New Roman" w:hAnsi="Times New Roman" w:cs="Times New Roman"/>
          <w:b w:val="0"/>
          <w:bCs w:val="0"/>
        </w:rPr>
        <w:t>Darla Iverson</w:t>
      </w:r>
    </w:p>
    <w:p w:rsidR="00CC41DF" w:rsidRDefault="00CC41DF">
      <w:pPr>
        <w:pStyle w:val="BodyText2"/>
        <w:rPr>
          <w:rFonts w:ascii="Times New Roman" w:hAnsi="Times New Roman" w:cs="Times New Roman"/>
          <w:b w:val="0"/>
          <w:bCs w:val="0"/>
        </w:rPr>
      </w:pPr>
      <w:r>
        <w:rPr>
          <w:rFonts w:ascii="Times New Roman" w:hAnsi="Times New Roman" w:cs="Times New Roman"/>
          <w:b w:val="0"/>
          <w:bCs w:val="0"/>
        </w:rPr>
        <w:t>Phone:  515-281-0056</w:t>
      </w:r>
    </w:p>
    <w:p w:rsidR="00CC41DF" w:rsidRDefault="00CC41DF">
      <w:pPr>
        <w:pStyle w:val="BodyText2"/>
        <w:rPr>
          <w:rFonts w:ascii="Times New Roman" w:hAnsi="Times New Roman" w:cs="Times New Roman"/>
          <w:b w:val="0"/>
          <w:bCs w:val="0"/>
        </w:rPr>
      </w:pPr>
      <w:r>
        <w:rPr>
          <w:rFonts w:ascii="Times New Roman" w:hAnsi="Times New Roman" w:cs="Times New Roman"/>
          <w:b w:val="0"/>
          <w:bCs w:val="0"/>
        </w:rPr>
        <w:t>FAX:  515-281-0055</w:t>
      </w:r>
    </w:p>
    <w:p w:rsidR="00CC41DF" w:rsidRDefault="00CC41DF">
      <w:pPr>
        <w:pStyle w:val="BodyText2"/>
        <w:rPr>
          <w:b w:val="0"/>
          <w:bCs w:val="0"/>
        </w:rPr>
      </w:pPr>
      <w:r>
        <w:rPr>
          <w:b w:val="0"/>
          <w:bCs w:val="0"/>
        </w:rPr>
        <w:t xml:space="preserve">E-Mail:  </w:t>
      </w:r>
      <w:hyperlink r:id="rId19" w:history="1">
        <w:r>
          <w:rPr>
            <w:rStyle w:val="Hyperlink"/>
          </w:rPr>
          <w:t>Darla.Iverson@ipers.org</w:t>
        </w:r>
      </w:hyperlink>
    </w:p>
    <w:p w:rsidR="00CC41DF" w:rsidRDefault="00CC41DF">
      <w:pPr>
        <w:pStyle w:val="BodyText2"/>
        <w:rPr>
          <w:b w:val="0"/>
          <w:bCs w:val="0"/>
        </w:rPr>
      </w:pPr>
    </w:p>
    <w:p w:rsidR="00CC41DF" w:rsidRDefault="00CC41DF">
      <w:pPr>
        <w:pStyle w:val="BodyText2"/>
        <w:rPr>
          <w:b w:val="0"/>
          <w:bCs w:val="0"/>
        </w:rPr>
      </w:pPr>
    </w:p>
    <w:p w:rsidR="00CC41DF" w:rsidRDefault="00CC41DF">
      <w:pPr>
        <w:pStyle w:val="BodyText2"/>
        <w:rPr>
          <w:rFonts w:ascii="Times New Roman" w:hAnsi="Times New Roman" w:cs="Times New Roman"/>
        </w:rPr>
      </w:pPr>
      <w:r>
        <w:rPr>
          <w:rFonts w:ascii="Times New Roman" w:hAnsi="Times New Roman" w:cs="Times New Roman"/>
        </w:rPr>
        <w:t>Other performance information is available on IPERS’ website at IPERS.org.</w:t>
      </w:r>
    </w:p>
    <w:p w:rsidR="00CC41DF" w:rsidRDefault="00CC41DF">
      <w:pPr>
        <w:pStyle w:val="BodyText2"/>
        <w:rPr>
          <w:rFonts w:ascii="Times New Roman" w:hAnsi="Times New Roman" w:cs="Times New Roman"/>
          <w:b w:val="0"/>
          <w:bCs w:val="0"/>
        </w:rPr>
      </w:pPr>
    </w:p>
    <w:p w:rsidR="00CC41DF" w:rsidRDefault="00CC41DF">
      <w:pPr>
        <w:pStyle w:val="BodyText2"/>
        <w:rPr>
          <w:rFonts w:ascii="Times New Roman" w:hAnsi="Times New Roman" w:cs="Times New Roman"/>
          <w:b w:val="0"/>
          <w:bCs w:val="0"/>
        </w:rPr>
      </w:pPr>
    </w:p>
    <w:p w:rsidR="00CC41DF" w:rsidRDefault="00CC41DF">
      <w:pPr>
        <w:pStyle w:val="BodyText2"/>
        <w:rPr>
          <w:rFonts w:ascii="Times New Roman" w:hAnsi="Times New Roman" w:cs="Times New Roman"/>
        </w:rPr>
      </w:pPr>
    </w:p>
    <w:p w:rsidR="00CC41DF" w:rsidRDefault="00CC41DF">
      <w:pPr>
        <w:pStyle w:val="BodyText2"/>
        <w:rPr>
          <w:rFonts w:ascii="Times New Roman" w:hAnsi="Times New Roman" w:cs="Times New Roman"/>
        </w:rPr>
        <w:sectPr w:rsidR="00CC41DF">
          <w:pgSz w:w="12240" w:h="15840"/>
          <w:pgMar w:top="1296" w:right="1440" w:bottom="1296" w:left="1440" w:header="720" w:footer="720" w:gutter="0"/>
          <w:pgNumType w:start="20"/>
          <w:cols w:space="720"/>
          <w:docGrid w:linePitch="360"/>
        </w:sectPr>
      </w:pPr>
    </w:p>
    <w:tbl>
      <w:tblPr>
        <w:tblW w:w="14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75"/>
        <w:gridCol w:w="3593"/>
        <w:gridCol w:w="1629"/>
        <w:gridCol w:w="1611"/>
        <w:gridCol w:w="5400"/>
      </w:tblGrid>
      <w:tr w:rsidR="00CC41DF">
        <w:tblPrEx>
          <w:tblCellMar>
            <w:top w:w="0" w:type="dxa"/>
            <w:bottom w:w="0" w:type="dxa"/>
          </w:tblCellMar>
        </w:tblPrEx>
        <w:trPr>
          <w:jc w:val="center"/>
        </w:trPr>
        <w:tc>
          <w:tcPr>
            <w:tcW w:w="14508" w:type="dxa"/>
            <w:gridSpan w:val="5"/>
          </w:tcPr>
          <w:p w:rsidR="00CC41DF" w:rsidRDefault="00CC41DF">
            <w:pPr>
              <w:rPr>
                <w:sz w:val="20"/>
              </w:rPr>
            </w:pPr>
            <w:r>
              <w:rPr>
                <w:sz w:val="20"/>
              </w:rPr>
              <w:lastRenderedPageBreak/>
              <w:t>Name of Agency:  Iowa Public Employees’ Retirement System</w:t>
            </w:r>
          </w:p>
        </w:tc>
      </w:tr>
      <w:tr w:rsidR="00CC41DF">
        <w:tblPrEx>
          <w:tblCellMar>
            <w:top w:w="0" w:type="dxa"/>
            <w:bottom w:w="0" w:type="dxa"/>
          </w:tblCellMar>
        </w:tblPrEx>
        <w:trPr>
          <w:jc w:val="center"/>
        </w:trPr>
        <w:tc>
          <w:tcPr>
            <w:tcW w:w="14508" w:type="dxa"/>
            <w:gridSpan w:val="5"/>
          </w:tcPr>
          <w:p w:rsidR="00CC41DF" w:rsidRDefault="00CC41DF">
            <w:pPr>
              <w:rPr>
                <w:sz w:val="20"/>
              </w:rPr>
            </w:pPr>
          </w:p>
        </w:tc>
      </w:tr>
      <w:tr w:rsidR="00CC41DF">
        <w:tblPrEx>
          <w:tblCellMar>
            <w:top w:w="0" w:type="dxa"/>
            <w:bottom w:w="0" w:type="dxa"/>
          </w:tblCellMar>
        </w:tblPrEx>
        <w:trPr>
          <w:jc w:val="center"/>
        </w:trPr>
        <w:tc>
          <w:tcPr>
            <w:tcW w:w="14508" w:type="dxa"/>
            <w:gridSpan w:val="5"/>
          </w:tcPr>
          <w:p w:rsidR="00CC41DF" w:rsidRDefault="00CC41DF">
            <w:pPr>
              <w:pStyle w:val="BodyText"/>
              <w:ind w:left="720"/>
              <w:rPr>
                <w:rFonts w:ascii="Times New Roman" w:hAnsi="Times New Roman"/>
              </w:rPr>
            </w:pPr>
            <w:r>
              <w:rPr>
                <w:rFonts w:ascii="Times New Roman" w:hAnsi="Times New Roman"/>
              </w:rPr>
              <w:t>Agency Mission/Core Purpose:  To provide cost-effective and sufficient core retirement benefits and services exclusively to members and beneficiaries for their care in retirement, to reduce personnel turnover and to attract competent men and women to public service in the State of Iowa.</w:t>
            </w:r>
          </w:p>
          <w:p w:rsidR="00CC41DF" w:rsidRDefault="00CC41DF"/>
        </w:tc>
      </w:tr>
      <w:tr w:rsidR="00CC41DF">
        <w:tblPrEx>
          <w:tblCellMar>
            <w:top w:w="0" w:type="dxa"/>
            <w:bottom w:w="0" w:type="dxa"/>
          </w:tblCellMar>
        </w:tblPrEx>
        <w:trPr>
          <w:jc w:val="center"/>
        </w:trPr>
        <w:tc>
          <w:tcPr>
            <w:tcW w:w="2275" w:type="dxa"/>
            <w:shd w:val="pct20" w:color="auto" w:fill="auto"/>
          </w:tcPr>
          <w:p w:rsidR="00CC41DF" w:rsidRDefault="00CC41DF">
            <w:pPr>
              <w:jc w:val="center"/>
              <w:rPr>
                <w:b/>
                <w:bCs/>
              </w:rPr>
            </w:pPr>
            <w:r>
              <w:rPr>
                <w:b/>
                <w:bCs/>
              </w:rPr>
              <w:t>Core Function</w:t>
            </w:r>
          </w:p>
        </w:tc>
        <w:tc>
          <w:tcPr>
            <w:tcW w:w="3593" w:type="dxa"/>
            <w:shd w:val="pct20" w:color="auto" w:fill="auto"/>
          </w:tcPr>
          <w:p w:rsidR="00CC41DF" w:rsidRDefault="00CC41DF">
            <w:pPr>
              <w:jc w:val="center"/>
              <w:rPr>
                <w:b/>
                <w:bCs/>
              </w:rPr>
            </w:pPr>
            <w:r>
              <w:rPr>
                <w:b/>
                <w:bCs/>
              </w:rPr>
              <w:t>Outcome Measure(s)</w:t>
            </w:r>
          </w:p>
        </w:tc>
        <w:tc>
          <w:tcPr>
            <w:tcW w:w="1629" w:type="dxa"/>
            <w:tcBorders>
              <w:bottom w:val="single" w:sz="4" w:space="0" w:color="auto"/>
            </w:tcBorders>
            <w:shd w:val="pct20" w:color="auto" w:fill="auto"/>
          </w:tcPr>
          <w:p w:rsidR="00CC41DF" w:rsidRDefault="00CC41DF">
            <w:pPr>
              <w:jc w:val="center"/>
              <w:rPr>
                <w:b/>
                <w:bCs/>
              </w:rPr>
            </w:pPr>
            <w:r>
              <w:rPr>
                <w:b/>
                <w:bCs/>
              </w:rPr>
              <w:t>Data</w:t>
            </w:r>
          </w:p>
          <w:p w:rsidR="00CC41DF" w:rsidRDefault="00CC41DF">
            <w:pPr>
              <w:jc w:val="center"/>
              <w:rPr>
                <w:b/>
                <w:bCs/>
              </w:rPr>
            </w:pPr>
            <w:r>
              <w:rPr>
                <w:b/>
                <w:bCs/>
              </w:rPr>
              <w:t xml:space="preserve">Reported/ </w:t>
            </w:r>
          </w:p>
          <w:p w:rsidR="00CC41DF" w:rsidRDefault="00CC41DF">
            <w:pPr>
              <w:jc w:val="center"/>
              <w:rPr>
                <w:b/>
                <w:bCs/>
              </w:rPr>
            </w:pPr>
            <w:r>
              <w:rPr>
                <w:b/>
                <w:bCs/>
              </w:rPr>
              <w:t>Results</w:t>
            </w:r>
          </w:p>
        </w:tc>
        <w:tc>
          <w:tcPr>
            <w:tcW w:w="1611" w:type="dxa"/>
            <w:tcBorders>
              <w:bottom w:val="single" w:sz="4" w:space="0" w:color="auto"/>
            </w:tcBorders>
            <w:shd w:val="pct20" w:color="auto" w:fill="auto"/>
          </w:tcPr>
          <w:p w:rsidR="00CC41DF" w:rsidRDefault="00CC41DF">
            <w:pPr>
              <w:jc w:val="center"/>
              <w:rPr>
                <w:b/>
                <w:bCs/>
              </w:rPr>
            </w:pPr>
            <w:r>
              <w:rPr>
                <w:b/>
                <w:bCs/>
              </w:rPr>
              <w:t xml:space="preserve">Data Source </w:t>
            </w:r>
          </w:p>
        </w:tc>
        <w:tc>
          <w:tcPr>
            <w:tcW w:w="5400" w:type="dxa"/>
            <w:tcBorders>
              <w:bottom w:val="single" w:sz="4" w:space="0" w:color="auto"/>
            </w:tcBorders>
            <w:shd w:val="clear" w:color="auto" w:fill="CCCCCC"/>
          </w:tcPr>
          <w:p w:rsidR="00CC41DF" w:rsidRDefault="00CC41DF">
            <w:pPr>
              <w:jc w:val="center"/>
              <w:rPr>
                <w:b/>
                <w:bCs/>
              </w:rPr>
            </w:pPr>
            <w:r>
              <w:rPr>
                <w:b/>
                <w:bCs/>
              </w:rPr>
              <w:t>1.  Purpose of Measure(s)</w:t>
            </w:r>
          </w:p>
          <w:p w:rsidR="00CC41DF" w:rsidRDefault="00CC41DF">
            <w:pPr>
              <w:jc w:val="center"/>
              <w:rPr>
                <w:b/>
                <w:bCs/>
              </w:rPr>
            </w:pPr>
            <w:r>
              <w:rPr>
                <w:b/>
                <w:bCs/>
              </w:rPr>
              <w:t>2.  Significance of Results</w:t>
            </w:r>
          </w:p>
          <w:p w:rsidR="00CC41DF" w:rsidRDefault="00CC41DF">
            <w:pPr>
              <w:jc w:val="center"/>
              <w:rPr>
                <w:b/>
                <w:bCs/>
              </w:rPr>
            </w:pPr>
            <w:r>
              <w:rPr>
                <w:b/>
                <w:bCs/>
              </w:rPr>
              <w:t>3.  Usefulness of Measure</w:t>
            </w:r>
          </w:p>
        </w:tc>
      </w:tr>
      <w:tr w:rsidR="00CC41DF">
        <w:tblPrEx>
          <w:tblCellMar>
            <w:top w:w="0" w:type="dxa"/>
            <w:bottom w:w="0" w:type="dxa"/>
          </w:tblCellMar>
        </w:tblPrEx>
        <w:trPr>
          <w:jc w:val="center"/>
        </w:trPr>
        <w:tc>
          <w:tcPr>
            <w:tcW w:w="2275" w:type="dxa"/>
          </w:tcPr>
          <w:p w:rsidR="00CC41DF" w:rsidRDefault="00CC41DF">
            <w:pPr>
              <w:rPr>
                <w:sz w:val="20"/>
              </w:rPr>
            </w:pPr>
            <w:r>
              <w:rPr>
                <w:sz w:val="20"/>
              </w:rPr>
              <w:t>CF:  Retirement System Services and Benefits</w:t>
            </w:r>
          </w:p>
        </w:tc>
        <w:tc>
          <w:tcPr>
            <w:tcW w:w="3593" w:type="dxa"/>
            <w:tcBorders>
              <w:bottom w:val="single" w:sz="4" w:space="0" w:color="auto"/>
            </w:tcBorders>
          </w:tcPr>
          <w:p w:rsidR="00CC41DF" w:rsidRDefault="00CC41DF">
            <w:pPr>
              <w:rPr>
                <w:sz w:val="20"/>
              </w:rPr>
            </w:pPr>
            <w:r>
              <w:rPr>
                <w:sz w:val="20"/>
              </w:rPr>
              <w:t>553_70</w:t>
            </w:r>
          </w:p>
        </w:tc>
        <w:tc>
          <w:tcPr>
            <w:tcW w:w="1629" w:type="dxa"/>
          </w:tcPr>
          <w:p w:rsidR="00CC41DF" w:rsidRDefault="00CC41DF">
            <w:pPr>
              <w:rPr>
                <w:sz w:val="20"/>
              </w:rPr>
            </w:pPr>
          </w:p>
        </w:tc>
        <w:tc>
          <w:tcPr>
            <w:tcW w:w="1611" w:type="dxa"/>
          </w:tcPr>
          <w:p w:rsidR="00CC41DF" w:rsidRDefault="00CC41DF">
            <w:pPr>
              <w:rPr>
                <w:sz w:val="20"/>
              </w:rPr>
            </w:pPr>
          </w:p>
        </w:tc>
        <w:tc>
          <w:tcPr>
            <w:tcW w:w="5400" w:type="dxa"/>
          </w:tcPr>
          <w:p w:rsidR="00CC41DF" w:rsidRDefault="00CC41DF">
            <w:pPr>
              <w:pStyle w:val="Header"/>
              <w:tabs>
                <w:tab w:val="clear" w:pos="4320"/>
                <w:tab w:val="clear" w:pos="8640"/>
              </w:tabs>
              <w:rPr>
                <w:sz w:val="20"/>
              </w:rPr>
            </w:pPr>
          </w:p>
        </w:tc>
      </w:tr>
      <w:tr w:rsidR="00CC41DF">
        <w:tblPrEx>
          <w:tblCellMar>
            <w:top w:w="0" w:type="dxa"/>
            <w:bottom w:w="0" w:type="dxa"/>
          </w:tblCellMar>
        </w:tblPrEx>
        <w:trPr>
          <w:jc w:val="center"/>
        </w:trPr>
        <w:tc>
          <w:tcPr>
            <w:tcW w:w="2275" w:type="dxa"/>
            <w:tcBorders>
              <w:right w:val="single" w:sz="4" w:space="0" w:color="auto"/>
            </w:tcBorders>
          </w:tcPr>
          <w:p w:rsidR="00CC41DF" w:rsidRDefault="00CC41DF">
            <w:pPr>
              <w:rPr>
                <w:sz w:val="20"/>
              </w:rPr>
            </w:pPr>
            <w:r>
              <w:rPr>
                <w:sz w:val="20"/>
              </w:rPr>
              <w:t xml:space="preserve">Desired Outcome(s):  </w:t>
            </w:r>
          </w:p>
        </w:tc>
        <w:tc>
          <w:tcPr>
            <w:tcW w:w="3593" w:type="dxa"/>
            <w:tcBorders>
              <w:top w:val="single" w:sz="4" w:space="0" w:color="auto"/>
              <w:left w:val="single" w:sz="4" w:space="0" w:color="auto"/>
              <w:bottom w:val="single" w:sz="4" w:space="0" w:color="auto"/>
              <w:right w:val="single" w:sz="4" w:space="0" w:color="auto"/>
            </w:tcBorders>
          </w:tcPr>
          <w:p w:rsidR="00CC41DF" w:rsidRDefault="00CC41DF">
            <w:pPr>
              <w:rPr>
                <w:sz w:val="20"/>
              </w:rPr>
            </w:pPr>
          </w:p>
        </w:tc>
        <w:tc>
          <w:tcPr>
            <w:tcW w:w="1629" w:type="dxa"/>
            <w:tcBorders>
              <w:left w:val="single" w:sz="4" w:space="0" w:color="auto"/>
            </w:tcBorders>
          </w:tcPr>
          <w:p w:rsidR="00CC41DF" w:rsidRDefault="00CC41DF">
            <w:pPr>
              <w:rPr>
                <w:sz w:val="20"/>
              </w:rPr>
            </w:pPr>
          </w:p>
        </w:tc>
        <w:tc>
          <w:tcPr>
            <w:tcW w:w="1611" w:type="dxa"/>
          </w:tcPr>
          <w:p w:rsidR="00CC41DF" w:rsidRDefault="00CC41DF">
            <w:pPr>
              <w:rPr>
                <w:sz w:val="20"/>
              </w:rPr>
            </w:pPr>
          </w:p>
        </w:tc>
        <w:tc>
          <w:tcPr>
            <w:tcW w:w="5400" w:type="dxa"/>
          </w:tcPr>
          <w:p w:rsidR="00CC41DF" w:rsidRDefault="00CC41DF">
            <w:pPr>
              <w:pStyle w:val="Header"/>
              <w:tabs>
                <w:tab w:val="clear" w:pos="4320"/>
                <w:tab w:val="clear" w:pos="8640"/>
              </w:tabs>
              <w:rPr>
                <w:sz w:val="20"/>
              </w:rPr>
            </w:pPr>
          </w:p>
        </w:tc>
      </w:tr>
      <w:tr w:rsidR="00CC41DF">
        <w:tblPrEx>
          <w:tblCellMar>
            <w:top w:w="0" w:type="dxa"/>
            <w:bottom w:w="0" w:type="dxa"/>
          </w:tblCellMar>
        </w:tblPrEx>
        <w:trPr>
          <w:jc w:val="center"/>
        </w:trPr>
        <w:tc>
          <w:tcPr>
            <w:tcW w:w="2275" w:type="dxa"/>
          </w:tcPr>
          <w:p w:rsidR="00CC41DF" w:rsidRDefault="00CC41DF">
            <w:pPr>
              <w:rPr>
                <w:sz w:val="20"/>
              </w:rPr>
            </w:pPr>
            <w:r>
              <w:rPr>
                <w:noProof/>
                <w:sz w:val="20"/>
              </w:rPr>
              <w:pict>
                <v:shape id="_x0000_s1034" type="#_x0000_t202" style="position:absolute;margin-left:-36.6pt;margin-top:55.55pt;width:30pt;height:27pt;z-index:251659264;mso-position-horizontal-relative:text;mso-position-vertical-relative:text" stroked="f">
                  <v:textbox style="layout-flow:vertical;mso-next-textbox:#_x0000_s1034">
                    <w:txbxContent>
                      <w:p w:rsidR="00CC41DF" w:rsidRDefault="00CC41DF">
                        <w:r>
                          <w:t>16</w:t>
                        </w:r>
                      </w:p>
                    </w:txbxContent>
                  </v:textbox>
                </v:shape>
              </w:pict>
            </w:r>
            <w:r>
              <w:rPr>
                <w:sz w:val="20"/>
              </w:rPr>
              <w:t>1.  To ensure employer compliance with laws, regulations and rules.</w:t>
            </w:r>
          </w:p>
        </w:tc>
        <w:tc>
          <w:tcPr>
            <w:tcW w:w="3593" w:type="dxa"/>
            <w:tcBorders>
              <w:top w:val="single" w:sz="4" w:space="0" w:color="auto"/>
            </w:tcBorders>
          </w:tcPr>
          <w:p w:rsidR="00CC41DF" w:rsidRDefault="00CC41DF">
            <w:pPr>
              <w:rPr>
                <w:sz w:val="20"/>
              </w:rPr>
            </w:pPr>
            <w:r>
              <w:rPr>
                <w:sz w:val="20"/>
              </w:rPr>
              <w:t>Percent of employers found to be in full compliance during compliance reviews.</w:t>
            </w:r>
          </w:p>
          <w:p w:rsidR="00CC41DF" w:rsidRDefault="00CC41DF">
            <w:pPr>
              <w:numPr>
                <w:ilvl w:val="0"/>
                <w:numId w:val="35"/>
              </w:numPr>
              <w:rPr>
                <w:sz w:val="20"/>
              </w:rPr>
            </w:pPr>
            <w:r>
              <w:rPr>
                <w:sz w:val="20"/>
              </w:rPr>
              <w:t>553_70_001</w:t>
            </w:r>
          </w:p>
        </w:tc>
        <w:tc>
          <w:tcPr>
            <w:tcW w:w="1629" w:type="dxa"/>
          </w:tcPr>
          <w:p w:rsidR="00CC41DF" w:rsidRDefault="00CC41DF">
            <w:pPr>
              <w:rPr>
                <w:sz w:val="20"/>
              </w:rPr>
            </w:pPr>
            <w:r>
              <w:rPr>
                <w:sz w:val="20"/>
              </w:rPr>
              <w:t>Estimate about 10 %.  Will be changed in FY 2005.</w:t>
            </w:r>
          </w:p>
        </w:tc>
        <w:tc>
          <w:tcPr>
            <w:tcW w:w="1611" w:type="dxa"/>
          </w:tcPr>
          <w:p w:rsidR="00CC41DF" w:rsidRDefault="00CC41DF">
            <w:pPr>
              <w:tabs>
                <w:tab w:val="left" w:pos="936"/>
              </w:tabs>
              <w:rPr>
                <w:sz w:val="20"/>
              </w:rPr>
            </w:pPr>
            <w:r>
              <w:rPr>
                <w:sz w:val="20"/>
              </w:rPr>
              <w:t>Manual tally</w:t>
            </w:r>
          </w:p>
        </w:tc>
        <w:tc>
          <w:tcPr>
            <w:tcW w:w="5400" w:type="dxa"/>
          </w:tcPr>
          <w:p w:rsidR="00CC41DF" w:rsidRDefault="00CC41DF">
            <w:pPr>
              <w:rPr>
                <w:sz w:val="20"/>
              </w:rPr>
            </w:pPr>
            <w:r>
              <w:rPr>
                <w:sz w:val="20"/>
              </w:rPr>
              <w:t>1.  Baseline for current level of compliance.</w:t>
            </w:r>
          </w:p>
          <w:p w:rsidR="00CC41DF" w:rsidRDefault="00CC41DF">
            <w:pPr>
              <w:rPr>
                <w:sz w:val="20"/>
              </w:rPr>
            </w:pPr>
            <w:r>
              <w:rPr>
                <w:sz w:val="20"/>
              </w:rPr>
              <w:t>2. Low percentage in full compliance  at review time reduced significance of results.</w:t>
            </w:r>
          </w:p>
          <w:p w:rsidR="00CC41DF" w:rsidRDefault="00CC41DF">
            <w:pPr>
              <w:rPr>
                <w:sz w:val="20"/>
              </w:rPr>
            </w:pPr>
            <w:r>
              <w:rPr>
                <w:sz w:val="20"/>
              </w:rPr>
              <w:t>3.  Measure has been changed for FY 2005</w:t>
            </w:r>
          </w:p>
        </w:tc>
      </w:tr>
      <w:tr w:rsidR="00CC41DF">
        <w:tblPrEx>
          <w:tblCellMar>
            <w:top w:w="0" w:type="dxa"/>
            <w:bottom w:w="0" w:type="dxa"/>
          </w:tblCellMar>
        </w:tblPrEx>
        <w:trPr>
          <w:jc w:val="center"/>
        </w:trPr>
        <w:tc>
          <w:tcPr>
            <w:tcW w:w="2275" w:type="dxa"/>
          </w:tcPr>
          <w:p w:rsidR="00CC41DF" w:rsidRDefault="00CC41DF">
            <w:pPr>
              <w:rPr>
                <w:sz w:val="20"/>
              </w:rPr>
            </w:pPr>
            <w:r>
              <w:rPr>
                <w:sz w:val="20"/>
              </w:rPr>
              <w:t>2.  To provide benefits and services to members that exceed their expectations and that strongly contribute to the economic stability of the state.</w:t>
            </w:r>
          </w:p>
        </w:tc>
        <w:tc>
          <w:tcPr>
            <w:tcW w:w="3593" w:type="dxa"/>
          </w:tcPr>
          <w:p w:rsidR="00CC41DF" w:rsidRDefault="00CC41DF">
            <w:pPr>
              <w:numPr>
                <w:ilvl w:val="0"/>
                <w:numId w:val="21"/>
              </w:numPr>
              <w:rPr>
                <w:sz w:val="20"/>
              </w:rPr>
            </w:pPr>
            <w:r>
              <w:rPr>
                <w:sz w:val="20"/>
              </w:rPr>
              <w:t>Percent of services rating in the highest quartile of peer retirement systems involved in the Cost Effectiveness Measurement benchmarking process.</w:t>
            </w:r>
          </w:p>
          <w:p w:rsidR="00CC41DF" w:rsidRDefault="00CC41DF">
            <w:pPr>
              <w:numPr>
                <w:ilvl w:val="0"/>
                <w:numId w:val="27"/>
              </w:numPr>
              <w:rPr>
                <w:sz w:val="20"/>
              </w:rPr>
            </w:pPr>
            <w:r>
              <w:rPr>
                <w:sz w:val="20"/>
              </w:rPr>
              <w:t>553_70_002</w:t>
            </w:r>
          </w:p>
          <w:p w:rsidR="00CC41DF" w:rsidRDefault="00CC41DF">
            <w:pPr>
              <w:numPr>
                <w:ilvl w:val="0"/>
                <w:numId w:val="21"/>
              </w:numPr>
              <w:rPr>
                <w:sz w:val="20"/>
              </w:rPr>
            </w:pPr>
            <w:r>
              <w:rPr>
                <w:sz w:val="20"/>
              </w:rPr>
              <w:t>Ratio of Contributions to Member Payments.</w:t>
            </w:r>
          </w:p>
          <w:p w:rsidR="00CC41DF" w:rsidRDefault="00CC41DF">
            <w:pPr>
              <w:numPr>
                <w:ilvl w:val="0"/>
                <w:numId w:val="28"/>
              </w:numPr>
              <w:rPr>
                <w:sz w:val="20"/>
              </w:rPr>
            </w:pPr>
            <w:r>
              <w:rPr>
                <w:sz w:val="20"/>
              </w:rPr>
              <w:t>553_70_003</w:t>
            </w:r>
          </w:p>
        </w:tc>
        <w:tc>
          <w:tcPr>
            <w:tcW w:w="1629" w:type="dxa"/>
          </w:tcPr>
          <w:p w:rsidR="00CC41DF" w:rsidRDefault="00CC41DF">
            <w:pPr>
              <w:rPr>
                <w:sz w:val="20"/>
              </w:rPr>
            </w:pPr>
            <w:r>
              <w:rPr>
                <w:sz w:val="20"/>
              </w:rPr>
              <w:t>50 Percent</w:t>
            </w:r>
          </w:p>
          <w:p w:rsidR="00CC41DF" w:rsidRDefault="00CC41DF">
            <w:pPr>
              <w:rPr>
                <w:sz w:val="20"/>
              </w:rPr>
            </w:pPr>
            <w:r>
              <w:rPr>
                <w:sz w:val="20"/>
              </w:rPr>
              <w:t>(5/10)</w:t>
            </w:r>
          </w:p>
          <w:p w:rsidR="00CC41DF" w:rsidRDefault="00CC41DF">
            <w:pPr>
              <w:rPr>
                <w:sz w:val="20"/>
              </w:rPr>
            </w:pPr>
          </w:p>
          <w:p w:rsidR="00CC41DF" w:rsidRDefault="00CC41DF">
            <w:pPr>
              <w:rPr>
                <w:sz w:val="20"/>
              </w:rPr>
            </w:pPr>
          </w:p>
          <w:p w:rsidR="00CC41DF" w:rsidRDefault="00CC41DF">
            <w:pPr>
              <w:rPr>
                <w:sz w:val="20"/>
              </w:rPr>
            </w:pPr>
          </w:p>
          <w:p w:rsidR="00CC41DF" w:rsidRDefault="00CC41DF">
            <w:pPr>
              <w:rPr>
                <w:sz w:val="20"/>
              </w:rPr>
            </w:pPr>
          </w:p>
          <w:p w:rsidR="00CC41DF" w:rsidRDefault="00CC41DF">
            <w:pPr>
              <w:rPr>
                <w:sz w:val="20"/>
              </w:rPr>
            </w:pPr>
            <w:r>
              <w:rPr>
                <w:sz w:val="20"/>
              </w:rPr>
              <w:t>1.63</w:t>
            </w:r>
          </w:p>
        </w:tc>
        <w:tc>
          <w:tcPr>
            <w:tcW w:w="1611" w:type="dxa"/>
          </w:tcPr>
          <w:p w:rsidR="00CC41DF" w:rsidRDefault="00CC41DF">
            <w:pPr>
              <w:tabs>
                <w:tab w:val="left" w:pos="936"/>
              </w:tabs>
              <w:rPr>
                <w:sz w:val="20"/>
              </w:rPr>
            </w:pPr>
            <w:r>
              <w:rPr>
                <w:sz w:val="20"/>
              </w:rPr>
              <w:t>CEM Benchmarking Report</w:t>
            </w:r>
          </w:p>
          <w:p w:rsidR="00CC41DF" w:rsidRDefault="00CC41DF">
            <w:pPr>
              <w:tabs>
                <w:tab w:val="left" w:pos="936"/>
              </w:tabs>
              <w:rPr>
                <w:sz w:val="20"/>
              </w:rPr>
            </w:pPr>
          </w:p>
          <w:p w:rsidR="00CC41DF" w:rsidRDefault="00CC41DF">
            <w:pPr>
              <w:tabs>
                <w:tab w:val="left" w:pos="936"/>
              </w:tabs>
              <w:rPr>
                <w:sz w:val="20"/>
              </w:rPr>
            </w:pPr>
          </w:p>
          <w:p w:rsidR="00CC41DF" w:rsidRDefault="00CC41DF">
            <w:pPr>
              <w:tabs>
                <w:tab w:val="left" w:pos="936"/>
              </w:tabs>
              <w:rPr>
                <w:sz w:val="20"/>
              </w:rPr>
            </w:pPr>
          </w:p>
          <w:p w:rsidR="00CC41DF" w:rsidRDefault="00CC41DF">
            <w:pPr>
              <w:tabs>
                <w:tab w:val="left" w:pos="936"/>
              </w:tabs>
              <w:rPr>
                <w:sz w:val="20"/>
              </w:rPr>
            </w:pPr>
            <w:r>
              <w:rPr>
                <w:sz w:val="20"/>
              </w:rPr>
              <w:t>IPERS System Data</w:t>
            </w:r>
          </w:p>
        </w:tc>
        <w:tc>
          <w:tcPr>
            <w:tcW w:w="5400" w:type="dxa"/>
          </w:tcPr>
          <w:p w:rsidR="00CC41DF" w:rsidRDefault="00CC41DF">
            <w:pPr>
              <w:rPr>
                <w:sz w:val="20"/>
              </w:rPr>
            </w:pPr>
            <w:r>
              <w:rPr>
                <w:sz w:val="20"/>
              </w:rPr>
              <w:t>1.  To determine efficiency and effectiveness of services compared to peer retirement systems.</w:t>
            </w:r>
          </w:p>
          <w:p w:rsidR="00CC41DF" w:rsidRDefault="00CC41DF">
            <w:pPr>
              <w:rPr>
                <w:sz w:val="20"/>
              </w:rPr>
            </w:pPr>
            <w:r>
              <w:rPr>
                <w:sz w:val="20"/>
              </w:rPr>
              <w:t>2.  This performance is excellent considering the fact that IPERS is the second lowest cost system.</w:t>
            </w:r>
          </w:p>
          <w:p w:rsidR="00CC41DF" w:rsidRDefault="00CC41DF">
            <w:pPr>
              <w:rPr>
                <w:sz w:val="20"/>
              </w:rPr>
            </w:pPr>
            <w:r>
              <w:rPr>
                <w:sz w:val="20"/>
              </w:rPr>
              <w:t>3.   Retained for FY 05 with target set at 6 out of 10.</w:t>
            </w:r>
          </w:p>
          <w:p w:rsidR="00CC41DF" w:rsidRDefault="00CC41DF">
            <w:pPr>
              <w:rPr>
                <w:sz w:val="20"/>
              </w:rPr>
            </w:pPr>
          </w:p>
          <w:p w:rsidR="00CC41DF" w:rsidRDefault="00CC41DF">
            <w:pPr>
              <w:rPr>
                <w:sz w:val="20"/>
              </w:rPr>
            </w:pPr>
            <w:r>
              <w:rPr>
                <w:sz w:val="20"/>
              </w:rPr>
              <w:t>1.  Value added by IPERS benefit payments.</w:t>
            </w:r>
          </w:p>
          <w:p w:rsidR="00CC41DF" w:rsidRDefault="00CC41DF">
            <w:pPr>
              <w:rPr>
                <w:sz w:val="20"/>
              </w:rPr>
            </w:pPr>
            <w:r>
              <w:rPr>
                <w:sz w:val="20"/>
              </w:rPr>
              <w:t>2.   Significance is decreased by increasing UAL.</w:t>
            </w:r>
          </w:p>
          <w:p w:rsidR="00CC41DF" w:rsidRDefault="00CC41DF">
            <w:pPr>
              <w:rPr>
                <w:sz w:val="20"/>
              </w:rPr>
            </w:pPr>
            <w:r>
              <w:rPr>
                <w:sz w:val="20"/>
              </w:rPr>
              <w:t>3.  Measure will not be used in FY 2005 Performance Plan.  Will be replaced with a cost benchmark,</w:t>
            </w:r>
          </w:p>
        </w:tc>
      </w:tr>
      <w:tr w:rsidR="00CC41DF">
        <w:tblPrEx>
          <w:tblCellMar>
            <w:top w:w="0" w:type="dxa"/>
            <w:bottom w:w="0" w:type="dxa"/>
          </w:tblCellMar>
        </w:tblPrEx>
        <w:trPr>
          <w:jc w:val="center"/>
        </w:trPr>
        <w:tc>
          <w:tcPr>
            <w:tcW w:w="2275" w:type="dxa"/>
          </w:tcPr>
          <w:p w:rsidR="00CC41DF" w:rsidRDefault="00CC41DF">
            <w:pPr>
              <w:rPr>
                <w:sz w:val="20"/>
              </w:rPr>
            </w:pPr>
            <w:r>
              <w:rPr>
                <w:sz w:val="20"/>
              </w:rPr>
              <w:t xml:space="preserve">3.  To fulfill total fund portfolio investment return objectives that represent challenging, reasoned and cost effective goals, that have been approved by the IPERS Investment Board and that meet statutory standards.  </w:t>
            </w:r>
          </w:p>
        </w:tc>
        <w:tc>
          <w:tcPr>
            <w:tcW w:w="3593" w:type="dxa"/>
          </w:tcPr>
          <w:p w:rsidR="00CC41DF" w:rsidRDefault="00CC41DF">
            <w:pPr>
              <w:numPr>
                <w:ilvl w:val="0"/>
                <w:numId w:val="23"/>
              </w:numPr>
              <w:rPr>
                <w:sz w:val="20"/>
              </w:rPr>
            </w:pPr>
            <w:r>
              <w:rPr>
                <w:sz w:val="20"/>
              </w:rPr>
              <w:t>Percent of Board-approved long-term total fund investment return objectives that have been fulfilled over rolling ten-year periods.</w:t>
            </w:r>
          </w:p>
          <w:p w:rsidR="00CC41DF" w:rsidRDefault="00CC41DF">
            <w:pPr>
              <w:numPr>
                <w:ilvl w:val="0"/>
                <w:numId w:val="29"/>
              </w:numPr>
              <w:rPr>
                <w:sz w:val="20"/>
              </w:rPr>
            </w:pPr>
            <w:r>
              <w:rPr>
                <w:sz w:val="20"/>
              </w:rPr>
              <w:t xml:space="preserve">  553_70_004</w:t>
            </w:r>
          </w:p>
          <w:p w:rsidR="00CC41DF" w:rsidRDefault="00CC41DF">
            <w:pPr>
              <w:numPr>
                <w:ilvl w:val="0"/>
                <w:numId w:val="23"/>
              </w:numPr>
              <w:rPr>
                <w:sz w:val="20"/>
              </w:rPr>
            </w:pPr>
            <w:r>
              <w:rPr>
                <w:sz w:val="20"/>
              </w:rPr>
              <w:t>Percent of total fund market value spent on investments administration.</w:t>
            </w:r>
          </w:p>
          <w:p w:rsidR="00CC41DF" w:rsidRDefault="00CC41DF">
            <w:pPr>
              <w:numPr>
                <w:ilvl w:val="0"/>
                <w:numId w:val="30"/>
              </w:numPr>
              <w:rPr>
                <w:sz w:val="20"/>
              </w:rPr>
            </w:pPr>
            <w:r>
              <w:rPr>
                <w:sz w:val="20"/>
              </w:rPr>
              <w:t>553_70_005</w:t>
            </w:r>
          </w:p>
          <w:p w:rsidR="00CC41DF" w:rsidRDefault="00CC41DF">
            <w:pPr>
              <w:rPr>
                <w:sz w:val="20"/>
              </w:rPr>
            </w:pPr>
          </w:p>
          <w:p w:rsidR="00CC41DF" w:rsidRDefault="00CC41DF">
            <w:pPr>
              <w:rPr>
                <w:sz w:val="20"/>
              </w:rPr>
            </w:pPr>
          </w:p>
        </w:tc>
        <w:tc>
          <w:tcPr>
            <w:tcW w:w="1629" w:type="dxa"/>
          </w:tcPr>
          <w:p w:rsidR="00CC41DF" w:rsidRDefault="00CC41DF">
            <w:pPr>
              <w:rPr>
                <w:sz w:val="20"/>
              </w:rPr>
            </w:pPr>
            <w:r>
              <w:rPr>
                <w:sz w:val="20"/>
              </w:rPr>
              <w:t>100 Percent</w:t>
            </w:r>
          </w:p>
          <w:p w:rsidR="00CC41DF" w:rsidRDefault="00CC41DF">
            <w:pPr>
              <w:rPr>
                <w:sz w:val="20"/>
              </w:rPr>
            </w:pPr>
          </w:p>
          <w:p w:rsidR="00CC41DF" w:rsidRDefault="00CC41DF">
            <w:pPr>
              <w:rPr>
                <w:sz w:val="20"/>
              </w:rPr>
            </w:pPr>
          </w:p>
          <w:p w:rsidR="00CC41DF" w:rsidRDefault="00CC41DF">
            <w:pPr>
              <w:rPr>
                <w:sz w:val="20"/>
              </w:rPr>
            </w:pPr>
          </w:p>
          <w:p w:rsidR="00CC41DF" w:rsidRDefault="00CC41DF">
            <w:pPr>
              <w:rPr>
                <w:sz w:val="20"/>
              </w:rPr>
            </w:pPr>
          </w:p>
          <w:p w:rsidR="00CC41DF" w:rsidRDefault="00CC41DF">
            <w:pPr>
              <w:rPr>
                <w:sz w:val="20"/>
              </w:rPr>
            </w:pPr>
          </w:p>
          <w:p w:rsidR="00CC41DF" w:rsidRDefault="00CC41DF">
            <w:pPr>
              <w:rPr>
                <w:rFonts w:cs="Arial"/>
                <w:color w:val="000000"/>
                <w:sz w:val="20"/>
              </w:rPr>
            </w:pPr>
          </w:p>
          <w:p w:rsidR="00CC41DF" w:rsidRDefault="00CC41DF">
            <w:pPr>
              <w:rPr>
                <w:sz w:val="20"/>
              </w:rPr>
            </w:pPr>
            <w:r>
              <w:rPr>
                <w:rFonts w:cs="Arial"/>
                <w:color w:val="000000"/>
                <w:sz w:val="20"/>
              </w:rPr>
              <w:t>0.19 percent</w:t>
            </w:r>
          </w:p>
        </w:tc>
        <w:tc>
          <w:tcPr>
            <w:tcW w:w="1611" w:type="dxa"/>
          </w:tcPr>
          <w:p w:rsidR="00CC41DF" w:rsidRDefault="00CC41DF">
            <w:pPr>
              <w:tabs>
                <w:tab w:val="left" w:pos="936"/>
              </w:tabs>
              <w:rPr>
                <w:sz w:val="20"/>
              </w:rPr>
            </w:pPr>
            <w:r>
              <w:rPr>
                <w:rFonts w:cs="Arial"/>
                <w:color w:val="000000"/>
                <w:sz w:val="20"/>
                <w:szCs w:val="20"/>
              </w:rPr>
              <w:t>Wilshire Associates, Inc. (IPERS investment consultant)</w:t>
            </w:r>
          </w:p>
        </w:tc>
        <w:tc>
          <w:tcPr>
            <w:tcW w:w="5400" w:type="dxa"/>
          </w:tcPr>
          <w:p w:rsidR="00CC41DF" w:rsidRDefault="00CC41DF">
            <w:pPr>
              <w:autoSpaceDE w:val="0"/>
              <w:autoSpaceDN w:val="0"/>
              <w:adjustRightInd w:val="0"/>
              <w:spacing w:line="240" w:lineRule="atLeast"/>
              <w:rPr>
                <w:rFonts w:cs="Arial"/>
                <w:color w:val="000000"/>
                <w:sz w:val="20"/>
                <w:szCs w:val="22"/>
              </w:rPr>
            </w:pPr>
            <w:r>
              <w:rPr>
                <w:rFonts w:cs="Arial"/>
                <w:color w:val="000000"/>
                <w:sz w:val="20"/>
                <w:szCs w:val="22"/>
              </w:rPr>
              <w:t xml:space="preserve">1. To determine if the IPERS Investment Board's decisions and IPERS staff's implementation of those decisions are meeting IPERS' official investment objectives.  </w:t>
            </w:r>
          </w:p>
          <w:p w:rsidR="00CC41DF" w:rsidRDefault="00CC41DF">
            <w:pPr>
              <w:autoSpaceDE w:val="0"/>
              <w:autoSpaceDN w:val="0"/>
              <w:adjustRightInd w:val="0"/>
              <w:spacing w:line="240" w:lineRule="atLeast"/>
              <w:rPr>
                <w:rFonts w:cs="Arial"/>
                <w:color w:val="000000"/>
                <w:sz w:val="20"/>
                <w:szCs w:val="22"/>
              </w:rPr>
            </w:pPr>
            <w:r>
              <w:rPr>
                <w:rFonts w:cs="Arial"/>
                <w:color w:val="000000"/>
                <w:sz w:val="20"/>
                <w:szCs w:val="22"/>
              </w:rPr>
              <w:t xml:space="preserve">2.  Official objectives are being met.  </w:t>
            </w:r>
          </w:p>
          <w:p w:rsidR="00CC41DF" w:rsidRDefault="00CC41DF">
            <w:pPr>
              <w:autoSpaceDE w:val="0"/>
              <w:autoSpaceDN w:val="0"/>
              <w:adjustRightInd w:val="0"/>
              <w:spacing w:line="240" w:lineRule="atLeast"/>
              <w:rPr>
                <w:rFonts w:cs="Arial"/>
                <w:color w:val="000000"/>
                <w:sz w:val="20"/>
                <w:szCs w:val="22"/>
              </w:rPr>
            </w:pPr>
            <w:r>
              <w:rPr>
                <w:rFonts w:cs="Arial"/>
                <w:color w:val="000000"/>
                <w:sz w:val="20"/>
                <w:szCs w:val="22"/>
              </w:rPr>
              <w:t xml:space="preserve">3.  Most important measure of the effectiveness of the IPERS investment program. </w:t>
            </w:r>
          </w:p>
          <w:p w:rsidR="00CC41DF" w:rsidRDefault="00CC41DF">
            <w:pPr>
              <w:autoSpaceDE w:val="0"/>
              <w:autoSpaceDN w:val="0"/>
              <w:adjustRightInd w:val="0"/>
              <w:spacing w:line="240" w:lineRule="atLeast"/>
              <w:rPr>
                <w:rFonts w:cs="Arial"/>
                <w:color w:val="000000"/>
                <w:sz w:val="20"/>
                <w:szCs w:val="22"/>
              </w:rPr>
            </w:pPr>
            <w:r>
              <w:rPr>
                <w:rFonts w:cs="Arial"/>
                <w:color w:val="000000"/>
                <w:sz w:val="20"/>
                <w:szCs w:val="22"/>
              </w:rPr>
              <w:t xml:space="preserve">1. To determine cost-effectiveness of IPERS' investment objectives and implementation of same.  </w:t>
            </w:r>
          </w:p>
          <w:p w:rsidR="00CC41DF" w:rsidRDefault="00CC41DF">
            <w:pPr>
              <w:rPr>
                <w:rFonts w:cs="Arial"/>
                <w:color w:val="000000"/>
                <w:sz w:val="20"/>
                <w:szCs w:val="22"/>
              </w:rPr>
            </w:pPr>
            <w:r>
              <w:rPr>
                <w:rFonts w:cs="Arial"/>
                <w:color w:val="000000"/>
                <w:sz w:val="20"/>
                <w:szCs w:val="22"/>
              </w:rPr>
              <w:t xml:space="preserve">2. IPERS is a low-cost producer of investment returns, per both absolute results and relative to competitive products in the private sector and peer public and private pension funds per independent surveys. </w:t>
            </w:r>
          </w:p>
          <w:p w:rsidR="00CC41DF" w:rsidRDefault="00CC41DF">
            <w:pPr>
              <w:rPr>
                <w:sz w:val="20"/>
              </w:rPr>
            </w:pPr>
            <w:r>
              <w:rPr>
                <w:rFonts w:cs="Arial"/>
                <w:color w:val="000000"/>
                <w:sz w:val="20"/>
                <w:szCs w:val="22"/>
              </w:rPr>
              <w:t xml:space="preserve">3. Useful in determining IPERS' costs compared to peers and competitive private sector products.                   </w:t>
            </w:r>
          </w:p>
        </w:tc>
      </w:tr>
      <w:tr w:rsidR="00CC41DF">
        <w:tblPrEx>
          <w:tblCellMar>
            <w:top w:w="0" w:type="dxa"/>
            <w:bottom w:w="0" w:type="dxa"/>
          </w:tblCellMar>
        </w:tblPrEx>
        <w:trPr>
          <w:jc w:val="center"/>
        </w:trPr>
        <w:tc>
          <w:tcPr>
            <w:tcW w:w="2275" w:type="dxa"/>
          </w:tcPr>
          <w:p w:rsidR="00CC41DF" w:rsidRDefault="00CC41DF">
            <w:pPr>
              <w:rPr>
                <w:sz w:val="20"/>
              </w:rPr>
            </w:pPr>
            <w:r>
              <w:rPr>
                <w:sz w:val="20"/>
              </w:rPr>
              <w:t xml:space="preserve">4.  To maintain actuarial soundness of IPERS </w:t>
            </w:r>
            <w:r>
              <w:rPr>
                <w:sz w:val="20"/>
              </w:rPr>
              <w:lastRenderedPageBreak/>
              <w:t xml:space="preserve">fund. </w:t>
            </w:r>
          </w:p>
        </w:tc>
        <w:tc>
          <w:tcPr>
            <w:tcW w:w="3593" w:type="dxa"/>
          </w:tcPr>
          <w:p w:rsidR="00CC41DF" w:rsidRDefault="00CC41DF">
            <w:pPr>
              <w:rPr>
                <w:sz w:val="20"/>
              </w:rPr>
            </w:pPr>
            <w:r>
              <w:rPr>
                <w:sz w:val="20"/>
              </w:rPr>
              <w:lastRenderedPageBreak/>
              <w:t>% of actuarial findings requiring responses or corrective actions.</w:t>
            </w:r>
          </w:p>
          <w:p w:rsidR="00CC41DF" w:rsidRDefault="00CC41DF">
            <w:pPr>
              <w:numPr>
                <w:ilvl w:val="0"/>
                <w:numId w:val="30"/>
              </w:numPr>
              <w:rPr>
                <w:sz w:val="20"/>
              </w:rPr>
            </w:pPr>
            <w:r>
              <w:rPr>
                <w:sz w:val="20"/>
              </w:rPr>
              <w:lastRenderedPageBreak/>
              <w:t>553_70_006</w:t>
            </w:r>
          </w:p>
          <w:p w:rsidR="00CC41DF" w:rsidRDefault="00CC41DF">
            <w:pPr>
              <w:rPr>
                <w:sz w:val="20"/>
              </w:rPr>
            </w:pPr>
          </w:p>
          <w:p w:rsidR="00CC41DF" w:rsidRDefault="00CC41DF">
            <w:pPr>
              <w:rPr>
                <w:sz w:val="20"/>
              </w:rPr>
            </w:pPr>
            <w:r>
              <w:rPr>
                <w:sz w:val="20"/>
              </w:rPr>
              <w:t>% of  administration costs less than 40 basis points of total fund market value, as defined in IPERS’ administrative rules</w:t>
            </w:r>
          </w:p>
          <w:p w:rsidR="00CC41DF" w:rsidRDefault="00CC41DF">
            <w:pPr>
              <w:numPr>
                <w:ilvl w:val="0"/>
                <w:numId w:val="31"/>
              </w:numPr>
              <w:rPr>
                <w:sz w:val="20"/>
              </w:rPr>
            </w:pPr>
            <w:r>
              <w:rPr>
                <w:sz w:val="20"/>
              </w:rPr>
              <w:t>553_70_007</w:t>
            </w:r>
          </w:p>
        </w:tc>
        <w:tc>
          <w:tcPr>
            <w:tcW w:w="1629" w:type="dxa"/>
          </w:tcPr>
          <w:p w:rsidR="00CC41DF" w:rsidRDefault="00CC41DF">
            <w:pPr>
              <w:rPr>
                <w:sz w:val="20"/>
              </w:rPr>
            </w:pPr>
            <w:r>
              <w:rPr>
                <w:sz w:val="20"/>
              </w:rPr>
              <w:lastRenderedPageBreak/>
              <w:t>Not tracked.</w:t>
            </w:r>
          </w:p>
          <w:p w:rsidR="00CC41DF" w:rsidRDefault="00CC41DF">
            <w:pPr>
              <w:rPr>
                <w:sz w:val="20"/>
              </w:rPr>
            </w:pPr>
            <w:r>
              <w:rPr>
                <w:sz w:val="20"/>
              </w:rPr>
              <w:t xml:space="preserve">Delete for FY </w:t>
            </w:r>
            <w:r>
              <w:rPr>
                <w:sz w:val="20"/>
              </w:rPr>
              <w:lastRenderedPageBreak/>
              <w:t>2005.</w:t>
            </w:r>
          </w:p>
          <w:p w:rsidR="00CC41DF" w:rsidRDefault="00CC41DF">
            <w:pPr>
              <w:rPr>
                <w:sz w:val="20"/>
              </w:rPr>
            </w:pPr>
          </w:p>
          <w:p w:rsidR="00CC41DF" w:rsidRDefault="00CC41DF">
            <w:pPr>
              <w:rPr>
                <w:sz w:val="20"/>
              </w:rPr>
            </w:pPr>
            <w:r>
              <w:rPr>
                <w:sz w:val="20"/>
              </w:rPr>
              <w:t>100 Percent</w:t>
            </w:r>
          </w:p>
        </w:tc>
        <w:tc>
          <w:tcPr>
            <w:tcW w:w="1611" w:type="dxa"/>
          </w:tcPr>
          <w:p w:rsidR="00CC41DF" w:rsidRDefault="00CC41DF">
            <w:pPr>
              <w:tabs>
                <w:tab w:val="left" w:pos="936"/>
              </w:tabs>
              <w:rPr>
                <w:sz w:val="20"/>
              </w:rPr>
            </w:pPr>
          </w:p>
          <w:p w:rsidR="00CC41DF" w:rsidRDefault="00CC41DF">
            <w:pPr>
              <w:tabs>
                <w:tab w:val="left" w:pos="936"/>
              </w:tabs>
              <w:rPr>
                <w:sz w:val="20"/>
              </w:rPr>
            </w:pPr>
          </w:p>
          <w:p w:rsidR="00CC41DF" w:rsidRDefault="00CC41DF">
            <w:pPr>
              <w:tabs>
                <w:tab w:val="left" w:pos="936"/>
              </w:tabs>
              <w:rPr>
                <w:sz w:val="20"/>
              </w:rPr>
            </w:pPr>
          </w:p>
          <w:p w:rsidR="00CC41DF" w:rsidRDefault="00CC41DF">
            <w:pPr>
              <w:tabs>
                <w:tab w:val="left" w:pos="936"/>
              </w:tabs>
              <w:rPr>
                <w:sz w:val="20"/>
              </w:rPr>
            </w:pPr>
          </w:p>
          <w:p w:rsidR="00CC41DF" w:rsidRDefault="00CC41DF">
            <w:pPr>
              <w:tabs>
                <w:tab w:val="left" w:pos="936"/>
              </w:tabs>
              <w:rPr>
                <w:sz w:val="20"/>
              </w:rPr>
            </w:pPr>
            <w:r>
              <w:rPr>
                <w:rFonts w:cs="Arial"/>
                <w:color w:val="000000"/>
                <w:sz w:val="20"/>
                <w:szCs w:val="20"/>
              </w:rPr>
              <w:t>IPERS' financial statements &amp; accounting records</w:t>
            </w:r>
          </w:p>
        </w:tc>
        <w:tc>
          <w:tcPr>
            <w:tcW w:w="5400" w:type="dxa"/>
            <w:tcBorders>
              <w:bottom w:val="single" w:sz="4" w:space="0" w:color="auto"/>
            </w:tcBorders>
          </w:tcPr>
          <w:p w:rsidR="00CC41DF" w:rsidRDefault="00CC41DF">
            <w:pPr>
              <w:pStyle w:val="Header"/>
              <w:tabs>
                <w:tab w:val="clear" w:pos="4320"/>
                <w:tab w:val="clear" w:pos="8640"/>
              </w:tabs>
              <w:rPr>
                <w:sz w:val="20"/>
              </w:rPr>
            </w:pPr>
            <w:r>
              <w:rPr>
                <w:sz w:val="20"/>
              </w:rPr>
              <w:lastRenderedPageBreak/>
              <w:t>Measure lacked significance so data are not presented, and it has been deleted for FY 2005.</w:t>
            </w:r>
          </w:p>
          <w:p w:rsidR="00CC41DF" w:rsidRDefault="00CC41DF">
            <w:pPr>
              <w:pStyle w:val="Header"/>
              <w:tabs>
                <w:tab w:val="clear" w:pos="4320"/>
                <w:tab w:val="clear" w:pos="8640"/>
              </w:tabs>
              <w:rPr>
                <w:sz w:val="20"/>
              </w:rPr>
            </w:pPr>
          </w:p>
          <w:p w:rsidR="00CC41DF" w:rsidRDefault="00CC41DF">
            <w:pPr>
              <w:pStyle w:val="Header"/>
              <w:tabs>
                <w:tab w:val="clear" w:pos="4320"/>
                <w:tab w:val="clear" w:pos="8640"/>
              </w:tabs>
              <w:rPr>
                <w:rFonts w:cs="Arial"/>
                <w:color w:val="000000"/>
                <w:sz w:val="20"/>
                <w:szCs w:val="22"/>
              </w:rPr>
            </w:pPr>
            <w:r>
              <w:rPr>
                <w:rFonts w:cs="Arial"/>
                <w:color w:val="000000"/>
                <w:sz w:val="20"/>
                <w:szCs w:val="22"/>
              </w:rPr>
              <w:t xml:space="preserve">1. To ensure that IPERS' investment costs do not exceed statutory limit for same.  </w:t>
            </w:r>
          </w:p>
          <w:p w:rsidR="00CC41DF" w:rsidRDefault="00CC41DF">
            <w:pPr>
              <w:pStyle w:val="Header"/>
              <w:tabs>
                <w:tab w:val="clear" w:pos="4320"/>
                <w:tab w:val="clear" w:pos="8640"/>
              </w:tabs>
              <w:rPr>
                <w:rFonts w:cs="Arial"/>
                <w:color w:val="000000"/>
                <w:sz w:val="20"/>
                <w:szCs w:val="22"/>
              </w:rPr>
            </w:pPr>
            <w:r>
              <w:rPr>
                <w:rFonts w:cs="Arial"/>
                <w:color w:val="000000"/>
                <w:sz w:val="20"/>
                <w:szCs w:val="22"/>
              </w:rPr>
              <w:t xml:space="preserve">2. IPERS' investment costs are less than half of the statutory maximum.  </w:t>
            </w:r>
          </w:p>
          <w:p w:rsidR="00CC41DF" w:rsidRDefault="00CC41DF">
            <w:pPr>
              <w:pStyle w:val="Header"/>
              <w:tabs>
                <w:tab w:val="clear" w:pos="4320"/>
                <w:tab w:val="clear" w:pos="8640"/>
              </w:tabs>
              <w:rPr>
                <w:sz w:val="20"/>
              </w:rPr>
            </w:pPr>
            <w:r>
              <w:rPr>
                <w:rFonts w:cs="Arial"/>
                <w:color w:val="000000"/>
                <w:sz w:val="20"/>
                <w:szCs w:val="22"/>
              </w:rPr>
              <w:t xml:space="preserve">3.  Measure is useful in ensuring statutory compliance.  </w:t>
            </w:r>
          </w:p>
        </w:tc>
      </w:tr>
      <w:tr w:rsidR="00CC41DF">
        <w:tblPrEx>
          <w:tblCellMar>
            <w:top w:w="0" w:type="dxa"/>
            <w:bottom w:w="0" w:type="dxa"/>
          </w:tblCellMar>
        </w:tblPrEx>
        <w:trPr>
          <w:jc w:val="center"/>
        </w:trPr>
        <w:tc>
          <w:tcPr>
            <w:tcW w:w="2275" w:type="dxa"/>
            <w:shd w:val="pct20" w:color="auto" w:fill="auto"/>
          </w:tcPr>
          <w:p w:rsidR="00CC41DF" w:rsidRDefault="00CC41DF">
            <w:pPr>
              <w:jc w:val="center"/>
              <w:rPr>
                <w:b/>
                <w:bCs/>
              </w:rPr>
            </w:pPr>
            <w:r>
              <w:rPr>
                <w:b/>
                <w:bCs/>
              </w:rPr>
              <w:lastRenderedPageBreak/>
              <w:t xml:space="preserve">Services, Products, Activities, </w:t>
            </w:r>
          </w:p>
        </w:tc>
        <w:tc>
          <w:tcPr>
            <w:tcW w:w="3593" w:type="dxa"/>
            <w:shd w:val="pct20" w:color="auto" w:fill="auto"/>
          </w:tcPr>
          <w:p w:rsidR="00CC41DF" w:rsidRDefault="00CC41DF">
            <w:pPr>
              <w:pStyle w:val="Heading3"/>
              <w:rPr>
                <w:b/>
                <w:bCs/>
                <w:sz w:val="24"/>
              </w:rPr>
            </w:pPr>
            <w:r>
              <w:rPr>
                <w:b/>
                <w:bCs/>
                <w:sz w:val="24"/>
              </w:rPr>
              <w:t>Performance Measures</w:t>
            </w:r>
          </w:p>
        </w:tc>
        <w:tc>
          <w:tcPr>
            <w:tcW w:w="1629" w:type="dxa"/>
            <w:shd w:val="pct20" w:color="auto" w:fill="auto"/>
          </w:tcPr>
          <w:p w:rsidR="00CC41DF" w:rsidRDefault="00CC41DF">
            <w:pPr>
              <w:jc w:val="center"/>
              <w:rPr>
                <w:b/>
                <w:bCs/>
              </w:rPr>
            </w:pPr>
            <w:r>
              <w:rPr>
                <w:b/>
                <w:bCs/>
              </w:rPr>
              <w:t>Data</w:t>
            </w:r>
          </w:p>
          <w:p w:rsidR="00CC41DF" w:rsidRDefault="00CC41DF">
            <w:pPr>
              <w:jc w:val="center"/>
              <w:rPr>
                <w:b/>
                <w:bCs/>
              </w:rPr>
            </w:pPr>
            <w:r>
              <w:rPr>
                <w:b/>
                <w:bCs/>
              </w:rPr>
              <w:t>Reported</w:t>
            </w:r>
          </w:p>
          <w:p w:rsidR="00CC41DF" w:rsidRDefault="00CC41DF">
            <w:pPr>
              <w:jc w:val="center"/>
              <w:rPr>
                <w:b/>
                <w:bCs/>
              </w:rPr>
            </w:pPr>
            <w:r>
              <w:rPr>
                <w:b/>
                <w:bCs/>
              </w:rPr>
              <w:t>Results</w:t>
            </w:r>
          </w:p>
        </w:tc>
        <w:tc>
          <w:tcPr>
            <w:tcW w:w="1611" w:type="dxa"/>
            <w:shd w:val="pct20" w:color="auto" w:fill="auto"/>
          </w:tcPr>
          <w:p w:rsidR="00CC41DF" w:rsidRDefault="00CC41DF">
            <w:pPr>
              <w:jc w:val="center"/>
              <w:rPr>
                <w:b/>
                <w:bCs/>
              </w:rPr>
            </w:pPr>
            <w:r>
              <w:rPr>
                <w:b/>
                <w:bCs/>
              </w:rPr>
              <w:t>Data Source and</w:t>
            </w:r>
          </w:p>
          <w:p w:rsidR="00CC41DF" w:rsidRDefault="00CC41DF">
            <w:pPr>
              <w:jc w:val="center"/>
              <w:rPr>
                <w:b/>
                <w:bCs/>
              </w:rPr>
            </w:pPr>
            <w:r>
              <w:rPr>
                <w:b/>
                <w:bCs/>
              </w:rPr>
              <w:t>Resources</w:t>
            </w:r>
          </w:p>
        </w:tc>
        <w:tc>
          <w:tcPr>
            <w:tcW w:w="5400" w:type="dxa"/>
            <w:shd w:val="pct20" w:color="auto" w:fill="auto"/>
          </w:tcPr>
          <w:p w:rsidR="00CC41DF" w:rsidRDefault="00CC41DF">
            <w:pPr>
              <w:jc w:val="center"/>
              <w:rPr>
                <w:b/>
                <w:bCs/>
              </w:rPr>
            </w:pPr>
            <w:r>
              <w:rPr>
                <w:b/>
                <w:bCs/>
              </w:rPr>
              <w:t>1.  Purpose of Measure(s)</w:t>
            </w:r>
          </w:p>
          <w:p w:rsidR="00CC41DF" w:rsidRDefault="00CC41DF">
            <w:pPr>
              <w:jc w:val="center"/>
              <w:rPr>
                <w:b/>
                <w:bCs/>
              </w:rPr>
            </w:pPr>
            <w:r>
              <w:rPr>
                <w:b/>
                <w:bCs/>
              </w:rPr>
              <w:t>2.  Significance of Results</w:t>
            </w:r>
          </w:p>
          <w:p w:rsidR="00CC41DF" w:rsidRDefault="00CC41DF">
            <w:pPr>
              <w:jc w:val="center"/>
              <w:rPr>
                <w:b/>
                <w:bCs/>
              </w:rPr>
            </w:pPr>
            <w:r>
              <w:rPr>
                <w:b/>
                <w:bCs/>
              </w:rPr>
              <w:t>3.  Usefulness of Measure</w:t>
            </w:r>
          </w:p>
        </w:tc>
      </w:tr>
      <w:tr w:rsidR="00CC41DF">
        <w:tblPrEx>
          <w:tblCellMar>
            <w:top w:w="0" w:type="dxa"/>
            <w:bottom w:w="0" w:type="dxa"/>
          </w:tblCellMar>
        </w:tblPrEx>
        <w:trPr>
          <w:jc w:val="center"/>
        </w:trPr>
        <w:tc>
          <w:tcPr>
            <w:tcW w:w="2275" w:type="dxa"/>
          </w:tcPr>
          <w:p w:rsidR="00CC41DF" w:rsidRDefault="00CC41DF">
            <w:pPr>
              <w:tabs>
                <w:tab w:val="left" w:pos="240"/>
              </w:tabs>
              <w:rPr>
                <w:sz w:val="20"/>
              </w:rPr>
            </w:pPr>
            <w:r>
              <w:rPr>
                <w:sz w:val="20"/>
              </w:rPr>
              <w:t>1.  Member Counseling</w:t>
            </w:r>
          </w:p>
          <w:p w:rsidR="00CC41DF" w:rsidRDefault="00CC41DF">
            <w:pPr>
              <w:numPr>
                <w:ilvl w:val="0"/>
                <w:numId w:val="36"/>
              </w:numPr>
              <w:tabs>
                <w:tab w:val="left" w:pos="240"/>
              </w:tabs>
              <w:rPr>
                <w:sz w:val="20"/>
              </w:rPr>
            </w:pPr>
            <w:r>
              <w:rPr>
                <w:sz w:val="20"/>
              </w:rPr>
              <w:t>553_70100</w:t>
            </w:r>
          </w:p>
          <w:p w:rsidR="00CC41DF" w:rsidRDefault="00CC41DF">
            <w:pPr>
              <w:pStyle w:val="Heading1"/>
              <w:rPr>
                <w:sz w:val="20"/>
              </w:rPr>
            </w:pPr>
            <w:r>
              <w:rPr>
                <w:sz w:val="20"/>
              </w:rPr>
              <w:t>Org #:  4110</w:t>
            </w:r>
          </w:p>
        </w:tc>
        <w:tc>
          <w:tcPr>
            <w:tcW w:w="3593" w:type="dxa"/>
          </w:tcPr>
          <w:p w:rsidR="00CC41DF" w:rsidRDefault="00CC41DF">
            <w:pPr>
              <w:rPr>
                <w:sz w:val="20"/>
              </w:rPr>
            </w:pPr>
            <w:r>
              <w:rPr>
                <w:sz w:val="20"/>
              </w:rPr>
              <w:t>% very satisfied with service</w:t>
            </w:r>
          </w:p>
          <w:p w:rsidR="00CC41DF" w:rsidRDefault="00CC41DF">
            <w:pPr>
              <w:numPr>
                <w:ilvl w:val="0"/>
                <w:numId w:val="31"/>
              </w:numPr>
              <w:rPr>
                <w:sz w:val="20"/>
              </w:rPr>
            </w:pPr>
            <w:r>
              <w:rPr>
                <w:sz w:val="20"/>
              </w:rPr>
              <w:t>553_70100_001</w:t>
            </w:r>
          </w:p>
        </w:tc>
        <w:tc>
          <w:tcPr>
            <w:tcW w:w="1629" w:type="dxa"/>
          </w:tcPr>
          <w:p w:rsidR="00CC41DF" w:rsidRDefault="00CC41DF">
            <w:pPr>
              <w:pStyle w:val="Header"/>
              <w:tabs>
                <w:tab w:val="clear" w:pos="4320"/>
                <w:tab w:val="clear" w:pos="8640"/>
              </w:tabs>
              <w:jc w:val="center"/>
              <w:rPr>
                <w:sz w:val="20"/>
              </w:rPr>
            </w:pPr>
            <w:r>
              <w:rPr>
                <w:sz w:val="20"/>
              </w:rPr>
              <w:t>98</w:t>
            </w:r>
          </w:p>
          <w:p w:rsidR="00CC41DF" w:rsidRDefault="00CC41DF">
            <w:pPr>
              <w:pStyle w:val="Header"/>
              <w:tabs>
                <w:tab w:val="clear" w:pos="4320"/>
                <w:tab w:val="clear" w:pos="8640"/>
              </w:tabs>
              <w:jc w:val="center"/>
              <w:rPr>
                <w:sz w:val="20"/>
              </w:rPr>
            </w:pPr>
          </w:p>
          <w:p w:rsidR="00CC41DF" w:rsidRDefault="00CC41DF">
            <w:pPr>
              <w:pStyle w:val="Header"/>
              <w:tabs>
                <w:tab w:val="clear" w:pos="4320"/>
                <w:tab w:val="clear" w:pos="8640"/>
              </w:tabs>
              <w:jc w:val="center"/>
              <w:rPr>
                <w:sz w:val="20"/>
              </w:rPr>
            </w:pPr>
          </w:p>
        </w:tc>
        <w:tc>
          <w:tcPr>
            <w:tcW w:w="1611" w:type="dxa"/>
          </w:tcPr>
          <w:p w:rsidR="00CC41DF" w:rsidRDefault="00CC41DF">
            <w:pPr>
              <w:tabs>
                <w:tab w:val="left" w:pos="936"/>
              </w:tabs>
              <w:rPr>
                <w:sz w:val="20"/>
              </w:rPr>
            </w:pPr>
            <w:r>
              <w:rPr>
                <w:sz w:val="20"/>
              </w:rPr>
              <w:t>Surveys</w:t>
            </w:r>
          </w:p>
          <w:p w:rsidR="00CC41DF" w:rsidRDefault="00CC41DF">
            <w:pPr>
              <w:tabs>
                <w:tab w:val="left" w:pos="936"/>
              </w:tabs>
              <w:rPr>
                <w:sz w:val="20"/>
              </w:rPr>
            </w:pPr>
            <w:r>
              <w:rPr>
                <w:sz w:val="20"/>
              </w:rPr>
              <w:t>$386,000-IPERS Trust Fund (ITF)</w:t>
            </w:r>
          </w:p>
        </w:tc>
        <w:tc>
          <w:tcPr>
            <w:tcW w:w="5400" w:type="dxa"/>
          </w:tcPr>
          <w:p w:rsidR="00CC41DF" w:rsidRDefault="00CC41DF">
            <w:pPr>
              <w:pStyle w:val="Header"/>
              <w:tabs>
                <w:tab w:val="clear" w:pos="4320"/>
                <w:tab w:val="clear" w:pos="8640"/>
              </w:tabs>
              <w:rPr>
                <w:sz w:val="20"/>
              </w:rPr>
            </w:pPr>
            <w:r>
              <w:rPr>
                <w:sz w:val="20"/>
              </w:rPr>
              <w:t>1.  To determine  satisfaction with counseling.</w:t>
            </w:r>
          </w:p>
          <w:p w:rsidR="00CC41DF" w:rsidRDefault="00CC41DF">
            <w:pPr>
              <w:pStyle w:val="Header"/>
              <w:tabs>
                <w:tab w:val="clear" w:pos="4320"/>
                <w:tab w:val="clear" w:pos="8640"/>
              </w:tabs>
              <w:rPr>
                <w:sz w:val="20"/>
              </w:rPr>
            </w:pPr>
            <w:r>
              <w:rPr>
                <w:sz w:val="20"/>
              </w:rPr>
              <w:t>2.  Excellent compared to peers.</w:t>
            </w:r>
          </w:p>
          <w:p w:rsidR="00CC41DF" w:rsidRDefault="00CC41DF">
            <w:pPr>
              <w:pStyle w:val="Header"/>
              <w:tabs>
                <w:tab w:val="clear" w:pos="4320"/>
                <w:tab w:val="clear" w:pos="8640"/>
              </w:tabs>
              <w:rPr>
                <w:sz w:val="20"/>
              </w:rPr>
            </w:pPr>
            <w:r>
              <w:rPr>
                <w:sz w:val="20"/>
              </w:rPr>
              <w:t>3.  Retained for FY 2005.</w:t>
            </w:r>
          </w:p>
        </w:tc>
      </w:tr>
      <w:tr w:rsidR="00CC41DF">
        <w:tblPrEx>
          <w:tblCellMar>
            <w:top w:w="0" w:type="dxa"/>
            <w:bottom w:w="0" w:type="dxa"/>
          </w:tblCellMar>
        </w:tblPrEx>
        <w:trPr>
          <w:jc w:val="center"/>
        </w:trPr>
        <w:tc>
          <w:tcPr>
            <w:tcW w:w="2275" w:type="dxa"/>
          </w:tcPr>
          <w:p w:rsidR="00CC41DF" w:rsidRDefault="00CC41DF">
            <w:pPr>
              <w:tabs>
                <w:tab w:val="left" w:pos="240"/>
              </w:tabs>
              <w:rPr>
                <w:sz w:val="20"/>
              </w:rPr>
            </w:pPr>
            <w:r>
              <w:rPr>
                <w:sz w:val="20"/>
              </w:rPr>
              <w:t>2.  Member Telephone Calls</w:t>
            </w:r>
          </w:p>
          <w:p w:rsidR="00CC41DF" w:rsidRDefault="00CC41DF">
            <w:pPr>
              <w:numPr>
                <w:ilvl w:val="0"/>
                <w:numId w:val="37"/>
              </w:numPr>
              <w:tabs>
                <w:tab w:val="left" w:pos="240"/>
              </w:tabs>
              <w:rPr>
                <w:sz w:val="20"/>
              </w:rPr>
            </w:pPr>
            <w:r>
              <w:rPr>
                <w:sz w:val="20"/>
              </w:rPr>
              <w:t>553_70101</w:t>
            </w:r>
          </w:p>
          <w:p w:rsidR="00CC41DF" w:rsidRDefault="00CC41DF">
            <w:pPr>
              <w:pStyle w:val="Heading1"/>
              <w:rPr>
                <w:sz w:val="20"/>
              </w:rPr>
            </w:pPr>
            <w:r>
              <w:rPr>
                <w:noProof/>
                <w:sz w:val="20"/>
              </w:rPr>
              <w:pict>
                <v:shape id="_x0000_s1035" type="#_x0000_t202" style="position:absolute;margin-left:-41.55pt;margin-top:-1.05pt;width:30pt;height:27pt;z-index:251660288" stroked="f">
                  <v:textbox style="layout-flow:vertical;mso-next-textbox:#_x0000_s1035">
                    <w:txbxContent>
                      <w:p w:rsidR="00CC41DF" w:rsidRDefault="00CC41DF">
                        <w:r>
                          <w:t>17</w:t>
                        </w:r>
                      </w:p>
                    </w:txbxContent>
                  </v:textbox>
                </v:shape>
              </w:pict>
            </w:r>
            <w:r>
              <w:rPr>
                <w:sz w:val="20"/>
              </w:rPr>
              <w:t>Org #:  4110</w:t>
            </w:r>
          </w:p>
        </w:tc>
        <w:tc>
          <w:tcPr>
            <w:tcW w:w="3593" w:type="dxa"/>
          </w:tcPr>
          <w:p w:rsidR="00CC41DF" w:rsidRDefault="00CC41DF">
            <w:pPr>
              <w:rPr>
                <w:sz w:val="20"/>
              </w:rPr>
            </w:pPr>
            <w:r>
              <w:rPr>
                <w:sz w:val="20"/>
              </w:rPr>
              <w:t>% calls answered in 20 seconds</w:t>
            </w:r>
          </w:p>
          <w:p w:rsidR="00CC41DF" w:rsidRDefault="00CC41DF">
            <w:pPr>
              <w:numPr>
                <w:ilvl w:val="0"/>
                <w:numId w:val="38"/>
              </w:numPr>
              <w:rPr>
                <w:sz w:val="20"/>
              </w:rPr>
            </w:pPr>
            <w:r>
              <w:rPr>
                <w:sz w:val="20"/>
              </w:rPr>
              <w:t>553_70101_001</w:t>
            </w:r>
          </w:p>
        </w:tc>
        <w:tc>
          <w:tcPr>
            <w:tcW w:w="1629" w:type="dxa"/>
          </w:tcPr>
          <w:p w:rsidR="00CC41DF" w:rsidRDefault="00CC41DF">
            <w:pPr>
              <w:jc w:val="center"/>
              <w:rPr>
                <w:sz w:val="20"/>
              </w:rPr>
            </w:pPr>
            <w:r>
              <w:rPr>
                <w:sz w:val="20"/>
              </w:rPr>
              <w:t>84</w:t>
            </w:r>
          </w:p>
          <w:p w:rsidR="00CC41DF" w:rsidRDefault="00CC41DF">
            <w:pPr>
              <w:jc w:val="center"/>
              <w:rPr>
                <w:sz w:val="20"/>
              </w:rPr>
            </w:pPr>
          </w:p>
          <w:p w:rsidR="00CC41DF" w:rsidRDefault="00CC41DF">
            <w:pPr>
              <w:jc w:val="center"/>
              <w:rPr>
                <w:sz w:val="20"/>
              </w:rPr>
            </w:pPr>
          </w:p>
        </w:tc>
        <w:tc>
          <w:tcPr>
            <w:tcW w:w="1611" w:type="dxa"/>
          </w:tcPr>
          <w:p w:rsidR="00CC41DF" w:rsidRDefault="00CC41DF">
            <w:pPr>
              <w:tabs>
                <w:tab w:val="left" w:pos="936"/>
              </w:tabs>
              <w:rPr>
                <w:sz w:val="20"/>
              </w:rPr>
            </w:pPr>
            <w:r>
              <w:rPr>
                <w:sz w:val="20"/>
              </w:rPr>
              <w:t>ACD Database</w:t>
            </w:r>
          </w:p>
          <w:p w:rsidR="00CC41DF" w:rsidRDefault="00CC41DF">
            <w:pPr>
              <w:tabs>
                <w:tab w:val="left" w:pos="936"/>
              </w:tabs>
              <w:rPr>
                <w:sz w:val="20"/>
              </w:rPr>
            </w:pPr>
          </w:p>
          <w:p w:rsidR="00CC41DF" w:rsidRDefault="00CC41DF">
            <w:pPr>
              <w:tabs>
                <w:tab w:val="left" w:pos="936"/>
              </w:tabs>
              <w:rPr>
                <w:sz w:val="20"/>
              </w:rPr>
            </w:pPr>
            <w:r>
              <w:rPr>
                <w:sz w:val="20"/>
              </w:rPr>
              <w:t>$448,000-ITF</w:t>
            </w:r>
          </w:p>
        </w:tc>
        <w:tc>
          <w:tcPr>
            <w:tcW w:w="5400" w:type="dxa"/>
          </w:tcPr>
          <w:p w:rsidR="00CC41DF" w:rsidRDefault="00CC41DF">
            <w:pPr>
              <w:rPr>
                <w:sz w:val="20"/>
              </w:rPr>
            </w:pPr>
            <w:r>
              <w:rPr>
                <w:sz w:val="20"/>
              </w:rPr>
              <w:t>1.  To determine timeliness of response.</w:t>
            </w:r>
          </w:p>
          <w:p w:rsidR="00CC41DF" w:rsidRDefault="00CC41DF">
            <w:pPr>
              <w:rPr>
                <w:sz w:val="20"/>
              </w:rPr>
            </w:pPr>
            <w:r>
              <w:rPr>
                <w:sz w:val="20"/>
              </w:rPr>
              <w:t>2.  This is benchmark when compared to peers.</w:t>
            </w:r>
          </w:p>
          <w:p w:rsidR="00CC41DF" w:rsidRDefault="00CC41DF">
            <w:pPr>
              <w:rPr>
                <w:sz w:val="20"/>
              </w:rPr>
            </w:pPr>
            <w:r>
              <w:rPr>
                <w:sz w:val="20"/>
              </w:rPr>
              <w:t>3.  Retained for FY 2005</w:t>
            </w:r>
          </w:p>
        </w:tc>
      </w:tr>
      <w:tr w:rsidR="00CC41DF">
        <w:tblPrEx>
          <w:tblCellMar>
            <w:top w:w="0" w:type="dxa"/>
            <w:bottom w:w="0" w:type="dxa"/>
          </w:tblCellMar>
        </w:tblPrEx>
        <w:trPr>
          <w:jc w:val="center"/>
        </w:trPr>
        <w:tc>
          <w:tcPr>
            <w:tcW w:w="2275" w:type="dxa"/>
          </w:tcPr>
          <w:p w:rsidR="00CC41DF" w:rsidRDefault="00CC41DF">
            <w:pPr>
              <w:tabs>
                <w:tab w:val="left" w:pos="240"/>
              </w:tabs>
              <w:rPr>
                <w:sz w:val="20"/>
              </w:rPr>
            </w:pPr>
            <w:r>
              <w:rPr>
                <w:sz w:val="20"/>
              </w:rPr>
              <w:t>3.  Retirement Payments</w:t>
            </w:r>
          </w:p>
          <w:p w:rsidR="00CC41DF" w:rsidRDefault="00CC41DF">
            <w:pPr>
              <w:numPr>
                <w:ilvl w:val="0"/>
                <w:numId w:val="32"/>
              </w:numPr>
              <w:tabs>
                <w:tab w:val="left" w:pos="240"/>
              </w:tabs>
              <w:rPr>
                <w:sz w:val="20"/>
              </w:rPr>
            </w:pPr>
            <w:r>
              <w:rPr>
                <w:sz w:val="20"/>
              </w:rPr>
              <w:t>553_70102</w:t>
            </w:r>
          </w:p>
          <w:p w:rsidR="00CC41DF" w:rsidRDefault="00CC41DF">
            <w:pPr>
              <w:pStyle w:val="Heading1"/>
              <w:rPr>
                <w:sz w:val="20"/>
              </w:rPr>
            </w:pPr>
            <w:r>
              <w:rPr>
                <w:sz w:val="20"/>
              </w:rPr>
              <w:t>Org #:  4110</w:t>
            </w:r>
          </w:p>
        </w:tc>
        <w:tc>
          <w:tcPr>
            <w:tcW w:w="3593" w:type="dxa"/>
          </w:tcPr>
          <w:p w:rsidR="00CC41DF" w:rsidRDefault="00CC41DF">
            <w:pPr>
              <w:rPr>
                <w:sz w:val="20"/>
              </w:rPr>
            </w:pPr>
            <w:r>
              <w:rPr>
                <w:sz w:val="20"/>
              </w:rPr>
              <w:t>% of payments on time</w:t>
            </w:r>
          </w:p>
          <w:p w:rsidR="00CC41DF" w:rsidRDefault="00CC41DF">
            <w:pPr>
              <w:numPr>
                <w:ilvl w:val="0"/>
                <w:numId w:val="32"/>
              </w:numPr>
              <w:rPr>
                <w:sz w:val="20"/>
              </w:rPr>
            </w:pPr>
            <w:r>
              <w:rPr>
                <w:sz w:val="20"/>
              </w:rPr>
              <w:t>553_70102_001</w:t>
            </w:r>
          </w:p>
        </w:tc>
        <w:tc>
          <w:tcPr>
            <w:tcW w:w="1629" w:type="dxa"/>
          </w:tcPr>
          <w:p w:rsidR="00CC41DF" w:rsidRDefault="00CC41DF">
            <w:pPr>
              <w:jc w:val="center"/>
              <w:rPr>
                <w:sz w:val="20"/>
              </w:rPr>
            </w:pPr>
            <w:r>
              <w:rPr>
                <w:sz w:val="20"/>
              </w:rPr>
              <w:t>100</w:t>
            </w:r>
          </w:p>
        </w:tc>
        <w:tc>
          <w:tcPr>
            <w:tcW w:w="1611" w:type="dxa"/>
          </w:tcPr>
          <w:p w:rsidR="00CC41DF" w:rsidRDefault="00CC41DF">
            <w:pPr>
              <w:tabs>
                <w:tab w:val="left" w:pos="936"/>
              </w:tabs>
              <w:rPr>
                <w:sz w:val="20"/>
              </w:rPr>
            </w:pPr>
            <w:r>
              <w:rPr>
                <w:sz w:val="20"/>
              </w:rPr>
              <w:t>Accounting Records</w:t>
            </w:r>
          </w:p>
          <w:p w:rsidR="00CC41DF" w:rsidRDefault="00CC41DF">
            <w:pPr>
              <w:tabs>
                <w:tab w:val="left" w:pos="936"/>
              </w:tabs>
              <w:rPr>
                <w:sz w:val="20"/>
              </w:rPr>
            </w:pPr>
            <w:r>
              <w:rPr>
                <w:sz w:val="20"/>
              </w:rPr>
              <w:t>$587,000-ITF</w:t>
            </w:r>
          </w:p>
        </w:tc>
        <w:tc>
          <w:tcPr>
            <w:tcW w:w="5400" w:type="dxa"/>
          </w:tcPr>
          <w:p w:rsidR="00CC41DF" w:rsidRDefault="00CC41DF">
            <w:pPr>
              <w:rPr>
                <w:sz w:val="20"/>
              </w:rPr>
            </w:pPr>
            <w:r>
              <w:rPr>
                <w:sz w:val="20"/>
              </w:rPr>
              <w:t>1.  To determine promptness of payments.</w:t>
            </w:r>
          </w:p>
          <w:p w:rsidR="00CC41DF" w:rsidRDefault="00CC41DF">
            <w:pPr>
              <w:rPr>
                <w:sz w:val="20"/>
              </w:rPr>
            </w:pPr>
            <w:r>
              <w:rPr>
                <w:sz w:val="20"/>
              </w:rPr>
              <w:t>2.  Benchmark when compared to peers.</w:t>
            </w:r>
          </w:p>
          <w:p w:rsidR="00CC41DF" w:rsidRDefault="00CC41DF">
            <w:pPr>
              <w:rPr>
                <w:sz w:val="20"/>
              </w:rPr>
            </w:pPr>
            <w:r>
              <w:rPr>
                <w:sz w:val="20"/>
              </w:rPr>
              <w:t>3.  Retained for FY 2005</w:t>
            </w:r>
          </w:p>
        </w:tc>
      </w:tr>
      <w:tr w:rsidR="00CC41DF">
        <w:tblPrEx>
          <w:tblCellMar>
            <w:top w:w="0" w:type="dxa"/>
            <w:bottom w:w="0" w:type="dxa"/>
          </w:tblCellMar>
        </w:tblPrEx>
        <w:trPr>
          <w:trHeight w:val="74"/>
          <w:jc w:val="center"/>
        </w:trPr>
        <w:tc>
          <w:tcPr>
            <w:tcW w:w="2275" w:type="dxa"/>
          </w:tcPr>
          <w:p w:rsidR="00CC41DF" w:rsidRDefault="00CC41DF">
            <w:pPr>
              <w:tabs>
                <w:tab w:val="left" w:pos="240"/>
              </w:tabs>
              <w:rPr>
                <w:sz w:val="20"/>
              </w:rPr>
            </w:pPr>
            <w:r>
              <w:rPr>
                <w:sz w:val="20"/>
              </w:rPr>
              <w:t>4.  Employer Training</w:t>
            </w:r>
          </w:p>
          <w:p w:rsidR="00CC41DF" w:rsidRDefault="00CC41DF">
            <w:pPr>
              <w:numPr>
                <w:ilvl w:val="0"/>
                <w:numId w:val="32"/>
              </w:numPr>
              <w:tabs>
                <w:tab w:val="left" w:pos="240"/>
              </w:tabs>
              <w:rPr>
                <w:sz w:val="20"/>
              </w:rPr>
            </w:pPr>
            <w:r>
              <w:rPr>
                <w:sz w:val="20"/>
              </w:rPr>
              <w:t>553_70103</w:t>
            </w:r>
          </w:p>
          <w:p w:rsidR="00CC41DF" w:rsidRDefault="00CC41DF">
            <w:pPr>
              <w:tabs>
                <w:tab w:val="left" w:pos="240"/>
              </w:tabs>
              <w:rPr>
                <w:sz w:val="20"/>
              </w:rPr>
            </w:pPr>
            <w:r>
              <w:rPr>
                <w:sz w:val="20"/>
              </w:rPr>
              <w:t>Org #:  4110</w:t>
            </w:r>
          </w:p>
        </w:tc>
        <w:tc>
          <w:tcPr>
            <w:tcW w:w="3593" w:type="dxa"/>
          </w:tcPr>
          <w:p w:rsidR="00CC41DF" w:rsidRDefault="00CC41DF">
            <w:pPr>
              <w:rPr>
                <w:sz w:val="20"/>
              </w:rPr>
            </w:pPr>
            <w:r>
              <w:rPr>
                <w:sz w:val="20"/>
              </w:rPr>
              <w:t>% rating training as “very informative”</w:t>
            </w:r>
          </w:p>
          <w:p w:rsidR="00CC41DF" w:rsidRDefault="00CC41DF">
            <w:pPr>
              <w:numPr>
                <w:ilvl w:val="0"/>
                <w:numId w:val="32"/>
              </w:numPr>
              <w:rPr>
                <w:sz w:val="20"/>
              </w:rPr>
            </w:pPr>
            <w:r>
              <w:rPr>
                <w:sz w:val="20"/>
              </w:rPr>
              <w:t>553_70103_001</w:t>
            </w:r>
          </w:p>
        </w:tc>
        <w:tc>
          <w:tcPr>
            <w:tcW w:w="1629" w:type="dxa"/>
          </w:tcPr>
          <w:p w:rsidR="00CC41DF" w:rsidRDefault="00CC41DF">
            <w:pPr>
              <w:jc w:val="center"/>
              <w:rPr>
                <w:sz w:val="20"/>
              </w:rPr>
            </w:pPr>
            <w:r>
              <w:rPr>
                <w:sz w:val="20"/>
              </w:rPr>
              <w:t>41</w:t>
            </w:r>
          </w:p>
        </w:tc>
        <w:tc>
          <w:tcPr>
            <w:tcW w:w="1611" w:type="dxa"/>
          </w:tcPr>
          <w:p w:rsidR="00CC41DF" w:rsidRDefault="00CC41DF">
            <w:pPr>
              <w:tabs>
                <w:tab w:val="left" w:pos="936"/>
              </w:tabs>
              <w:rPr>
                <w:sz w:val="20"/>
              </w:rPr>
            </w:pPr>
            <w:r>
              <w:rPr>
                <w:sz w:val="20"/>
              </w:rPr>
              <w:t>Surveys</w:t>
            </w:r>
          </w:p>
          <w:p w:rsidR="00CC41DF" w:rsidRDefault="00CC41DF">
            <w:pPr>
              <w:tabs>
                <w:tab w:val="left" w:pos="936"/>
              </w:tabs>
              <w:rPr>
                <w:sz w:val="20"/>
              </w:rPr>
            </w:pPr>
            <w:r>
              <w:rPr>
                <w:sz w:val="20"/>
              </w:rPr>
              <w:t>$286,000-ITF</w:t>
            </w:r>
          </w:p>
        </w:tc>
        <w:tc>
          <w:tcPr>
            <w:tcW w:w="5400" w:type="dxa"/>
          </w:tcPr>
          <w:p w:rsidR="00CC41DF" w:rsidRDefault="00CC41DF">
            <w:pPr>
              <w:rPr>
                <w:sz w:val="20"/>
              </w:rPr>
            </w:pPr>
            <w:r>
              <w:rPr>
                <w:sz w:val="20"/>
              </w:rPr>
              <w:t>1.  To determine employer satisfaction with training.</w:t>
            </w:r>
          </w:p>
          <w:p w:rsidR="00CC41DF" w:rsidRDefault="00CC41DF">
            <w:pPr>
              <w:rPr>
                <w:sz w:val="20"/>
              </w:rPr>
            </w:pPr>
            <w:r>
              <w:rPr>
                <w:sz w:val="20"/>
              </w:rPr>
              <w:t>2.  Good since Compliance Officers are compliance enforcers as well as trainers.</w:t>
            </w:r>
          </w:p>
          <w:p w:rsidR="00CC41DF" w:rsidRDefault="00CC41DF">
            <w:pPr>
              <w:rPr>
                <w:sz w:val="20"/>
              </w:rPr>
            </w:pPr>
            <w:r>
              <w:rPr>
                <w:sz w:val="20"/>
              </w:rPr>
              <w:t>3.  Will be used as baseline for future comparisons.</w:t>
            </w:r>
          </w:p>
        </w:tc>
      </w:tr>
      <w:tr w:rsidR="00CC41DF">
        <w:tblPrEx>
          <w:tblCellMar>
            <w:top w:w="0" w:type="dxa"/>
            <w:bottom w:w="0" w:type="dxa"/>
          </w:tblCellMar>
        </w:tblPrEx>
        <w:trPr>
          <w:jc w:val="center"/>
        </w:trPr>
        <w:tc>
          <w:tcPr>
            <w:tcW w:w="2275" w:type="dxa"/>
          </w:tcPr>
          <w:p w:rsidR="00CC41DF" w:rsidRDefault="00CC41DF">
            <w:pPr>
              <w:pStyle w:val="Heading1"/>
              <w:rPr>
                <w:sz w:val="20"/>
              </w:rPr>
            </w:pPr>
            <w:r>
              <w:rPr>
                <w:sz w:val="20"/>
              </w:rPr>
              <w:t>5.  Refund payments</w:t>
            </w:r>
          </w:p>
          <w:p w:rsidR="00CC41DF" w:rsidRDefault="00CC41DF">
            <w:pPr>
              <w:numPr>
                <w:ilvl w:val="0"/>
                <w:numId w:val="32"/>
              </w:numPr>
              <w:rPr>
                <w:sz w:val="20"/>
              </w:rPr>
            </w:pPr>
            <w:r>
              <w:rPr>
                <w:sz w:val="20"/>
              </w:rPr>
              <w:t>553_70104</w:t>
            </w:r>
          </w:p>
          <w:p w:rsidR="00CC41DF" w:rsidRDefault="00CC41DF">
            <w:pPr>
              <w:pStyle w:val="Heading1"/>
              <w:rPr>
                <w:sz w:val="20"/>
              </w:rPr>
            </w:pPr>
            <w:r>
              <w:rPr>
                <w:sz w:val="20"/>
              </w:rPr>
              <w:t>Org #:  4110</w:t>
            </w:r>
          </w:p>
        </w:tc>
        <w:tc>
          <w:tcPr>
            <w:tcW w:w="3593" w:type="dxa"/>
          </w:tcPr>
          <w:p w:rsidR="00CC41DF" w:rsidRDefault="00CC41DF">
            <w:pPr>
              <w:rPr>
                <w:sz w:val="20"/>
              </w:rPr>
            </w:pPr>
            <w:r>
              <w:rPr>
                <w:sz w:val="20"/>
              </w:rPr>
              <w:t>% of applications processed in 3 days</w:t>
            </w:r>
          </w:p>
          <w:p w:rsidR="00CC41DF" w:rsidRDefault="00CC41DF">
            <w:pPr>
              <w:numPr>
                <w:ilvl w:val="0"/>
                <w:numId w:val="32"/>
              </w:numPr>
              <w:rPr>
                <w:sz w:val="20"/>
              </w:rPr>
            </w:pPr>
            <w:r>
              <w:rPr>
                <w:sz w:val="20"/>
              </w:rPr>
              <w:t>553_70104_001</w:t>
            </w:r>
          </w:p>
        </w:tc>
        <w:tc>
          <w:tcPr>
            <w:tcW w:w="1629" w:type="dxa"/>
          </w:tcPr>
          <w:p w:rsidR="00CC41DF" w:rsidRDefault="00CC41DF">
            <w:pPr>
              <w:jc w:val="center"/>
              <w:rPr>
                <w:sz w:val="20"/>
              </w:rPr>
            </w:pPr>
            <w:r>
              <w:rPr>
                <w:sz w:val="20"/>
              </w:rPr>
              <w:t>86</w:t>
            </w:r>
          </w:p>
        </w:tc>
        <w:tc>
          <w:tcPr>
            <w:tcW w:w="1611" w:type="dxa"/>
          </w:tcPr>
          <w:p w:rsidR="00CC41DF" w:rsidRDefault="00CC41DF">
            <w:pPr>
              <w:tabs>
                <w:tab w:val="left" w:pos="936"/>
              </w:tabs>
              <w:rPr>
                <w:sz w:val="20"/>
              </w:rPr>
            </w:pPr>
            <w:r>
              <w:rPr>
                <w:sz w:val="20"/>
              </w:rPr>
              <w:t>IPERS System Data</w:t>
            </w:r>
          </w:p>
          <w:p w:rsidR="00CC41DF" w:rsidRDefault="00CC41DF">
            <w:pPr>
              <w:tabs>
                <w:tab w:val="left" w:pos="936"/>
              </w:tabs>
              <w:rPr>
                <w:sz w:val="20"/>
              </w:rPr>
            </w:pPr>
            <w:r>
              <w:rPr>
                <w:sz w:val="20"/>
              </w:rPr>
              <w:t>$543,000-ITF</w:t>
            </w:r>
          </w:p>
        </w:tc>
        <w:tc>
          <w:tcPr>
            <w:tcW w:w="5400" w:type="dxa"/>
          </w:tcPr>
          <w:p w:rsidR="00CC41DF" w:rsidRDefault="00CC41DF">
            <w:pPr>
              <w:rPr>
                <w:sz w:val="20"/>
              </w:rPr>
            </w:pPr>
            <w:r>
              <w:rPr>
                <w:sz w:val="20"/>
              </w:rPr>
              <w:t>1.  To determine timeliness of processing applications.</w:t>
            </w:r>
          </w:p>
          <w:p w:rsidR="00CC41DF" w:rsidRDefault="00CC41DF">
            <w:pPr>
              <w:rPr>
                <w:sz w:val="20"/>
              </w:rPr>
            </w:pPr>
            <w:r>
              <w:rPr>
                <w:sz w:val="20"/>
              </w:rPr>
              <w:t>2.  Excellent when compared to peers.</w:t>
            </w:r>
          </w:p>
          <w:p w:rsidR="00CC41DF" w:rsidRDefault="00CC41DF">
            <w:pPr>
              <w:rPr>
                <w:sz w:val="20"/>
              </w:rPr>
            </w:pPr>
            <w:r>
              <w:rPr>
                <w:sz w:val="20"/>
              </w:rPr>
              <w:t>3.  Will be used as baseline for future comparisons.</w:t>
            </w:r>
          </w:p>
        </w:tc>
      </w:tr>
      <w:tr w:rsidR="00CC41DF">
        <w:tblPrEx>
          <w:tblCellMar>
            <w:top w:w="0" w:type="dxa"/>
            <w:bottom w:w="0" w:type="dxa"/>
          </w:tblCellMar>
        </w:tblPrEx>
        <w:trPr>
          <w:jc w:val="center"/>
        </w:trPr>
        <w:tc>
          <w:tcPr>
            <w:tcW w:w="2275" w:type="dxa"/>
          </w:tcPr>
          <w:p w:rsidR="00CC41DF" w:rsidRDefault="00CC41DF">
            <w:pPr>
              <w:tabs>
                <w:tab w:val="left" w:pos="240"/>
              </w:tabs>
              <w:rPr>
                <w:sz w:val="20"/>
              </w:rPr>
            </w:pPr>
            <w:r>
              <w:rPr>
                <w:sz w:val="20"/>
              </w:rPr>
              <w:t>6.  Service Purchases</w:t>
            </w:r>
          </w:p>
          <w:p w:rsidR="00CC41DF" w:rsidRDefault="00CC41DF">
            <w:pPr>
              <w:numPr>
                <w:ilvl w:val="0"/>
                <w:numId w:val="32"/>
              </w:numPr>
              <w:tabs>
                <w:tab w:val="left" w:pos="240"/>
              </w:tabs>
              <w:rPr>
                <w:sz w:val="20"/>
              </w:rPr>
            </w:pPr>
            <w:r>
              <w:rPr>
                <w:sz w:val="20"/>
              </w:rPr>
              <w:t>553_70105</w:t>
            </w:r>
          </w:p>
          <w:p w:rsidR="00CC41DF" w:rsidRDefault="00CC41DF">
            <w:pPr>
              <w:numPr>
                <w:ilvl w:val="0"/>
                <w:numId w:val="32"/>
              </w:numPr>
              <w:tabs>
                <w:tab w:val="left" w:pos="240"/>
              </w:tabs>
              <w:rPr>
                <w:sz w:val="20"/>
              </w:rPr>
            </w:pPr>
            <w:r>
              <w:rPr>
                <w:sz w:val="20"/>
              </w:rPr>
              <w:t>Org #:  4110</w:t>
            </w:r>
          </w:p>
        </w:tc>
        <w:tc>
          <w:tcPr>
            <w:tcW w:w="3593" w:type="dxa"/>
          </w:tcPr>
          <w:p w:rsidR="00CC41DF" w:rsidRDefault="00CC41DF">
            <w:pPr>
              <w:rPr>
                <w:sz w:val="20"/>
              </w:rPr>
            </w:pPr>
            <w:r>
              <w:rPr>
                <w:sz w:val="20"/>
              </w:rPr>
              <w:t>% of member info requests to actuary in 5 days of request</w:t>
            </w:r>
          </w:p>
          <w:p w:rsidR="00CC41DF" w:rsidRDefault="00CC41DF">
            <w:pPr>
              <w:numPr>
                <w:ilvl w:val="0"/>
                <w:numId w:val="33"/>
              </w:numPr>
              <w:rPr>
                <w:sz w:val="20"/>
              </w:rPr>
            </w:pPr>
            <w:r>
              <w:rPr>
                <w:sz w:val="20"/>
              </w:rPr>
              <w:t>553_70105_001</w:t>
            </w:r>
          </w:p>
        </w:tc>
        <w:tc>
          <w:tcPr>
            <w:tcW w:w="1629" w:type="dxa"/>
          </w:tcPr>
          <w:p w:rsidR="00CC41DF" w:rsidRDefault="00CC41DF">
            <w:pPr>
              <w:jc w:val="center"/>
              <w:rPr>
                <w:sz w:val="20"/>
              </w:rPr>
            </w:pPr>
            <w:r>
              <w:rPr>
                <w:sz w:val="20"/>
              </w:rPr>
              <w:t>25.3</w:t>
            </w:r>
          </w:p>
        </w:tc>
        <w:tc>
          <w:tcPr>
            <w:tcW w:w="1611" w:type="dxa"/>
          </w:tcPr>
          <w:p w:rsidR="00CC41DF" w:rsidRDefault="00CC41DF">
            <w:pPr>
              <w:tabs>
                <w:tab w:val="left" w:pos="936"/>
              </w:tabs>
              <w:rPr>
                <w:sz w:val="20"/>
              </w:rPr>
            </w:pPr>
            <w:r>
              <w:rPr>
                <w:sz w:val="20"/>
              </w:rPr>
              <w:t>IPERS Process Data</w:t>
            </w:r>
          </w:p>
          <w:p w:rsidR="00CC41DF" w:rsidRDefault="00CC41DF">
            <w:pPr>
              <w:tabs>
                <w:tab w:val="left" w:pos="936"/>
              </w:tabs>
              <w:rPr>
                <w:sz w:val="20"/>
              </w:rPr>
            </w:pPr>
            <w:r>
              <w:rPr>
                <w:sz w:val="20"/>
              </w:rPr>
              <w:t>$114,000-ITF</w:t>
            </w:r>
          </w:p>
        </w:tc>
        <w:tc>
          <w:tcPr>
            <w:tcW w:w="5400" w:type="dxa"/>
          </w:tcPr>
          <w:p w:rsidR="00CC41DF" w:rsidRDefault="00CC41DF">
            <w:pPr>
              <w:rPr>
                <w:sz w:val="20"/>
              </w:rPr>
            </w:pPr>
            <w:r>
              <w:rPr>
                <w:sz w:val="20"/>
              </w:rPr>
              <w:t>1.  Determine timeliness of processing service purchases.</w:t>
            </w:r>
          </w:p>
          <w:p w:rsidR="00CC41DF" w:rsidRDefault="00CC41DF">
            <w:pPr>
              <w:rPr>
                <w:sz w:val="20"/>
              </w:rPr>
            </w:pPr>
            <w:r>
              <w:rPr>
                <w:sz w:val="20"/>
              </w:rPr>
              <w:t>2.  No comparison data.</w:t>
            </w:r>
          </w:p>
          <w:p w:rsidR="00CC41DF" w:rsidRDefault="00CC41DF">
            <w:pPr>
              <w:rPr>
                <w:sz w:val="20"/>
              </w:rPr>
            </w:pPr>
            <w:r>
              <w:rPr>
                <w:sz w:val="20"/>
              </w:rPr>
              <w:t>3.  Will be used as baseline for future comparisons.</w:t>
            </w:r>
          </w:p>
        </w:tc>
      </w:tr>
      <w:tr w:rsidR="00CC41DF">
        <w:tblPrEx>
          <w:tblCellMar>
            <w:top w:w="0" w:type="dxa"/>
            <w:bottom w:w="0" w:type="dxa"/>
          </w:tblCellMar>
        </w:tblPrEx>
        <w:trPr>
          <w:jc w:val="center"/>
        </w:trPr>
        <w:tc>
          <w:tcPr>
            <w:tcW w:w="2275" w:type="dxa"/>
          </w:tcPr>
          <w:p w:rsidR="00CC41DF" w:rsidRDefault="00CC41DF">
            <w:pPr>
              <w:rPr>
                <w:sz w:val="20"/>
              </w:rPr>
            </w:pPr>
            <w:r>
              <w:rPr>
                <w:sz w:val="20"/>
              </w:rPr>
              <w:t>7.  Member and Retiree Publications</w:t>
            </w:r>
          </w:p>
          <w:p w:rsidR="00CC41DF" w:rsidRDefault="00CC41DF">
            <w:pPr>
              <w:numPr>
                <w:ilvl w:val="0"/>
                <w:numId w:val="33"/>
              </w:numPr>
              <w:rPr>
                <w:sz w:val="20"/>
              </w:rPr>
            </w:pPr>
            <w:r>
              <w:rPr>
                <w:sz w:val="20"/>
              </w:rPr>
              <w:t>553_70106</w:t>
            </w:r>
          </w:p>
          <w:p w:rsidR="00CC41DF" w:rsidRDefault="00CC41DF">
            <w:pPr>
              <w:numPr>
                <w:ilvl w:val="0"/>
                <w:numId w:val="33"/>
              </w:numPr>
              <w:rPr>
                <w:sz w:val="20"/>
              </w:rPr>
            </w:pPr>
            <w:r>
              <w:rPr>
                <w:sz w:val="20"/>
              </w:rPr>
              <w:t>Org #:  4110</w:t>
            </w:r>
          </w:p>
        </w:tc>
        <w:tc>
          <w:tcPr>
            <w:tcW w:w="3593" w:type="dxa"/>
          </w:tcPr>
          <w:p w:rsidR="00CC41DF" w:rsidRDefault="00CC41DF">
            <w:pPr>
              <w:rPr>
                <w:sz w:val="20"/>
              </w:rPr>
            </w:pPr>
            <w:r>
              <w:rPr>
                <w:sz w:val="20"/>
              </w:rPr>
              <w:t>% of members, retirees and employers “very satisfied” with publications</w:t>
            </w:r>
          </w:p>
          <w:p w:rsidR="00CC41DF" w:rsidRDefault="00CC41DF">
            <w:pPr>
              <w:pStyle w:val="Heading2"/>
              <w:numPr>
                <w:ilvl w:val="0"/>
                <w:numId w:val="34"/>
              </w:numPr>
              <w:rPr>
                <w:sz w:val="20"/>
              </w:rPr>
            </w:pPr>
            <w:r>
              <w:rPr>
                <w:sz w:val="20"/>
              </w:rPr>
              <w:t>553_70106_001</w:t>
            </w:r>
          </w:p>
        </w:tc>
        <w:tc>
          <w:tcPr>
            <w:tcW w:w="1629" w:type="dxa"/>
          </w:tcPr>
          <w:p w:rsidR="00CC41DF" w:rsidRDefault="00CC41DF">
            <w:pPr>
              <w:jc w:val="center"/>
              <w:rPr>
                <w:sz w:val="20"/>
              </w:rPr>
            </w:pPr>
            <w:r>
              <w:rPr>
                <w:sz w:val="20"/>
              </w:rPr>
              <w:t>66</w:t>
            </w:r>
          </w:p>
          <w:p w:rsidR="00CC41DF" w:rsidRDefault="00CC41DF">
            <w:pPr>
              <w:jc w:val="center"/>
              <w:rPr>
                <w:sz w:val="20"/>
              </w:rPr>
            </w:pPr>
            <w:r>
              <w:rPr>
                <w:sz w:val="20"/>
              </w:rPr>
              <w:t>Composite</w:t>
            </w:r>
          </w:p>
        </w:tc>
        <w:tc>
          <w:tcPr>
            <w:tcW w:w="1611" w:type="dxa"/>
          </w:tcPr>
          <w:p w:rsidR="00CC41DF" w:rsidRDefault="00CC41DF">
            <w:pPr>
              <w:tabs>
                <w:tab w:val="left" w:pos="936"/>
              </w:tabs>
              <w:rPr>
                <w:sz w:val="20"/>
              </w:rPr>
            </w:pPr>
            <w:r>
              <w:rPr>
                <w:sz w:val="20"/>
              </w:rPr>
              <w:t>Surveys</w:t>
            </w:r>
          </w:p>
          <w:p w:rsidR="00CC41DF" w:rsidRDefault="00CC41DF">
            <w:pPr>
              <w:tabs>
                <w:tab w:val="left" w:pos="936"/>
              </w:tabs>
              <w:rPr>
                <w:sz w:val="20"/>
              </w:rPr>
            </w:pPr>
            <w:r>
              <w:rPr>
                <w:sz w:val="20"/>
              </w:rPr>
              <w:t>$687,000-ITF</w:t>
            </w:r>
          </w:p>
        </w:tc>
        <w:tc>
          <w:tcPr>
            <w:tcW w:w="5400" w:type="dxa"/>
          </w:tcPr>
          <w:p w:rsidR="00CC41DF" w:rsidRDefault="00CC41DF">
            <w:pPr>
              <w:rPr>
                <w:sz w:val="20"/>
              </w:rPr>
            </w:pPr>
            <w:r>
              <w:rPr>
                <w:sz w:val="20"/>
              </w:rPr>
              <w:t>1.  Determine satisfaction with publications</w:t>
            </w:r>
          </w:p>
          <w:p w:rsidR="00CC41DF" w:rsidRDefault="00CC41DF">
            <w:pPr>
              <w:rPr>
                <w:sz w:val="20"/>
              </w:rPr>
            </w:pPr>
            <w:r>
              <w:rPr>
                <w:sz w:val="20"/>
              </w:rPr>
              <w:t>2.  No comparison data.</w:t>
            </w:r>
          </w:p>
          <w:p w:rsidR="00CC41DF" w:rsidRDefault="00CC41DF">
            <w:pPr>
              <w:rPr>
                <w:sz w:val="20"/>
              </w:rPr>
            </w:pPr>
            <w:r>
              <w:rPr>
                <w:sz w:val="20"/>
              </w:rPr>
              <w:t>3.  Will be used as baseline for future comparisons.</w:t>
            </w:r>
          </w:p>
        </w:tc>
      </w:tr>
    </w:tbl>
    <w:p w:rsidR="00CC41DF" w:rsidRDefault="00CC41DF">
      <w:pPr>
        <w:pStyle w:val="BodyText2"/>
        <w:rPr>
          <w:rFonts w:ascii="Times New Roman" w:hAnsi="Times New Roman" w:cs="Times New Roman"/>
        </w:rPr>
      </w:pPr>
    </w:p>
    <w:p w:rsidR="00CC41DF" w:rsidRDefault="00CC41DF">
      <w:pPr>
        <w:jc w:val="center"/>
        <w:rPr>
          <w:sz w:val="20"/>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08"/>
        <w:gridCol w:w="3840"/>
        <w:gridCol w:w="1440"/>
        <w:gridCol w:w="1560"/>
        <w:gridCol w:w="4800"/>
      </w:tblGrid>
      <w:tr w:rsidR="00CC41DF">
        <w:tblPrEx>
          <w:tblCellMar>
            <w:top w:w="0" w:type="dxa"/>
            <w:bottom w:w="0" w:type="dxa"/>
          </w:tblCellMar>
        </w:tblPrEx>
        <w:trPr>
          <w:cantSplit/>
        </w:trPr>
        <w:tc>
          <w:tcPr>
            <w:tcW w:w="14148" w:type="dxa"/>
            <w:gridSpan w:val="5"/>
          </w:tcPr>
          <w:p w:rsidR="00CC41DF" w:rsidRDefault="00CC41DF">
            <w:pPr>
              <w:rPr>
                <w:sz w:val="20"/>
              </w:rPr>
            </w:pPr>
            <w:r>
              <w:rPr>
                <w:sz w:val="20"/>
              </w:rPr>
              <w:t>Name of Agency: :  Iowa Public Employees’ Retirement System</w:t>
            </w:r>
          </w:p>
        </w:tc>
      </w:tr>
      <w:tr w:rsidR="00CC41DF">
        <w:tblPrEx>
          <w:tblCellMar>
            <w:top w:w="0" w:type="dxa"/>
            <w:bottom w:w="0" w:type="dxa"/>
          </w:tblCellMar>
        </w:tblPrEx>
        <w:trPr>
          <w:cantSplit/>
        </w:trPr>
        <w:tc>
          <w:tcPr>
            <w:tcW w:w="14148" w:type="dxa"/>
            <w:gridSpan w:val="5"/>
          </w:tcPr>
          <w:p w:rsidR="00CC41DF" w:rsidRDefault="00CC41DF">
            <w:pPr>
              <w:rPr>
                <w:sz w:val="20"/>
              </w:rPr>
            </w:pPr>
          </w:p>
        </w:tc>
      </w:tr>
      <w:tr w:rsidR="00CC41DF">
        <w:tblPrEx>
          <w:tblCellMar>
            <w:top w:w="0" w:type="dxa"/>
            <w:bottom w:w="0" w:type="dxa"/>
          </w:tblCellMar>
        </w:tblPrEx>
        <w:trPr>
          <w:cantSplit/>
        </w:trPr>
        <w:tc>
          <w:tcPr>
            <w:tcW w:w="14148" w:type="dxa"/>
            <w:gridSpan w:val="5"/>
          </w:tcPr>
          <w:p w:rsidR="00CC41DF" w:rsidRDefault="00CC41DF">
            <w:pPr>
              <w:pStyle w:val="BodyText"/>
              <w:ind w:left="720"/>
              <w:rPr>
                <w:rFonts w:ascii="Times New Roman" w:hAnsi="Times New Roman"/>
              </w:rPr>
            </w:pPr>
            <w:r>
              <w:rPr>
                <w:rFonts w:ascii="Times New Roman" w:hAnsi="Times New Roman"/>
              </w:rPr>
              <w:t>Agency Mission/Core Purpose:  To provide cost-effective and sufficient core retirement benefits and services exclusively to members and beneficiaries for their care in retirement, to reduce personnel turnover and to attract competent men and women to public service in the State of Iowa.</w:t>
            </w:r>
          </w:p>
          <w:p w:rsidR="00CC41DF" w:rsidRDefault="00CC41DF"/>
        </w:tc>
      </w:tr>
      <w:tr w:rsidR="00CC41DF">
        <w:tblPrEx>
          <w:tblCellMar>
            <w:top w:w="0" w:type="dxa"/>
            <w:bottom w:w="0" w:type="dxa"/>
          </w:tblCellMar>
        </w:tblPrEx>
        <w:trPr>
          <w:cantSplit/>
        </w:trPr>
        <w:tc>
          <w:tcPr>
            <w:tcW w:w="14148" w:type="dxa"/>
            <w:gridSpan w:val="5"/>
            <w:tcBorders>
              <w:bottom w:val="single" w:sz="4" w:space="0" w:color="auto"/>
            </w:tcBorders>
          </w:tcPr>
          <w:p w:rsidR="00CC41DF" w:rsidRDefault="00CC41DF">
            <w:pPr>
              <w:rPr>
                <w:sz w:val="20"/>
              </w:rPr>
            </w:pPr>
          </w:p>
        </w:tc>
      </w:tr>
      <w:tr w:rsidR="00CC41DF">
        <w:tblPrEx>
          <w:tblCellMar>
            <w:top w:w="0" w:type="dxa"/>
            <w:bottom w:w="0" w:type="dxa"/>
          </w:tblCellMar>
        </w:tblPrEx>
        <w:tc>
          <w:tcPr>
            <w:tcW w:w="2508" w:type="dxa"/>
            <w:shd w:val="pct20" w:color="auto" w:fill="auto"/>
          </w:tcPr>
          <w:p w:rsidR="00CC41DF" w:rsidRDefault="00CC41DF">
            <w:pPr>
              <w:jc w:val="center"/>
              <w:rPr>
                <w:b/>
                <w:bCs/>
              </w:rPr>
            </w:pPr>
            <w:r>
              <w:rPr>
                <w:b/>
                <w:bCs/>
              </w:rPr>
              <w:t>Core Function</w:t>
            </w:r>
          </w:p>
        </w:tc>
        <w:tc>
          <w:tcPr>
            <w:tcW w:w="3840" w:type="dxa"/>
            <w:shd w:val="pct20" w:color="auto" w:fill="auto"/>
          </w:tcPr>
          <w:p w:rsidR="00CC41DF" w:rsidRDefault="00CC41DF">
            <w:pPr>
              <w:jc w:val="center"/>
              <w:rPr>
                <w:b/>
                <w:bCs/>
              </w:rPr>
            </w:pPr>
            <w:r>
              <w:rPr>
                <w:b/>
                <w:bCs/>
              </w:rPr>
              <w:t>Outcome Measure(s)</w:t>
            </w:r>
          </w:p>
        </w:tc>
        <w:tc>
          <w:tcPr>
            <w:tcW w:w="1440" w:type="dxa"/>
            <w:shd w:val="pct20" w:color="auto" w:fill="auto"/>
          </w:tcPr>
          <w:p w:rsidR="00CC41DF" w:rsidRDefault="00CC41DF">
            <w:pPr>
              <w:jc w:val="center"/>
              <w:rPr>
                <w:b/>
                <w:bCs/>
              </w:rPr>
            </w:pPr>
            <w:r>
              <w:rPr>
                <w:b/>
                <w:bCs/>
              </w:rPr>
              <w:t>Data Reported/</w:t>
            </w:r>
          </w:p>
          <w:p w:rsidR="00CC41DF" w:rsidRDefault="00CC41DF">
            <w:pPr>
              <w:jc w:val="center"/>
              <w:rPr>
                <w:b/>
                <w:bCs/>
              </w:rPr>
            </w:pPr>
            <w:r>
              <w:rPr>
                <w:b/>
                <w:bCs/>
              </w:rPr>
              <w:t>Results</w:t>
            </w:r>
          </w:p>
        </w:tc>
        <w:tc>
          <w:tcPr>
            <w:tcW w:w="1560" w:type="dxa"/>
            <w:shd w:val="pct20" w:color="auto" w:fill="auto"/>
          </w:tcPr>
          <w:p w:rsidR="00CC41DF" w:rsidRDefault="00CC41DF">
            <w:pPr>
              <w:jc w:val="center"/>
              <w:rPr>
                <w:b/>
                <w:bCs/>
              </w:rPr>
            </w:pPr>
            <w:r>
              <w:rPr>
                <w:b/>
                <w:bCs/>
              </w:rPr>
              <w:t xml:space="preserve">Data Source </w:t>
            </w:r>
          </w:p>
        </w:tc>
        <w:tc>
          <w:tcPr>
            <w:tcW w:w="4800" w:type="dxa"/>
            <w:shd w:val="pct20" w:color="auto" w:fill="auto"/>
          </w:tcPr>
          <w:p w:rsidR="00CC41DF" w:rsidRDefault="00CC41DF">
            <w:pPr>
              <w:rPr>
                <w:b/>
                <w:bCs/>
              </w:rPr>
            </w:pPr>
            <w:r>
              <w:rPr>
                <w:b/>
                <w:bCs/>
              </w:rPr>
              <w:t xml:space="preserve">            1.   Purpose of Measure(s)</w:t>
            </w:r>
          </w:p>
          <w:p w:rsidR="00CC41DF" w:rsidRDefault="00CC41DF">
            <w:pPr>
              <w:jc w:val="center"/>
              <w:rPr>
                <w:b/>
                <w:bCs/>
              </w:rPr>
            </w:pPr>
            <w:r>
              <w:rPr>
                <w:b/>
                <w:bCs/>
              </w:rPr>
              <w:t>2.  Significance of Results</w:t>
            </w:r>
          </w:p>
          <w:p w:rsidR="00CC41DF" w:rsidRDefault="00CC41DF">
            <w:pPr>
              <w:jc w:val="center"/>
              <w:rPr>
                <w:b/>
                <w:bCs/>
              </w:rPr>
            </w:pPr>
            <w:r>
              <w:rPr>
                <w:b/>
                <w:bCs/>
              </w:rPr>
              <w:t>3.  Usefulness of Measure</w:t>
            </w:r>
          </w:p>
        </w:tc>
      </w:tr>
      <w:tr w:rsidR="00CC41DF">
        <w:tblPrEx>
          <w:tblCellMar>
            <w:top w:w="0" w:type="dxa"/>
            <w:bottom w:w="0" w:type="dxa"/>
          </w:tblCellMar>
        </w:tblPrEx>
        <w:tc>
          <w:tcPr>
            <w:tcW w:w="2508" w:type="dxa"/>
          </w:tcPr>
          <w:p w:rsidR="00CC41DF" w:rsidRDefault="00CC41DF">
            <w:pPr>
              <w:rPr>
                <w:rFonts w:cs="Arial"/>
                <w:sz w:val="20"/>
              </w:rPr>
            </w:pPr>
            <w:r>
              <w:rPr>
                <w:rFonts w:cs="Arial"/>
                <w:sz w:val="20"/>
              </w:rPr>
              <w:t>CF:  Resource Management</w:t>
            </w:r>
          </w:p>
        </w:tc>
        <w:tc>
          <w:tcPr>
            <w:tcW w:w="3840" w:type="dxa"/>
          </w:tcPr>
          <w:p w:rsidR="00CC41DF" w:rsidRDefault="00CC41DF">
            <w:pPr>
              <w:rPr>
                <w:rFonts w:cs="Arial"/>
                <w:sz w:val="20"/>
              </w:rPr>
            </w:pPr>
            <w:r>
              <w:rPr>
                <w:rFonts w:cs="Arial"/>
                <w:sz w:val="20"/>
              </w:rPr>
              <w:t>553_67</w:t>
            </w:r>
          </w:p>
        </w:tc>
        <w:tc>
          <w:tcPr>
            <w:tcW w:w="1440" w:type="dxa"/>
          </w:tcPr>
          <w:p w:rsidR="00CC41DF" w:rsidRDefault="00CC41DF">
            <w:pPr>
              <w:rPr>
                <w:rFonts w:cs="Arial"/>
                <w:sz w:val="20"/>
              </w:rPr>
            </w:pPr>
          </w:p>
        </w:tc>
        <w:tc>
          <w:tcPr>
            <w:tcW w:w="1560" w:type="dxa"/>
          </w:tcPr>
          <w:p w:rsidR="00CC41DF" w:rsidRDefault="00CC41DF">
            <w:pPr>
              <w:rPr>
                <w:rFonts w:cs="Arial"/>
                <w:sz w:val="20"/>
              </w:rPr>
            </w:pPr>
          </w:p>
        </w:tc>
        <w:tc>
          <w:tcPr>
            <w:tcW w:w="4800" w:type="dxa"/>
          </w:tcPr>
          <w:p w:rsidR="00CC41DF" w:rsidRDefault="00CC41DF">
            <w:pPr>
              <w:rPr>
                <w:rFonts w:cs="Arial"/>
                <w:sz w:val="20"/>
              </w:rPr>
            </w:pPr>
          </w:p>
        </w:tc>
      </w:tr>
      <w:tr w:rsidR="00CC41DF">
        <w:tblPrEx>
          <w:tblCellMar>
            <w:top w:w="0" w:type="dxa"/>
            <w:bottom w:w="0" w:type="dxa"/>
          </w:tblCellMar>
        </w:tblPrEx>
        <w:tc>
          <w:tcPr>
            <w:tcW w:w="2508" w:type="dxa"/>
          </w:tcPr>
          <w:p w:rsidR="00CC41DF" w:rsidRDefault="00CC41DF">
            <w:pPr>
              <w:rPr>
                <w:rFonts w:cs="Arial"/>
                <w:sz w:val="20"/>
              </w:rPr>
            </w:pPr>
          </w:p>
        </w:tc>
        <w:tc>
          <w:tcPr>
            <w:tcW w:w="3840" w:type="dxa"/>
          </w:tcPr>
          <w:p w:rsidR="00CC41DF" w:rsidRDefault="00CC41DF">
            <w:pPr>
              <w:rPr>
                <w:rFonts w:cs="Arial"/>
                <w:sz w:val="20"/>
              </w:rPr>
            </w:pPr>
          </w:p>
        </w:tc>
        <w:tc>
          <w:tcPr>
            <w:tcW w:w="1440" w:type="dxa"/>
          </w:tcPr>
          <w:p w:rsidR="00CC41DF" w:rsidRDefault="00CC41DF">
            <w:pPr>
              <w:rPr>
                <w:rFonts w:cs="Arial"/>
                <w:sz w:val="20"/>
              </w:rPr>
            </w:pPr>
          </w:p>
        </w:tc>
        <w:tc>
          <w:tcPr>
            <w:tcW w:w="1560" w:type="dxa"/>
          </w:tcPr>
          <w:p w:rsidR="00CC41DF" w:rsidRDefault="00CC41DF">
            <w:pPr>
              <w:rPr>
                <w:rFonts w:cs="Arial"/>
                <w:sz w:val="20"/>
              </w:rPr>
            </w:pPr>
          </w:p>
        </w:tc>
        <w:tc>
          <w:tcPr>
            <w:tcW w:w="4800" w:type="dxa"/>
          </w:tcPr>
          <w:p w:rsidR="00CC41DF" w:rsidRDefault="00CC41DF">
            <w:pPr>
              <w:rPr>
                <w:rFonts w:cs="Arial"/>
                <w:sz w:val="20"/>
              </w:rPr>
            </w:pPr>
          </w:p>
        </w:tc>
      </w:tr>
      <w:tr w:rsidR="00CC41DF">
        <w:tblPrEx>
          <w:tblCellMar>
            <w:top w:w="0" w:type="dxa"/>
            <w:bottom w:w="0" w:type="dxa"/>
          </w:tblCellMar>
        </w:tblPrEx>
        <w:tc>
          <w:tcPr>
            <w:tcW w:w="2508" w:type="dxa"/>
          </w:tcPr>
          <w:p w:rsidR="00CC41DF" w:rsidRDefault="00CC41DF">
            <w:pPr>
              <w:rPr>
                <w:rFonts w:cs="Arial"/>
                <w:sz w:val="20"/>
              </w:rPr>
            </w:pPr>
            <w:r>
              <w:rPr>
                <w:rFonts w:cs="Arial"/>
                <w:sz w:val="20"/>
              </w:rPr>
              <w:t xml:space="preserve">Desired Outcome(s):  </w:t>
            </w:r>
          </w:p>
        </w:tc>
        <w:tc>
          <w:tcPr>
            <w:tcW w:w="3840" w:type="dxa"/>
          </w:tcPr>
          <w:p w:rsidR="00CC41DF" w:rsidRDefault="00CC41DF">
            <w:pPr>
              <w:rPr>
                <w:rFonts w:cs="Arial"/>
                <w:sz w:val="20"/>
              </w:rPr>
            </w:pPr>
          </w:p>
        </w:tc>
        <w:tc>
          <w:tcPr>
            <w:tcW w:w="1440" w:type="dxa"/>
          </w:tcPr>
          <w:p w:rsidR="00CC41DF" w:rsidRDefault="00CC41DF">
            <w:pPr>
              <w:rPr>
                <w:rFonts w:cs="Arial"/>
                <w:sz w:val="20"/>
              </w:rPr>
            </w:pPr>
          </w:p>
        </w:tc>
        <w:tc>
          <w:tcPr>
            <w:tcW w:w="1560" w:type="dxa"/>
          </w:tcPr>
          <w:p w:rsidR="00CC41DF" w:rsidRDefault="00CC41DF">
            <w:pPr>
              <w:rPr>
                <w:rFonts w:cs="Arial"/>
                <w:sz w:val="20"/>
              </w:rPr>
            </w:pPr>
          </w:p>
        </w:tc>
        <w:tc>
          <w:tcPr>
            <w:tcW w:w="4800" w:type="dxa"/>
          </w:tcPr>
          <w:p w:rsidR="00CC41DF" w:rsidRDefault="00CC41DF">
            <w:pPr>
              <w:rPr>
                <w:rFonts w:cs="Arial"/>
                <w:sz w:val="20"/>
              </w:rPr>
            </w:pPr>
          </w:p>
        </w:tc>
      </w:tr>
      <w:tr w:rsidR="00CC41DF">
        <w:tblPrEx>
          <w:tblCellMar>
            <w:top w:w="0" w:type="dxa"/>
            <w:bottom w:w="0" w:type="dxa"/>
          </w:tblCellMar>
        </w:tblPrEx>
        <w:tc>
          <w:tcPr>
            <w:tcW w:w="2508" w:type="dxa"/>
          </w:tcPr>
          <w:p w:rsidR="00CC41DF" w:rsidRDefault="00CC41DF">
            <w:pPr>
              <w:rPr>
                <w:rFonts w:cs="Arial"/>
                <w:sz w:val="20"/>
              </w:rPr>
            </w:pPr>
            <w:r>
              <w:rPr>
                <w:rFonts w:cs="Arial"/>
                <w:noProof/>
                <w:sz w:val="20"/>
              </w:rPr>
              <w:pict>
                <v:shape id="_x0000_s1036" type="#_x0000_t202" style="position:absolute;margin-left:-42pt;margin-top:41.4pt;width:30pt;height:27pt;z-index:251661312;mso-position-horizontal-relative:text;mso-position-vertical-relative:text" stroked="f">
                  <v:textbox style="layout-flow:vertical;mso-next-textbox:#_x0000_s1036">
                    <w:txbxContent>
                      <w:p w:rsidR="00CC41DF" w:rsidRDefault="00CC41DF">
                        <w:r>
                          <w:t>18</w:t>
                        </w:r>
                      </w:p>
                    </w:txbxContent>
                  </v:textbox>
                </v:shape>
              </w:pict>
            </w:r>
            <w:r>
              <w:rPr>
                <w:rFonts w:cs="Arial"/>
                <w:sz w:val="20"/>
              </w:rPr>
              <w:t xml:space="preserve">1.  To ensure IPERS’ operational effectiveness and fiscal stability. </w:t>
            </w:r>
          </w:p>
        </w:tc>
        <w:tc>
          <w:tcPr>
            <w:tcW w:w="3840" w:type="dxa"/>
          </w:tcPr>
          <w:p w:rsidR="00CC41DF" w:rsidRDefault="00CC41DF">
            <w:pPr>
              <w:numPr>
                <w:ilvl w:val="0"/>
                <w:numId w:val="39"/>
              </w:numPr>
              <w:rPr>
                <w:rFonts w:cs="Arial"/>
                <w:sz w:val="20"/>
              </w:rPr>
            </w:pPr>
            <w:r>
              <w:rPr>
                <w:rFonts w:cs="Arial"/>
                <w:sz w:val="20"/>
              </w:rPr>
              <w:t>% of transactions completed accurately and timely</w:t>
            </w:r>
          </w:p>
          <w:p w:rsidR="00CC41DF" w:rsidRDefault="00CC41DF">
            <w:pPr>
              <w:numPr>
                <w:ilvl w:val="0"/>
                <w:numId w:val="41"/>
              </w:numPr>
              <w:rPr>
                <w:rFonts w:cs="Arial"/>
                <w:sz w:val="20"/>
              </w:rPr>
            </w:pPr>
            <w:r>
              <w:rPr>
                <w:rFonts w:cs="Arial"/>
                <w:sz w:val="20"/>
              </w:rPr>
              <w:t>553_67_001</w:t>
            </w:r>
          </w:p>
          <w:p w:rsidR="00CC41DF" w:rsidRDefault="00CC41DF">
            <w:pPr>
              <w:numPr>
                <w:ilvl w:val="0"/>
                <w:numId w:val="41"/>
              </w:numPr>
              <w:rPr>
                <w:rFonts w:cs="Arial"/>
                <w:sz w:val="20"/>
              </w:rPr>
            </w:pPr>
            <w:r>
              <w:rPr>
                <w:rFonts w:cs="Arial"/>
                <w:sz w:val="20"/>
              </w:rPr>
              <w:t xml:space="preserve">% of post-audit expenditures in compliance with state laws and </w:t>
            </w:r>
          </w:p>
          <w:p w:rsidR="00CC41DF" w:rsidRDefault="00CC41DF">
            <w:pPr>
              <w:ind w:left="360"/>
              <w:rPr>
                <w:rFonts w:cs="Arial"/>
                <w:sz w:val="20"/>
              </w:rPr>
            </w:pPr>
            <w:r>
              <w:rPr>
                <w:rFonts w:cs="Arial"/>
                <w:sz w:val="20"/>
              </w:rPr>
              <w:t>regulations.</w:t>
            </w:r>
          </w:p>
          <w:p w:rsidR="00CC41DF" w:rsidRDefault="00CC41DF">
            <w:pPr>
              <w:numPr>
                <w:ilvl w:val="0"/>
                <w:numId w:val="43"/>
              </w:numPr>
              <w:rPr>
                <w:rFonts w:cs="Arial"/>
                <w:sz w:val="20"/>
              </w:rPr>
            </w:pPr>
            <w:r>
              <w:rPr>
                <w:rFonts w:cs="Arial"/>
                <w:sz w:val="20"/>
              </w:rPr>
              <w:t>553_67_002</w:t>
            </w:r>
          </w:p>
        </w:tc>
        <w:tc>
          <w:tcPr>
            <w:tcW w:w="1440" w:type="dxa"/>
          </w:tcPr>
          <w:p w:rsidR="00CC41DF" w:rsidRDefault="00CC41DF">
            <w:pPr>
              <w:jc w:val="center"/>
              <w:rPr>
                <w:rFonts w:cs="Arial"/>
                <w:sz w:val="20"/>
              </w:rPr>
            </w:pPr>
            <w:r>
              <w:rPr>
                <w:rFonts w:cs="Arial"/>
                <w:sz w:val="20"/>
              </w:rPr>
              <w:t>100</w:t>
            </w:r>
          </w:p>
          <w:p w:rsidR="00CC41DF" w:rsidRDefault="00CC41DF">
            <w:pPr>
              <w:jc w:val="center"/>
              <w:rPr>
                <w:rFonts w:cs="Arial"/>
                <w:sz w:val="20"/>
              </w:rPr>
            </w:pPr>
          </w:p>
          <w:p w:rsidR="00CC41DF" w:rsidRDefault="00CC41DF">
            <w:pPr>
              <w:jc w:val="center"/>
              <w:rPr>
                <w:rFonts w:cs="Arial"/>
                <w:sz w:val="20"/>
              </w:rPr>
            </w:pPr>
          </w:p>
          <w:p w:rsidR="00CC41DF" w:rsidRDefault="00CC41DF">
            <w:pPr>
              <w:jc w:val="center"/>
              <w:rPr>
                <w:rFonts w:cs="Arial"/>
                <w:sz w:val="20"/>
              </w:rPr>
            </w:pPr>
          </w:p>
          <w:p w:rsidR="00CC41DF" w:rsidRDefault="00CC41DF">
            <w:pPr>
              <w:jc w:val="center"/>
              <w:rPr>
                <w:rFonts w:cs="Arial"/>
                <w:sz w:val="20"/>
              </w:rPr>
            </w:pPr>
            <w:r>
              <w:rPr>
                <w:rFonts w:cs="Arial"/>
                <w:sz w:val="20"/>
              </w:rPr>
              <w:t>100</w:t>
            </w:r>
          </w:p>
        </w:tc>
        <w:tc>
          <w:tcPr>
            <w:tcW w:w="1560" w:type="dxa"/>
          </w:tcPr>
          <w:p w:rsidR="00CC41DF" w:rsidRDefault="00CC41DF">
            <w:pPr>
              <w:rPr>
                <w:rFonts w:cs="Arial"/>
                <w:sz w:val="20"/>
              </w:rPr>
            </w:pPr>
            <w:r>
              <w:rPr>
                <w:rFonts w:cs="Arial"/>
                <w:sz w:val="20"/>
              </w:rPr>
              <w:t>IPERS Accounting Exception Data</w:t>
            </w:r>
          </w:p>
        </w:tc>
        <w:tc>
          <w:tcPr>
            <w:tcW w:w="4800" w:type="dxa"/>
          </w:tcPr>
          <w:p w:rsidR="00CC41DF" w:rsidRDefault="00CC41DF">
            <w:pPr>
              <w:rPr>
                <w:rFonts w:cs="Arial"/>
                <w:sz w:val="20"/>
              </w:rPr>
            </w:pPr>
            <w:r>
              <w:rPr>
                <w:rFonts w:cs="Arial"/>
                <w:sz w:val="20"/>
              </w:rPr>
              <w:t>1.  See Desired Outcome 1</w:t>
            </w:r>
          </w:p>
          <w:p w:rsidR="00CC41DF" w:rsidRDefault="00CC41DF">
            <w:pPr>
              <w:rPr>
                <w:rFonts w:cs="Arial"/>
                <w:sz w:val="20"/>
              </w:rPr>
            </w:pPr>
            <w:r>
              <w:rPr>
                <w:rFonts w:cs="Arial"/>
                <w:sz w:val="20"/>
              </w:rPr>
              <w:t>2.  High level of accuracy and compliance.</w:t>
            </w:r>
          </w:p>
          <w:p w:rsidR="00CC41DF" w:rsidRDefault="00CC41DF">
            <w:pPr>
              <w:rPr>
                <w:rFonts w:cs="Arial"/>
                <w:sz w:val="20"/>
              </w:rPr>
            </w:pPr>
            <w:r>
              <w:rPr>
                <w:rFonts w:cs="Arial"/>
                <w:sz w:val="20"/>
              </w:rPr>
              <w:t>3.  Meaningful focus.  Retained in the FY 2005 Performance Plan.</w:t>
            </w:r>
          </w:p>
        </w:tc>
      </w:tr>
      <w:tr w:rsidR="00CC41DF">
        <w:tblPrEx>
          <w:tblCellMar>
            <w:top w:w="0" w:type="dxa"/>
            <w:bottom w:w="0" w:type="dxa"/>
          </w:tblCellMar>
        </w:tblPrEx>
        <w:tc>
          <w:tcPr>
            <w:tcW w:w="2508" w:type="dxa"/>
          </w:tcPr>
          <w:p w:rsidR="00CC41DF" w:rsidRDefault="00CC41DF">
            <w:pPr>
              <w:rPr>
                <w:rFonts w:cs="Arial"/>
                <w:sz w:val="20"/>
              </w:rPr>
            </w:pPr>
            <w:r>
              <w:rPr>
                <w:rFonts w:cs="Arial"/>
                <w:sz w:val="20"/>
              </w:rPr>
              <w:t>2.  To provide timely and accurate support and business services to management, staff, and other stakeholders.</w:t>
            </w:r>
          </w:p>
        </w:tc>
        <w:tc>
          <w:tcPr>
            <w:tcW w:w="3840" w:type="dxa"/>
          </w:tcPr>
          <w:p w:rsidR="00CC41DF" w:rsidRDefault="00CC41DF">
            <w:pPr>
              <w:rPr>
                <w:rFonts w:cs="Arial"/>
                <w:sz w:val="20"/>
              </w:rPr>
            </w:pPr>
            <w:r>
              <w:rPr>
                <w:rFonts w:cs="Arial"/>
                <w:sz w:val="20"/>
              </w:rPr>
              <w:t>% of staff who are “very satisfied” with support and business services on survey.</w:t>
            </w:r>
          </w:p>
          <w:p w:rsidR="00CC41DF" w:rsidRDefault="00CC41DF">
            <w:pPr>
              <w:numPr>
                <w:ilvl w:val="0"/>
                <w:numId w:val="43"/>
              </w:numPr>
              <w:rPr>
                <w:rFonts w:cs="Arial"/>
                <w:sz w:val="20"/>
              </w:rPr>
            </w:pPr>
            <w:r>
              <w:rPr>
                <w:rFonts w:cs="Arial"/>
                <w:sz w:val="20"/>
              </w:rPr>
              <w:t>553_67_003</w:t>
            </w:r>
          </w:p>
        </w:tc>
        <w:tc>
          <w:tcPr>
            <w:tcW w:w="1440" w:type="dxa"/>
          </w:tcPr>
          <w:p w:rsidR="00CC41DF" w:rsidRDefault="00CC41DF">
            <w:pPr>
              <w:rPr>
                <w:rFonts w:cs="Arial"/>
                <w:sz w:val="20"/>
              </w:rPr>
            </w:pPr>
            <w:r>
              <w:rPr>
                <w:rFonts w:cs="Arial"/>
                <w:sz w:val="20"/>
              </w:rPr>
              <w:t>21.5 - Very Satisfied</w:t>
            </w:r>
          </w:p>
          <w:p w:rsidR="00CC41DF" w:rsidRDefault="00CC41DF">
            <w:pPr>
              <w:rPr>
                <w:rFonts w:cs="Arial"/>
                <w:sz w:val="20"/>
              </w:rPr>
            </w:pPr>
            <w:r>
              <w:rPr>
                <w:rFonts w:cs="Arial"/>
                <w:sz w:val="20"/>
              </w:rPr>
              <w:t>50.8 - Satisfied</w:t>
            </w:r>
          </w:p>
        </w:tc>
        <w:tc>
          <w:tcPr>
            <w:tcW w:w="1560" w:type="dxa"/>
          </w:tcPr>
          <w:p w:rsidR="00CC41DF" w:rsidRDefault="00CC41DF">
            <w:pPr>
              <w:rPr>
                <w:rFonts w:cs="Arial"/>
                <w:sz w:val="20"/>
              </w:rPr>
            </w:pPr>
            <w:r>
              <w:rPr>
                <w:rFonts w:cs="Arial"/>
                <w:sz w:val="20"/>
              </w:rPr>
              <w:t>Employee Survey</w:t>
            </w:r>
          </w:p>
        </w:tc>
        <w:tc>
          <w:tcPr>
            <w:tcW w:w="4800" w:type="dxa"/>
          </w:tcPr>
          <w:p w:rsidR="00CC41DF" w:rsidRDefault="00CC41DF">
            <w:pPr>
              <w:pStyle w:val="BodyTextIndent"/>
              <w:ind w:left="0" w:firstLine="0"/>
              <w:jc w:val="left"/>
              <w:rPr>
                <w:rFonts w:cs="Arial"/>
                <w:sz w:val="20"/>
              </w:rPr>
            </w:pPr>
            <w:r>
              <w:rPr>
                <w:rFonts w:cs="Arial"/>
                <w:sz w:val="20"/>
              </w:rPr>
              <w:t>1.  To determine staff satisfaction with services from the Operations Unit.</w:t>
            </w:r>
          </w:p>
          <w:p w:rsidR="00CC41DF" w:rsidRDefault="00CC41DF">
            <w:pPr>
              <w:pStyle w:val="BodyTextIndent"/>
              <w:ind w:left="0" w:firstLine="0"/>
              <w:jc w:val="left"/>
              <w:rPr>
                <w:rFonts w:cs="Arial"/>
                <w:sz w:val="20"/>
              </w:rPr>
            </w:pPr>
            <w:r>
              <w:rPr>
                <w:rFonts w:cs="Arial"/>
                <w:sz w:val="20"/>
              </w:rPr>
              <w:t>2.  Varies by type of service. The percent “very satisfied” or “satisfied” sets the baseline.</w:t>
            </w:r>
          </w:p>
          <w:p w:rsidR="00CC41DF" w:rsidRDefault="00CC41DF">
            <w:pPr>
              <w:pStyle w:val="BodyTextIndent"/>
              <w:ind w:left="0" w:firstLine="0"/>
              <w:jc w:val="left"/>
              <w:rPr>
                <w:rFonts w:cs="Arial"/>
                <w:sz w:val="20"/>
              </w:rPr>
            </w:pPr>
            <w:r>
              <w:rPr>
                <w:rFonts w:cs="Arial"/>
                <w:sz w:val="20"/>
              </w:rPr>
              <w:t>3.  Survey will be repeated in FY 2005 to determine level of improvement.</w:t>
            </w:r>
          </w:p>
        </w:tc>
      </w:tr>
      <w:tr w:rsidR="00CC41DF">
        <w:tblPrEx>
          <w:tblCellMar>
            <w:top w:w="0" w:type="dxa"/>
            <w:bottom w:w="0" w:type="dxa"/>
          </w:tblCellMar>
        </w:tblPrEx>
        <w:tc>
          <w:tcPr>
            <w:tcW w:w="2508" w:type="dxa"/>
            <w:shd w:val="pct20" w:color="auto" w:fill="auto"/>
          </w:tcPr>
          <w:p w:rsidR="00CC41DF" w:rsidRDefault="00CC41DF">
            <w:pPr>
              <w:jc w:val="center"/>
              <w:rPr>
                <w:rFonts w:cs="Arial"/>
                <w:b/>
                <w:bCs/>
              </w:rPr>
            </w:pPr>
            <w:r>
              <w:rPr>
                <w:rFonts w:cs="Arial"/>
                <w:b/>
                <w:bCs/>
              </w:rPr>
              <w:t>Activities, Services, Products</w:t>
            </w:r>
          </w:p>
        </w:tc>
        <w:tc>
          <w:tcPr>
            <w:tcW w:w="3840" w:type="dxa"/>
            <w:shd w:val="pct20" w:color="auto" w:fill="auto"/>
          </w:tcPr>
          <w:p w:rsidR="00CC41DF" w:rsidRDefault="00CC41DF">
            <w:pPr>
              <w:jc w:val="center"/>
              <w:rPr>
                <w:rFonts w:cs="Arial"/>
                <w:b/>
                <w:bCs/>
              </w:rPr>
            </w:pPr>
            <w:r>
              <w:rPr>
                <w:rFonts w:cs="Arial"/>
                <w:b/>
                <w:bCs/>
              </w:rPr>
              <w:t>Performance Measures</w:t>
            </w:r>
          </w:p>
        </w:tc>
        <w:tc>
          <w:tcPr>
            <w:tcW w:w="1440" w:type="dxa"/>
            <w:shd w:val="pct20" w:color="auto" w:fill="auto"/>
          </w:tcPr>
          <w:p w:rsidR="00CC41DF" w:rsidRDefault="00CC41DF">
            <w:pPr>
              <w:jc w:val="center"/>
              <w:rPr>
                <w:rFonts w:cs="Arial"/>
                <w:b/>
                <w:bCs/>
              </w:rPr>
            </w:pPr>
            <w:r>
              <w:rPr>
                <w:rFonts w:cs="Arial"/>
                <w:b/>
                <w:bCs/>
              </w:rPr>
              <w:t>Data</w:t>
            </w:r>
          </w:p>
          <w:p w:rsidR="00CC41DF" w:rsidRDefault="00CC41DF">
            <w:pPr>
              <w:jc w:val="center"/>
              <w:rPr>
                <w:rFonts w:cs="Arial"/>
                <w:b/>
                <w:bCs/>
              </w:rPr>
            </w:pPr>
            <w:r>
              <w:rPr>
                <w:rFonts w:cs="Arial"/>
                <w:b/>
                <w:bCs/>
              </w:rPr>
              <w:t>Reported</w:t>
            </w:r>
          </w:p>
        </w:tc>
        <w:tc>
          <w:tcPr>
            <w:tcW w:w="1560" w:type="dxa"/>
            <w:shd w:val="pct20" w:color="auto" w:fill="auto"/>
          </w:tcPr>
          <w:p w:rsidR="00CC41DF" w:rsidRDefault="00CC41DF">
            <w:pPr>
              <w:jc w:val="center"/>
              <w:rPr>
                <w:b/>
                <w:bCs/>
              </w:rPr>
            </w:pPr>
            <w:r>
              <w:rPr>
                <w:b/>
                <w:bCs/>
              </w:rPr>
              <w:t>Data Source and</w:t>
            </w:r>
          </w:p>
          <w:p w:rsidR="00CC41DF" w:rsidRDefault="00CC41DF">
            <w:pPr>
              <w:jc w:val="center"/>
              <w:rPr>
                <w:rFonts w:cs="Arial"/>
                <w:b/>
                <w:bCs/>
              </w:rPr>
            </w:pPr>
            <w:r>
              <w:rPr>
                <w:b/>
                <w:bCs/>
              </w:rPr>
              <w:t>Resources</w:t>
            </w:r>
          </w:p>
        </w:tc>
        <w:tc>
          <w:tcPr>
            <w:tcW w:w="4800" w:type="dxa"/>
            <w:shd w:val="pct20" w:color="auto" w:fill="auto"/>
          </w:tcPr>
          <w:p w:rsidR="00CC41DF" w:rsidRDefault="00CC41DF">
            <w:pPr>
              <w:jc w:val="center"/>
              <w:rPr>
                <w:b/>
                <w:bCs/>
              </w:rPr>
            </w:pPr>
            <w:r>
              <w:rPr>
                <w:b/>
                <w:bCs/>
              </w:rPr>
              <w:t>1.   Purpose of Measure(s)</w:t>
            </w:r>
          </w:p>
          <w:p w:rsidR="00CC41DF" w:rsidRDefault="00CC41DF">
            <w:pPr>
              <w:jc w:val="center"/>
              <w:rPr>
                <w:b/>
                <w:bCs/>
              </w:rPr>
            </w:pPr>
            <w:r>
              <w:rPr>
                <w:b/>
                <w:bCs/>
              </w:rPr>
              <w:t>2.  Significance of Results</w:t>
            </w:r>
          </w:p>
          <w:p w:rsidR="00CC41DF" w:rsidRDefault="00CC41DF">
            <w:pPr>
              <w:pStyle w:val="Heading2"/>
              <w:rPr>
                <w:rFonts w:cs="Arial"/>
                <w:b/>
                <w:bCs/>
                <w:sz w:val="24"/>
              </w:rPr>
            </w:pPr>
            <w:r>
              <w:rPr>
                <w:b/>
                <w:bCs/>
                <w:sz w:val="24"/>
              </w:rPr>
              <w:t xml:space="preserve">            3.  Usefulness of Measure</w:t>
            </w:r>
          </w:p>
        </w:tc>
      </w:tr>
      <w:tr w:rsidR="00CC41DF">
        <w:tblPrEx>
          <w:tblCellMar>
            <w:top w:w="0" w:type="dxa"/>
            <w:bottom w:w="0" w:type="dxa"/>
          </w:tblCellMar>
        </w:tblPrEx>
        <w:tc>
          <w:tcPr>
            <w:tcW w:w="2508" w:type="dxa"/>
          </w:tcPr>
          <w:p w:rsidR="00CC41DF" w:rsidRDefault="00CC41DF">
            <w:pPr>
              <w:tabs>
                <w:tab w:val="left" w:pos="240"/>
              </w:tabs>
              <w:rPr>
                <w:rFonts w:cs="Arial"/>
                <w:sz w:val="20"/>
              </w:rPr>
            </w:pPr>
            <w:r>
              <w:rPr>
                <w:rFonts w:cs="Arial"/>
                <w:sz w:val="20"/>
              </w:rPr>
              <w:t>1.  Budget Development</w:t>
            </w:r>
          </w:p>
          <w:p w:rsidR="00CC41DF" w:rsidRDefault="00CC41DF">
            <w:pPr>
              <w:numPr>
                <w:ilvl w:val="0"/>
                <w:numId w:val="43"/>
              </w:numPr>
              <w:tabs>
                <w:tab w:val="left" w:pos="240"/>
              </w:tabs>
              <w:rPr>
                <w:rFonts w:cs="Arial"/>
                <w:sz w:val="20"/>
              </w:rPr>
            </w:pPr>
            <w:r>
              <w:rPr>
                <w:rFonts w:cs="Arial"/>
                <w:sz w:val="20"/>
              </w:rPr>
              <w:t>553_67100</w:t>
            </w:r>
          </w:p>
          <w:p w:rsidR="00CC41DF" w:rsidRDefault="00CC41DF">
            <w:pPr>
              <w:tabs>
                <w:tab w:val="left" w:pos="240"/>
              </w:tabs>
              <w:rPr>
                <w:rFonts w:cs="Arial"/>
                <w:sz w:val="20"/>
              </w:rPr>
            </w:pPr>
            <w:r>
              <w:rPr>
                <w:rFonts w:cs="Arial"/>
                <w:sz w:val="20"/>
              </w:rPr>
              <w:t>Org #:  4110</w:t>
            </w:r>
          </w:p>
        </w:tc>
        <w:tc>
          <w:tcPr>
            <w:tcW w:w="3840" w:type="dxa"/>
          </w:tcPr>
          <w:p w:rsidR="00CC41DF" w:rsidRDefault="00CC41DF">
            <w:pPr>
              <w:rPr>
                <w:rFonts w:cs="Arial"/>
                <w:sz w:val="20"/>
              </w:rPr>
            </w:pPr>
            <w:r>
              <w:rPr>
                <w:rFonts w:cs="Arial"/>
                <w:sz w:val="20"/>
              </w:rPr>
              <w:t>%  of compliance with DOM standards on monetary resource management.</w:t>
            </w:r>
          </w:p>
          <w:p w:rsidR="00CC41DF" w:rsidRDefault="00CC41DF">
            <w:pPr>
              <w:numPr>
                <w:ilvl w:val="0"/>
                <w:numId w:val="42"/>
              </w:numPr>
              <w:rPr>
                <w:rFonts w:cs="Arial"/>
                <w:sz w:val="20"/>
              </w:rPr>
            </w:pPr>
            <w:r>
              <w:rPr>
                <w:rFonts w:cs="Arial"/>
                <w:sz w:val="20"/>
              </w:rPr>
              <w:t>553_67100_001</w:t>
            </w:r>
          </w:p>
        </w:tc>
        <w:tc>
          <w:tcPr>
            <w:tcW w:w="1440" w:type="dxa"/>
          </w:tcPr>
          <w:p w:rsidR="00CC41DF" w:rsidRDefault="00CC41DF">
            <w:pPr>
              <w:jc w:val="center"/>
              <w:rPr>
                <w:rFonts w:cs="Arial"/>
                <w:sz w:val="20"/>
              </w:rPr>
            </w:pPr>
            <w:r>
              <w:rPr>
                <w:rFonts w:cs="Arial"/>
                <w:sz w:val="20"/>
              </w:rPr>
              <w:t>100</w:t>
            </w:r>
          </w:p>
        </w:tc>
        <w:tc>
          <w:tcPr>
            <w:tcW w:w="1560" w:type="dxa"/>
          </w:tcPr>
          <w:p w:rsidR="00CC41DF" w:rsidRDefault="00CC41DF">
            <w:pPr>
              <w:rPr>
                <w:rFonts w:cs="Arial"/>
                <w:sz w:val="20"/>
              </w:rPr>
            </w:pPr>
            <w:r>
              <w:rPr>
                <w:rFonts w:cs="Arial"/>
                <w:sz w:val="20"/>
              </w:rPr>
              <w:t>Accounting Exception Data</w:t>
            </w:r>
          </w:p>
          <w:p w:rsidR="00CC41DF" w:rsidRDefault="00CC41DF">
            <w:pPr>
              <w:rPr>
                <w:rFonts w:cs="Arial"/>
                <w:sz w:val="20"/>
              </w:rPr>
            </w:pPr>
            <w:r>
              <w:rPr>
                <w:rFonts w:cs="Arial"/>
                <w:sz w:val="20"/>
              </w:rPr>
              <w:t>$72,113-ITF</w:t>
            </w:r>
          </w:p>
        </w:tc>
        <w:tc>
          <w:tcPr>
            <w:tcW w:w="4800" w:type="dxa"/>
          </w:tcPr>
          <w:p w:rsidR="00CC41DF" w:rsidRDefault="00CC41DF">
            <w:pPr>
              <w:rPr>
                <w:rFonts w:cs="Arial"/>
                <w:sz w:val="20"/>
              </w:rPr>
            </w:pPr>
            <w:r>
              <w:rPr>
                <w:rFonts w:cs="Arial"/>
                <w:sz w:val="20"/>
              </w:rPr>
              <w:t>1.  To ensue compliance with standards.</w:t>
            </w:r>
          </w:p>
          <w:p w:rsidR="00CC41DF" w:rsidRDefault="00CC41DF">
            <w:pPr>
              <w:rPr>
                <w:rFonts w:cs="Arial"/>
                <w:sz w:val="20"/>
              </w:rPr>
            </w:pPr>
            <w:r>
              <w:rPr>
                <w:rFonts w:cs="Arial"/>
                <w:sz w:val="20"/>
              </w:rPr>
              <w:t>2.  Good indicator of effective administration</w:t>
            </w:r>
          </w:p>
          <w:p w:rsidR="00CC41DF" w:rsidRDefault="00CC41DF">
            <w:pPr>
              <w:rPr>
                <w:rFonts w:cs="Arial"/>
                <w:sz w:val="20"/>
              </w:rPr>
            </w:pPr>
            <w:r>
              <w:rPr>
                <w:rFonts w:cs="Arial"/>
                <w:sz w:val="20"/>
              </w:rPr>
              <w:t>3.  Measure is retained in FY 05 Performance Plan.</w:t>
            </w:r>
          </w:p>
        </w:tc>
      </w:tr>
      <w:tr w:rsidR="00CC41DF">
        <w:tblPrEx>
          <w:tblCellMar>
            <w:top w:w="0" w:type="dxa"/>
            <w:bottom w:w="0" w:type="dxa"/>
          </w:tblCellMar>
        </w:tblPrEx>
        <w:trPr>
          <w:trHeight w:val="836"/>
        </w:trPr>
        <w:tc>
          <w:tcPr>
            <w:tcW w:w="2508" w:type="dxa"/>
          </w:tcPr>
          <w:p w:rsidR="00CC41DF" w:rsidRDefault="00CC41DF">
            <w:pPr>
              <w:tabs>
                <w:tab w:val="left" w:pos="240"/>
              </w:tabs>
              <w:rPr>
                <w:rFonts w:cs="Arial"/>
                <w:sz w:val="20"/>
              </w:rPr>
            </w:pPr>
            <w:r>
              <w:rPr>
                <w:rFonts w:cs="Arial"/>
                <w:sz w:val="20"/>
              </w:rPr>
              <w:t>2.  Office Services and Property Management</w:t>
            </w:r>
          </w:p>
          <w:p w:rsidR="00CC41DF" w:rsidRDefault="00CC41DF">
            <w:pPr>
              <w:tabs>
                <w:tab w:val="left" w:pos="240"/>
              </w:tabs>
              <w:rPr>
                <w:rFonts w:cs="Arial"/>
                <w:sz w:val="20"/>
              </w:rPr>
            </w:pPr>
            <w:r>
              <w:rPr>
                <w:rFonts w:cs="Arial"/>
                <w:sz w:val="20"/>
              </w:rPr>
              <w:t>Org #:  4110</w:t>
            </w:r>
          </w:p>
          <w:p w:rsidR="00CC41DF" w:rsidRDefault="00CC41DF">
            <w:pPr>
              <w:tabs>
                <w:tab w:val="left" w:pos="240"/>
              </w:tabs>
              <w:rPr>
                <w:rFonts w:cs="Arial"/>
                <w:sz w:val="20"/>
              </w:rPr>
            </w:pPr>
            <w:r>
              <w:rPr>
                <w:rFonts w:cs="Arial"/>
                <w:sz w:val="20"/>
              </w:rPr>
              <w:t>553_67101</w:t>
            </w:r>
          </w:p>
        </w:tc>
        <w:tc>
          <w:tcPr>
            <w:tcW w:w="3840" w:type="dxa"/>
          </w:tcPr>
          <w:p w:rsidR="00CC41DF" w:rsidRDefault="00CC41DF">
            <w:pPr>
              <w:rPr>
                <w:rFonts w:cs="Arial"/>
                <w:sz w:val="20"/>
              </w:rPr>
            </w:pPr>
            <w:r>
              <w:rPr>
                <w:rFonts w:cs="Arial"/>
                <w:sz w:val="20"/>
              </w:rPr>
              <w:t>% of weaknesses discovered in testing of disaster recovery plan</w:t>
            </w:r>
          </w:p>
          <w:p w:rsidR="00CC41DF" w:rsidRDefault="00CC41DF">
            <w:pPr>
              <w:numPr>
                <w:ilvl w:val="0"/>
                <w:numId w:val="42"/>
              </w:numPr>
              <w:rPr>
                <w:rFonts w:cs="Arial"/>
                <w:sz w:val="20"/>
              </w:rPr>
            </w:pPr>
            <w:r>
              <w:rPr>
                <w:rFonts w:cs="Arial"/>
                <w:sz w:val="20"/>
              </w:rPr>
              <w:t>553_67101_001</w:t>
            </w:r>
          </w:p>
        </w:tc>
        <w:tc>
          <w:tcPr>
            <w:tcW w:w="1440" w:type="dxa"/>
          </w:tcPr>
          <w:p w:rsidR="00CC41DF" w:rsidRDefault="00CC41DF">
            <w:pPr>
              <w:pStyle w:val="Header"/>
              <w:tabs>
                <w:tab w:val="clear" w:pos="4320"/>
                <w:tab w:val="clear" w:pos="8640"/>
              </w:tabs>
              <w:jc w:val="center"/>
              <w:rPr>
                <w:rFonts w:cs="Arial"/>
                <w:sz w:val="20"/>
              </w:rPr>
            </w:pPr>
            <w:r>
              <w:rPr>
                <w:rFonts w:cs="Arial"/>
                <w:sz w:val="20"/>
              </w:rPr>
              <w:t>Plan not completed.</w:t>
            </w:r>
          </w:p>
          <w:p w:rsidR="00CC41DF" w:rsidRDefault="00CC41DF">
            <w:pPr>
              <w:pStyle w:val="Header"/>
              <w:tabs>
                <w:tab w:val="clear" w:pos="4320"/>
                <w:tab w:val="clear" w:pos="8640"/>
              </w:tabs>
              <w:jc w:val="center"/>
              <w:rPr>
                <w:rFonts w:cs="Arial"/>
                <w:sz w:val="20"/>
              </w:rPr>
            </w:pPr>
          </w:p>
        </w:tc>
        <w:tc>
          <w:tcPr>
            <w:tcW w:w="1560" w:type="dxa"/>
          </w:tcPr>
          <w:p w:rsidR="00CC41DF" w:rsidRDefault="00CC41DF">
            <w:pPr>
              <w:rPr>
                <w:rFonts w:cs="Arial"/>
                <w:sz w:val="20"/>
              </w:rPr>
            </w:pPr>
            <w:r>
              <w:rPr>
                <w:rFonts w:cs="Arial"/>
                <w:sz w:val="20"/>
              </w:rPr>
              <w:t>Technology Unit</w:t>
            </w:r>
          </w:p>
          <w:p w:rsidR="00CC41DF" w:rsidRDefault="00CC41DF">
            <w:pPr>
              <w:rPr>
                <w:rFonts w:cs="Arial"/>
                <w:sz w:val="20"/>
              </w:rPr>
            </w:pPr>
          </w:p>
          <w:p w:rsidR="00CC41DF" w:rsidRDefault="00CC41DF">
            <w:pPr>
              <w:rPr>
                <w:rFonts w:cs="Arial"/>
                <w:sz w:val="20"/>
              </w:rPr>
            </w:pPr>
            <w:r>
              <w:rPr>
                <w:rFonts w:cs="Arial"/>
                <w:sz w:val="20"/>
              </w:rPr>
              <w:t>$147,731-ITF</w:t>
            </w:r>
          </w:p>
          <w:p w:rsidR="00CC41DF" w:rsidRDefault="00CC41DF">
            <w:pPr>
              <w:rPr>
                <w:rFonts w:cs="Arial"/>
                <w:sz w:val="20"/>
              </w:rPr>
            </w:pPr>
          </w:p>
          <w:p w:rsidR="00CC41DF" w:rsidRDefault="00CC41DF">
            <w:pPr>
              <w:rPr>
                <w:rFonts w:cs="Arial"/>
                <w:sz w:val="20"/>
              </w:rPr>
            </w:pPr>
          </w:p>
        </w:tc>
        <w:tc>
          <w:tcPr>
            <w:tcW w:w="4800" w:type="dxa"/>
          </w:tcPr>
          <w:p w:rsidR="00CC41DF" w:rsidRDefault="00CC41DF">
            <w:pPr>
              <w:rPr>
                <w:rFonts w:cs="Arial"/>
                <w:sz w:val="20"/>
              </w:rPr>
            </w:pPr>
            <w:r>
              <w:rPr>
                <w:rFonts w:cs="Arial"/>
                <w:sz w:val="20"/>
              </w:rPr>
              <w:t>1.  To ensure effectiveness of disaster recovery plan.</w:t>
            </w:r>
          </w:p>
          <w:p w:rsidR="00CC41DF" w:rsidRDefault="00CC41DF">
            <w:pPr>
              <w:rPr>
                <w:rFonts w:cs="Arial"/>
                <w:sz w:val="20"/>
              </w:rPr>
            </w:pPr>
            <w:r>
              <w:rPr>
                <w:rFonts w:cs="Arial"/>
                <w:sz w:val="20"/>
              </w:rPr>
              <w:t>2.  Not completed in FY 2004.</w:t>
            </w:r>
          </w:p>
          <w:p w:rsidR="00CC41DF" w:rsidRDefault="00CC41DF">
            <w:pPr>
              <w:rPr>
                <w:rFonts w:cs="Arial"/>
                <w:sz w:val="20"/>
              </w:rPr>
            </w:pPr>
            <w:r>
              <w:rPr>
                <w:rFonts w:cs="Arial"/>
                <w:sz w:val="20"/>
              </w:rPr>
              <w:t>3.  Relevance of measure being evaluated for FY 2005.</w:t>
            </w:r>
          </w:p>
        </w:tc>
      </w:tr>
      <w:tr w:rsidR="00CC41DF">
        <w:tblPrEx>
          <w:tblCellMar>
            <w:top w:w="0" w:type="dxa"/>
            <w:bottom w:w="0" w:type="dxa"/>
          </w:tblCellMar>
        </w:tblPrEx>
        <w:tc>
          <w:tcPr>
            <w:tcW w:w="2508" w:type="dxa"/>
            <w:shd w:val="pct20" w:color="auto" w:fill="auto"/>
          </w:tcPr>
          <w:p w:rsidR="00CC41DF" w:rsidRDefault="00CC41DF">
            <w:pPr>
              <w:jc w:val="center"/>
              <w:rPr>
                <w:rFonts w:cs="Arial"/>
                <w:b/>
                <w:bCs/>
              </w:rPr>
            </w:pPr>
            <w:r>
              <w:rPr>
                <w:rFonts w:cs="Arial"/>
                <w:b/>
                <w:bCs/>
              </w:rPr>
              <w:t>Activities, Services, Products</w:t>
            </w:r>
          </w:p>
        </w:tc>
        <w:tc>
          <w:tcPr>
            <w:tcW w:w="3840" w:type="dxa"/>
            <w:shd w:val="pct20" w:color="auto" w:fill="auto"/>
          </w:tcPr>
          <w:p w:rsidR="00CC41DF" w:rsidRDefault="00CC41DF">
            <w:pPr>
              <w:jc w:val="center"/>
              <w:rPr>
                <w:rFonts w:cs="Arial"/>
                <w:b/>
                <w:bCs/>
              </w:rPr>
            </w:pPr>
            <w:r>
              <w:rPr>
                <w:rFonts w:cs="Arial"/>
                <w:b/>
                <w:bCs/>
              </w:rPr>
              <w:t>Performance Measures</w:t>
            </w:r>
          </w:p>
        </w:tc>
        <w:tc>
          <w:tcPr>
            <w:tcW w:w="1440" w:type="dxa"/>
            <w:shd w:val="pct20" w:color="auto" w:fill="auto"/>
          </w:tcPr>
          <w:p w:rsidR="00CC41DF" w:rsidRDefault="00CC41DF">
            <w:pPr>
              <w:jc w:val="center"/>
              <w:rPr>
                <w:rFonts w:cs="Arial"/>
                <w:b/>
                <w:bCs/>
              </w:rPr>
            </w:pPr>
            <w:r>
              <w:rPr>
                <w:rFonts w:cs="Arial"/>
                <w:b/>
                <w:bCs/>
              </w:rPr>
              <w:t>Data</w:t>
            </w:r>
          </w:p>
          <w:p w:rsidR="00CC41DF" w:rsidRDefault="00CC41DF">
            <w:pPr>
              <w:jc w:val="center"/>
              <w:rPr>
                <w:rFonts w:cs="Arial"/>
                <w:b/>
                <w:bCs/>
              </w:rPr>
            </w:pPr>
            <w:r>
              <w:rPr>
                <w:rFonts w:cs="Arial"/>
                <w:b/>
                <w:bCs/>
              </w:rPr>
              <w:t>Reported</w:t>
            </w:r>
          </w:p>
        </w:tc>
        <w:tc>
          <w:tcPr>
            <w:tcW w:w="1560" w:type="dxa"/>
            <w:shd w:val="pct20" w:color="auto" w:fill="auto"/>
          </w:tcPr>
          <w:p w:rsidR="00CC41DF" w:rsidRDefault="00CC41DF">
            <w:pPr>
              <w:jc w:val="center"/>
              <w:rPr>
                <w:b/>
                <w:bCs/>
              </w:rPr>
            </w:pPr>
            <w:r>
              <w:rPr>
                <w:b/>
                <w:bCs/>
              </w:rPr>
              <w:t>Data Source and</w:t>
            </w:r>
          </w:p>
          <w:p w:rsidR="00CC41DF" w:rsidRDefault="00CC41DF">
            <w:pPr>
              <w:jc w:val="center"/>
              <w:rPr>
                <w:rFonts w:cs="Arial"/>
                <w:b/>
                <w:bCs/>
              </w:rPr>
            </w:pPr>
            <w:r>
              <w:rPr>
                <w:b/>
                <w:bCs/>
              </w:rPr>
              <w:lastRenderedPageBreak/>
              <w:t>Resources</w:t>
            </w:r>
          </w:p>
        </w:tc>
        <w:tc>
          <w:tcPr>
            <w:tcW w:w="4800" w:type="dxa"/>
            <w:shd w:val="pct20" w:color="auto" w:fill="auto"/>
          </w:tcPr>
          <w:p w:rsidR="00CC41DF" w:rsidRDefault="00CC41DF">
            <w:pPr>
              <w:jc w:val="center"/>
              <w:rPr>
                <w:b/>
                <w:bCs/>
              </w:rPr>
            </w:pPr>
            <w:r>
              <w:rPr>
                <w:b/>
                <w:bCs/>
              </w:rPr>
              <w:lastRenderedPageBreak/>
              <w:t>1.   Purpose of Measure(s)</w:t>
            </w:r>
          </w:p>
          <w:p w:rsidR="00CC41DF" w:rsidRDefault="00CC41DF">
            <w:pPr>
              <w:jc w:val="center"/>
              <w:rPr>
                <w:b/>
                <w:bCs/>
              </w:rPr>
            </w:pPr>
            <w:r>
              <w:rPr>
                <w:b/>
                <w:bCs/>
              </w:rPr>
              <w:t>2.  Significance of Results</w:t>
            </w:r>
          </w:p>
          <w:p w:rsidR="00CC41DF" w:rsidRDefault="00CC41DF">
            <w:pPr>
              <w:pStyle w:val="Heading2"/>
              <w:rPr>
                <w:rFonts w:cs="Arial"/>
                <w:b/>
                <w:bCs/>
                <w:sz w:val="24"/>
              </w:rPr>
            </w:pPr>
            <w:r>
              <w:rPr>
                <w:b/>
                <w:bCs/>
                <w:sz w:val="24"/>
              </w:rPr>
              <w:lastRenderedPageBreak/>
              <w:t xml:space="preserve">            3.  Usefulness of Measure</w:t>
            </w:r>
          </w:p>
        </w:tc>
      </w:tr>
      <w:tr w:rsidR="00CC41DF">
        <w:tblPrEx>
          <w:tblCellMar>
            <w:top w:w="0" w:type="dxa"/>
            <w:bottom w:w="0" w:type="dxa"/>
          </w:tblCellMar>
        </w:tblPrEx>
        <w:trPr>
          <w:trHeight w:val="1061"/>
        </w:trPr>
        <w:tc>
          <w:tcPr>
            <w:tcW w:w="2508" w:type="dxa"/>
          </w:tcPr>
          <w:p w:rsidR="00CC41DF" w:rsidRDefault="00CC41DF">
            <w:pPr>
              <w:tabs>
                <w:tab w:val="left" w:pos="240"/>
              </w:tabs>
              <w:rPr>
                <w:rFonts w:cs="Arial"/>
                <w:sz w:val="20"/>
              </w:rPr>
            </w:pPr>
            <w:r>
              <w:rPr>
                <w:rFonts w:cs="Arial"/>
                <w:sz w:val="20"/>
              </w:rPr>
              <w:lastRenderedPageBreak/>
              <w:t>3.  Iowa Code and Administrative Rule Maintenance</w:t>
            </w:r>
          </w:p>
          <w:p w:rsidR="00CC41DF" w:rsidRDefault="00CC41DF">
            <w:pPr>
              <w:tabs>
                <w:tab w:val="left" w:pos="240"/>
              </w:tabs>
              <w:rPr>
                <w:rFonts w:cs="Arial"/>
                <w:sz w:val="20"/>
              </w:rPr>
            </w:pPr>
            <w:r>
              <w:rPr>
                <w:rFonts w:cs="Arial"/>
                <w:sz w:val="20"/>
              </w:rPr>
              <w:t>Org #:  4110</w:t>
            </w:r>
          </w:p>
          <w:p w:rsidR="00CC41DF" w:rsidRDefault="00CC41DF">
            <w:pPr>
              <w:tabs>
                <w:tab w:val="left" w:pos="240"/>
              </w:tabs>
              <w:rPr>
                <w:rFonts w:cs="Arial"/>
                <w:sz w:val="20"/>
              </w:rPr>
            </w:pPr>
            <w:r>
              <w:rPr>
                <w:rFonts w:cs="Arial"/>
                <w:sz w:val="20"/>
              </w:rPr>
              <w:t>553_67102</w:t>
            </w:r>
          </w:p>
        </w:tc>
        <w:tc>
          <w:tcPr>
            <w:tcW w:w="3840" w:type="dxa"/>
          </w:tcPr>
          <w:p w:rsidR="00CC41DF" w:rsidRDefault="00CC41DF">
            <w:pPr>
              <w:pStyle w:val="BodyText2"/>
              <w:rPr>
                <w:b w:val="0"/>
                <w:bCs w:val="0"/>
                <w:sz w:val="20"/>
              </w:rPr>
            </w:pPr>
            <w:r>
              <w:rPr>
                <w:b w:val="0"/>
                <w:bCs w:val="0"/>
                <w:sz w:val="20"/>
              </w:rPr>
              <w:t>% of administrative rules filed within 6 months of state or federal law changes.</w:t>
            </w:r>
          </w:p>
          <w:p w:rsidR="00CC41DF" w:rsidRDefault="00CC41DF">
            <w:pPr>
              <w:numPr>
                <w:ilvl w:val="0"/>
                <w:numId w:val="44"/>
              </w:numPr>
              <w:rPr>
                <w:rFonts w:cs="Arial"/>
                <w:sz w:val="20"/>
              </w:rPr>
            </w:pPr>
            <w:r>
              <w:rPr>
                <w:rFonts w:cs="Arial"/>
                <w:sz w:val="20"/>
              </w:rPr>
              <w:t>553_67102_001</w:t>
            </w:r>
          </w:p>
          <w:p w:rsidR="00CC41DF" w:rsidRDefault="00CC41DF">
            <w:pPr>
              <w:rPr>
                <w:rFonts w:cs="Arial"/>
                <w:sz w:val="20"/>
              </w:rPr>
            </w:pPr>
          </w:p>
        </w:tc>
        <w:tc>
          <w:tcPr>
            <w:tcW w:w="1440" w:type="dxa"/>
          </w:tcPr>
          <w:p w:rsidR="00CC41DF" w:rsidRDefault="00CC41DF">
            <w:pPr>
              <w:jc w:val="center"/>
              <w:rPr>
                <w:rFonts w:cs="Arial"/>
                <w:sz w:val="20"/>
              </w:rPr>
            </w:pPr>
            <w:r>
              <w:rPr>
                <w:rFonts w:cs="Arial"/>
                <w:sz w:val="20"/>
              </w:rPr>
              <w:t>67</w:t>
            </w:r>
          </w:p>
          <w:p w:rsidR="00CC41DF" w:rsidRDefault="00CC41DF">
            <w:pPr>
              <w:jc w:val="center"/>
              <w:rPr>
                <w:rFonts w:cs="Arial"/>
                <w:sz w:val="20"/>
              </w:rPr>
            </w:pPr>
          </w:p>
        </w:tc>
        <w:tc>
          <w:tcPr>
            <w:tcW w:w="1560" w:type="dxa"/>
          </w:tcPr>
          <w:p w:rsidR="00CC41DF" w:rsidRDefault="00CC41DF">
            <w:pPr>
              <w:rPr>
                <w:rFonts w:cs="Arial"/>
                <w:sz w:val="20"/>
              </w:rPr>
            </w:pPr>
            <w:r>
              <w:rPr>
                <w:rFonts w:cs="Arial"/>
                <w:sz w:val="20"/>
              </w:rPr>
              <w:t>Legal Unit</w:t>
            </w:r>
          </w:p>
          <w:p w:rsidR="00CC41DF" w:rsidRDefault="00CC41DF">
            <w:pPr>
              <w:rPr>
                <w:rFonts w:cs="Arial"/>
                <w:sz w:val="20"/>
              </w:rPr>
            </w:pPr>
          </w:p>
          <w:p w:rsidR="00CC41DF" w:rsidRDefault="00CC41DF">
            <w:pPr>
              <w:rPr>
                <w:rFonts w:cs="Arial"/>
                <w:sz w:val="20"/>
              </w:rPr>
            </w:pPr>
            <w:r>
              <w:rPr>
                <w:rFonts w:cs="Arial"/>
                <w:sz w:val="20"/>
              </w:rPr>
              <w:t xml:space="preserve">$258,000-ITF </w:t>
            </w:r>
          </w:p>
          <w:p w:rsidR="00CC41DF" w:rsidRDefault="00CC41DF">
            <w:pPr>
              <w:rPr>
                <w:rFonts w:cs="Arial"/>
                <w:sz w:val="20"/>
              </w:rPr>
            </w:pPr>
            <w:r>
              <w:rPr>
                <w:rFonts w:cs="Arial"/>
                <w:sz w:val="20"/>
              </w:rPr>
              <w:t>Estimated</w:t>
            </w:r>
          </w:p>
        </w:tc>
        <w:tc>
          <w:tcPr>
            <w:tcW w:w="4800" w:type="dxa"/>
          </w:tcPr>
          <w:p w:rsidR="00CC41DF" w:rsidRDefault="00CC41DF">
            <w:pPr>
              <w:rPr>
                <w:rFonts w:cs="Arial"/>
                <w:sz w:val="20"/>
              </w:rPr>
            </w:pPr>
            <w:r>
              <w:rPr>
                <w:rFonts w:cs="Arial"/>
                <w:sz w:val="20"/>
              </w:rPr>
              <w:t xml:space="preserve">1.  To ensure timely development of </w:t>
            </w:r>
          </w:p>
          <w:p w:rsidR="00CC41DF" w:rsidRDefault="00CC41DF">
            <w:pPr>
              <w:rPr>
                <w:rFonts w:cs="Arial"/>
                <w:sz w:val="20"/>
              </w:rPr>
            </w:pPr>
            <w:r>
              <w:rPr>
                <w:rFonts w:cs="Arial"/>
                <w:sz w:val="20"/>
              </w:rPr>
              <w:t xml:space="preserve">      administrative rules.</w:t>
            </w:r>
          </w:p>
          <w:p w:rsidR="00CC41DF" w:rsidRDefault="00CC41DF">
            <w:pPr>
              <w:rPr>
                <w:rFonts w:cs="Arial"/>
                <w:sz w:val="20"/>
              </w:rPr>
            </w:pPr>
            <w:r>
              <w:rPr>
                <w:rFonts w:cs="Arial"/>
                <w:sz w:val="20"/>
              </w:rPr>
              <w:t>2.  Good response time compared to other</w:t>
            </w:r>
          </w:p>
          <w:p w:rsidR="00CC41DF" w:rsidRDefault="00CC41DF">
            <w:pPr>
              <w:rPr>
                <w:rFonts w:cs="Arial"/>
                <w:sz w:val="20"/>
              </w:rPr>
            </w:pPr>
            <w:r>
              <w:rPr>
                <w:rFonts w:cs="Arial"/>
                <w:sz w:val="20"/>
              </w:rPr>
              <w:t xml:space="preserve">      retirement systems.</w:t>
            </w:r>
          </w:p>
          <w:p w:rsidR="00CC41DF" w:rsidRDefault="00CC41DF">
            <w:pPr>
              <w:rPr>
                <w:rFonts w:cs="Arial"/>
                <w:sz w:val="20"/>
              </w:rPr>
            </w:pPr>
            <w:r>
              <w:rPr>
                <w:rFonts w:cs="Arial"/>
                <w:sz w:val="20"/>
              </w:rPr>
              <w:t>3.  Retained in FY 2005 Performance Plan.</w:t>
            </w:r>
          </w:p>
        </w:tc>
      </w:tr>
      <w:tr w:rsidR="00CC41DF">
        <w:tblPrEx>
          <w:tblCellMar>
            <w:top w:w="0" w:type="dxa"/>
            <w:bottom w:w="0" w:type="dxa"/>
          </w:tblCellMar>
        </w:tblPrEx>
        <w:tc>
          <w:tcPr>
            <w:tcW w:w="2508" w:type="dxa"/>
          </w:tcPr>
          <w:p w:rsidR="00CC41DF" w:rsidRDefault="00CC41DF">
            <w:pPr>
              <w:pStyle w:val="Heading1"/>
              <w:rPr>
                <w:rFonts w:cs="Arial"/>
                <w:sz w:val="20"/>
              </w:rPr>
            </w:pPr>
            <w:r>
              <w:rPr>
                <w:rFonts w:cs="Arial"/>
                <w:sz w:val="20"/>
              </w:rPr>
              <w:t>4.   Assignments Processing</w:t>
            </w:r>
          </w:p>
          <w:p w:rsidR="00CC41DF" w:rsidRDefault="00CC41DF">
            <w:pPr>
              <w:numPr>
                <w:ilvl w:val="0"/>
                <w:numId w:val="42"/>
              </w:numPr>
              <w:rPr>
                <w:rFonts w:cs="Arial"/>
                <w:sz w:val="20"/>
              </w:rPr>
            </w:pPr>
            <w:r>
              <w:rPr>
                <w:rFonts w:cs="Arial"/>
                <w:sz w:val="20"/>
              </w:rPr>
              <w:t>553_67103</w:t>
            </w:r>
          </w:p>
          <w:p w:rsidR="00CC41DF" w:rsidRDefault="00CC41DF">
            <w:pPr>
              <w:pStyle w:val="Heading1"/>
              <w:rPr>
                <w:rFonts w:cs="Arial"/>
                <w:sz w:val="20"/>
              </w:rPr>
            </w:pPr>
            <w:r>
              <w:rPr>
                <w:rFonts w:cs="Arial"/>
                <w:sz w:val="20"/>
              </w:rPr>
              <w:t>Org #:  4110</w:t>
            </w:r>
          </w:p>
        </w:tc>
        <w:tc>
          <w:tcPr>
            <w:tcW w:w="3840" w:type="dxa"/>
          </w:tcPr>
          <w:p w:rsidR="00CC41DF" w:rsidRDefault="00CC41DF">
            <w:pPr>
              <w:rPr>
                <w:rFonts w:cs="Arial"/>
                <w:sz w:val="20"/>
              </w:rPr>
            </w:pPr>
            <w:r>
              <w:rPr>
                <w:rFonts w:cs="Arial"/>
                <w:sz w:val="20"/>
              </w:rPr>
              <w:t>% of final court orders reviewed and responded to in 10 working days.</w:t>
            </w:r>
          </w:p>
          <w:p w:rsidR="00CC41DF" w:rsidRDefault="00CC41DF">
            <w:pPr>
              <w:numPr>
                <w:ilvl w:val="0"/>
                <w:numId w:val="42"/>
              </w:numPr>
              <w:rPr>
                <w:rFonts w:cs="Arial"/>
                <w:sz w:val="20"/>
              </w:rPr>
            </w:pPr>
            <w:r>
              <w:rPr>
                <w:rFonts w:cs="Arial"/>
                <w:sz w:val="20"/>
              </w:rPr>
              <w:t>553_67103_001</w:t>
            </w:r>
          </w:p>
        </w:tc>
        <w:tc>
          <w:tcPr>
            <w:tcW w:w="1440" w:type="dxa"/>
          </w:tcPr>
          <w:p w:rsidR="00CC41DF" w:rsidRDefault="00CC41DF">
            <w:pPr>
              <w:jc w:val="center"/>
              <w:rPr>
                <w:rFonts w:cs="Arial"/>
                <w:sz w:val="20"/>
              </w:rPr>
            </w:pPr>
            <w:r>
              <w:rPr>
                <w:rFonts w:cs="Arial"/>
                <w:sz w:val="20"/>
              </w:rPr>
              <w:t>96.7</w:t>
            </w:r>
          </w:p>
        </w:tc>
        <w:tc>
          <w:tcPr>
            <w:tcW w:w="1560" w:type="dxa"/>
          </w:tcPr>
          <w:p w:rsidR="00CC41DF" w:rsidRDefault="00CC41DF">
            <w:pPr>
              <w:rPr>
                <w:rFonts w:cs="Arial"/>
                <w:sz w:val="20"/>
              </w:rPr>
            </w:pPr>
            <w:r>
              <w:rPr>
                <w:rFonts w:cs="Arial"/>
                <w:sz w:val="20"/>
              </w:rPr>
              <w:t>Legal Unit</w:t>
            </w:r>
          </w:p>
          <w:p w:rsidR="00CC41DF" w:rsidRDefault="00CC41DF">
            <w:pPr>
              <w:rPr>
                <w:rFonts w:cs="Arial"/>
                <w:sz w:val="20"/>
              </w:rPr>
            </w:pPr>
          </w:p>
          <w:p w:rsidR="00CC41DF" w:rsidRDefault="00CC41DF">
            <w:pPr>
              <w:rPr>
                <w:rFonts w:cs="Arial"/>
                <w:sz w:val="20"/>
              </w:rPr>
            </w:pPr>
            <w:r>
              <w:rPr>
                <w:rFonts w:cs="Arial"/>
                <w:sz w:val="20"/>
              </w:rPr>
              <w:t>$129,000-ITF</w:t>
            </w:r>
          </w:p>
          <w:p w:rsidR="00CC41DF" w:rsidRDefault="00CC41DF">
            <w:pPr>
              <w:rPr>
                <w:rFonts w:cs="Arial"/>
                <w:sz w:val="20"/>
              </w:rPr>
            </w:pPr>
            <w:r>
              <w:rPr>
                <w:rFonts w:cs="Arial"/>
                <w:sz w:val="20"/>
              </w:rPr>
              <w:t>Estimated</w:t>
            </w:r>
          </w:p>
        </w:tc>
        <w:tc>
          <w:tcPr>
            <w:tcW w:w="4800" w:type="dxa"/>
          </w:tcPr>
          <w:p w:rsidR="00CC41DF" w:rsidRDefault="00CC41DF">
            <w:pPr>
              <w:rPr>
                <w:rFonts w:cs="Arial"/>
                <w:sz w:val="20"/>
              </w:rPr>
            </w:pPr>
            <w:r>
              <w:rPr>
                <w:rFonts w:cs="Arial"/>
                <w:sz w:val="20"/>
              </w:rPr>
              <w:t>1.  To ensure timely processing of court orders.</w:t>
            </w:r>
          </w:p>
          <w:p w:rsidR="00CC41DF" w:rsidRDefault="00CC41DF">
            <w:pPr>
              <w:rPr>
                <w:rFonts w:cs="Arial"/>
                <w:sz w:val="20"/>
              </w:rPr>
            </w:pPr>
            <w:r>
              <w:rPr>
                <w:rFonts w:cs="Arial"/>
                <w:sz w:val="20"/>
              </w:rPr>
              <w:t>2.  Good standard when compared to peers.</w:t>
            </w:r>
          </w:p>
          <w:p w:rsidR="00CC41DF" w:rsidRDefault="00CC41DF">
            <w:pPr>
              <w:rPr>
                <w:rFonts w:cs="Arial"/>
                <w:sz w:val="20"/>
              </w:rPr>
            </w:pPr>
            <w:r>
              <w:rPr>
                <w:rFonts w:cs="Arial"/>
                <w:sz w:val="20"/>
              </w:rPr>
              <w:t>3.  Retained in FY 2005 Performance Plan</w:t>
            </w:r>
          </w:p>
        </w:tc>
      </w:tr>
      <w:tr w:rsidR="00CC41DF">
        <w:tblPrEx>
          <w:tblCellMar>
            <w:top w:w="0" w:type="dxa"/>
            <w:bottom w:w="0" w:type="dxa"/>
          </w:tblCellMar>
        </w:tblPrEx>
        <w:tc>
          <w:tcPr>
            <w:tcW w:w="2508" w:type="dxa"/>
          </w:tcPr>
          <w:p w:rsidR="00CC41DF" w:rsidRDefault="00CC41DF">
            <w:pPr>
              <w:tabs>
                <w:tab w:val="left" w:pos="240"/>
              </w:tabs>
              <w:rPr>
                <w:rFonts w:cs="Arial"/>
                <w:sz w:val="20"/>
              </w:rPr>
            </w:pPr>
            <w:r>
              <w:rPr>
                <w:rFonts w:cs="Arial"/>
                <w:sz w:val="20"/>
              </w:rPr>
              <w:t>5.   Appeals Coordination</w:t>
            </w:r>
          </w:p>
          <w:p w:rsidR="00CC41DF" w:rsidRDefault="00CC41DF">
            <w:pPr>
              <w:pStyle w:val="Header"/>
              <w:tabs>
                <w:tab w:val="clear" w:pos="4320"/>
                <w:tab w:val="clear" w:pos="8640"/>
                <w:tab w:val="left" w:pos="240"/>
              </w:tabs>
              <w:rPr>
                <w:rFonts w:cs="Arial"/>
                <w:sz w:val="20"/>
              </w:rPr>
            </w:pPr>
            <w:r>
              <w:rPr>
                <w:rFonts w:cs="Arial"/>
                <w:sz w:val="20"/>
              </w:rPr>
              <w:t>Org #:  4110</w:t>
            </w:r>
          </w:p>
          <w:p w:rsidR="00CC41DF" w:rsidRDefault="00CC41DF">
            <w:pPr>
              <w:numPr>
                <w:ilvl w:val="0"/>
                <w:numId w:val="42"/>
              </w:numPr>
              <w:tabs>
                <w:tab w:val="left" w:pos="240"/>
              </w:tabs>
              <w:rPr>
                <w:rFonts w:cs="Arial"/>
                <w:sz w:val="20"/>
              </w:rPr>
            </w:pPr>
            <w:r>
              <w:rPr>
                <w:rFonts w:cs="Arial"/>
                <w:sz w:val="20"/>
              </w:rPr>
              <w:t>553_67104</w:t>
            </w:r>
          </w:p>
          <w:p w:rsidR="00CC41DF" w:rsidRDefault="00CC41DF">
            <w:pPr>
              <w:pStyle w:val="Heading1"/>
              <w:rPr>
                <w:rFonts w:cs="Arial"/>
                <w:sz w:val="20"/>
              </w:rPr>
            </w:pPr>
          </w:p>
        </w:tc>
        <w:tc>
          <w:tcPr>
            <w:tcW w:w="3840" w:type="dxa"/>
          </w:tcPr>
          <w:p w:rsidR="00CC41DF" w:rsidRDefault="00CC41DF">
            <w:pPr>
              <w:pStyle w:val="BodyText2"/>
              <w:rPr>
                <w:b w:val="0"/>
                <w:bCs w:val="0"/>
                <w:sz w:val="20"/>
              </w:rPr>
            </w:pPr>
            <w:r>
              <w:rPr>
                <w:b w:val="0"/>
                <w:bCs w:val="0"/>
                <w:sz w:val="20"/>
              </w:rPr>
              <w:t>%  of appeals from Final Agency Decision forwarded to Division of Administrative Hearings in 10 working days (20 days for disability appeals)</w:t>
            </w:r>
          </w:p>
          <w:p w:rsidR="00CC41DF" w:rsidRDefault="00CC41DF">
            <w:pPr>
              <w:numPr>
                <w:ilvl w:val="0"/>
                <w:numId w:val="42"/>
              </w:numPr>
              <w:rPr>
                <w:rFonts w:cs="Arial"/>
                <w:sz w:val="20"/>
              </w:rPr>
            </w:pPr>
            <w:r>
              <w:rPr>
                <w:rFonts w:cs="Arial"/>
                <w:sz w:val="20"/>
              </w:rPr>
              <w:t>553_67104_001</w:t>
            </w:r>
          </w:p>
        </w:tc>
        <w:tc>
          <w:tcPr>
            <w:tcW w:w="1440" w:type="dxa"/>
          </w:tcPr>
          <w:p w:rsidR="00CC41DF" w:rsidRDefault="00CC41DF">
            <w:pPr>
              <w:jc w:val="center"/>
              <w:rPr>
                <w:rFonts w:cs="Arial"/>
                <w:sz w:val="20"/>
              </w:rPr>
            </w:pPr>
            <w:r>
              <w:rPr>
                <w:rFonts w:cs="Arial"/>
                <w:sz w:val="20"/>
              </w:rPr>
              <w:t>85.7</w:t>
            </w:r>
          </w:p>
        </w:tc>
        <w:tc>
          <w:tcPr>
            <w:tcW w:w="1560" w:type="dxa"/>
          </w:tcPr>
          <w:p w:rsidR="00CC41DF" w:rsidRDefault="00CC41DF">
            <w:pPr>
              <w:rPr>
                <w:rFonts w:cs="Arial"/>
                <w:sz w:val="20"/>
              </w:rPr>
            </w:pPr>
            <w:r>
              <w:rPr>
                <w:rFonts w:cs="Arial"/>
                <w:sz w:val="20"/>
              </w:rPr>
              <w:t>Legal Unit</w:t>
            </w:r>
          </w:p>
          <w:p w:rsidR="00CC41DF" w:rsidRDefault="00CC41DF">
            <w:pPr>
              <w:rPr>
                <w:rFonts w:cs="Arial"/>
                <w:sz w:val="20"/>
              </w:rPr>
            </w:pPr>
          </w:p>
          <w:p w:rsidR="00CC41DF" w:rsidRDefault="00CC41DF">
            <w:pPr>
              <w:rPr>
                <w:rFonts w:cs="Arial"/>
                <w:sz w:val="20"/>
              </w:rPr>
            </w:pPr>
            <w:r>
              <w:rPr>
                <w:rFonts w:cs="Arial"/>
                <w:sz w:val="20"/>
              </w:rPr>
              <w:t>$32,888-ITF</w:t>
            </w:r>
          </w:p>
          <w:p w:rsidR="00CC41DF" w:rsidRDefault="00CC41DF">
            <w:pPr>
              <w:rPr>
                <w:rFonts w:cs="Arial"/>
                <w:sz w:val="20"/>
              </w:rPr>
            </w:pPr>
            <w:r>
              <w:rPr>
                <w:rFonts w:cs="Arial"/>
                <w:sz w:val="20"/>
              </w:rPr>
              <w:t>Estimated</w:t>
            </w:r>
          </w:p>
          <w:p w:rsidR="00CC41DF" w:rsidRDefault="00CC41DF">
            <w:pPr>
              <w:rPr>
                <w:rFonts w:cs="Arial"/>
                <w:sz w:val="20"/>
              </w:rPr>
            </w:pPr>
          </w:p>
        </w:tc>
        <w:tc>
          <w:tcPr>
            <w:tcW w:w="4800" w:type="dxa"/>
          </w:tcPr>
          <w:p w:rsidR="00CC41DF" w:rsidRDefault="00CC41DF">
            <w:pPr>
              <w:rPr>
                <w:rFonts w:cs="Arial"/>
                <w:sz w:val="20"/>
              </w:rPr>
            </w:pPr>
            <w:r>
              <w:rPr>
                <w:rFonts w:cs="Arial"/>
                <w:sz w:val="20"/>
              </w:rPr>
              <w:t>1.  To ensure timely processing of appeals.</w:t>
            </w:r>
          </w:p>
          <w:p w:rsidR="00CC41DF" w:rsidRDefault="00CC41DF">
            <w:pPr>
              <w:rPr>
                <w:rFonts w:cs="Arial"/>
                <w:sz w:val="20"/>
              </w:rPr>
            </w:pPr>
            <w:r>
              <w:rPr>
                <w:rFonts w:cs="Arial"/>
                <w:sz w:val="20"/>
              </w:rPr>
              <w:t>2.  Good standard when compared to peers.</w:t>
            </w:r>
          </w:p>
          <w:p w:rsidR="00CC41DF" w:rsidRDefault="00CC41DF">
            <w:pPr>
              <w:rPr>
                <w:rFonts w:cs="Arial"/>
                <w:sz w:val="20"/>
              </w:rPr>
            </w:pPr>
            <w:r>
              <w:rPr>
                <w:rFonts w:cs="Arial"/>
                <w:sz w:val="20"/>
              </w:rPr>
              <w:t>3.  Retained in FY 2005 Performance Plan.</w:t>
            </w:r>
          </w:p>
        </w:tc>
      </w:tr>
      <w:tr w:rsidR="00CC41DF">
        <w:tblPrEx>
          <w:tblCellMar>
            <w:top w:w="0" w:type="dxa"/>
            <w:bottom w:w="0" w:type="dxa"/>
          </w:tblCellMar>
        </w:tblPrEx>
        <w:tc>
          <w:tcPr>
            <w:tcW w:w="2508" w:type="dxa"/>
          </w:tcPr>
          <w:p w:rsidR="00CC41DF" w:rsidRDefault="00CC41DF">
            <w:pPr>
              <w:tabs>
                <w:tab w:val="left" w:pos="240"/>
              </w:tabs>
              <w:rPr>
                <w:rFonts w:cs="Arial"/>
                <w:sz w:val="20"/>
              </w:rPr>
            </w:pPr>
            <w:r>
              <w:rPr>
                <w:rFonts w:cs="Arial"/>
                <w:noProof/>
                <w:sz w:val="20"/>
              </w:rPr>
              <w:pict>
                <v:shape id="_x0000_s1037" type="#_x0000_t202" style="position:absolute;margin-left:-42pt;margin-top:11.6pt;width:30pt;height:27pt;z-index:251662336;mso-position-horizontal-relative:text;mso-position-vertical-relative:text" stroked="f">
                  <v:textbox style="layout-flow:vertical;mso-next-textbox:#_x0000_s1037">
                    <w:txbxContent>
                      <w:p w:rsidR="00CC41DF" w:rsidRDefault="00CC41DF">
                        <w:r>
                          <w:t>19</w:t>
                        </w:r>
                      </w:p>
                    </w:txbxContent>
                  </v:textbox>
                </v:shape>
              </w:pict>
            </w:r>
            <w:r>
              <w:rPr>
                <w:rFonts w:cs="Arial"/>
                <w:sz w:val="20"/>
              </w:rPr>
              <w:t>6.  Technology Acquiring and Managing</w:t>
            </w:r>
          </w:p>
          <w:p w:rsidR="00CC41DF" w:rsidRDefault="00CC41DF">
            <w:pPr>
              <w:tabs>
                <w:tab w:val="left" w:pos="240"/>
              </w:tabs>
              <w:rPr>
                <w:rFonts w:cs="Arial"/>
                <w:sz w:val="20"/>
              </w:rPr>
            </w:pPr>
            <w:r>
              <w:rPr>
                <w:rFonts w:cs="Arial"/>
                <w:sz w:val="20"/>
              </w:rPr>
              <w:t>Org #:  4110</w:t>
            </w:r>
          </w:p>
          <w:p w:rsidR="00CC41DF" w:rsidRDefault="00CC41DF">
            <w:pPr>
              <w:numPr>
                <w:ilvl w:val="0"/>
                <w:numId w:val="42"/>
              </w:numPr>
              <w:tabs>
                <w:tab w:val="left" w:pos="240"/>
              </w:tabs>
              <w:rPr>
                <w:rFonts w:cs="Arial"/>
                <w:sz w:val="20"/>
              </w:rPr>
            </w:pPr>
            <w:r>
              <w:rPr>
                <w:rFonts w:cs="Arial"/>
                <w:sz w:val="20"/>
              </w:rPr>
              <w:t>553_67105</w:t>
            </w:r>
          </w:p>
        </w:tc>
        <w:tc>
          <w:tcPr>
            <w:tcW w:w="3840" w:type="dxa"/>
          </w:tcPr>
          <w:p w:rsidR="00CC41DF" w:rsidRDefault="00CC41DF">
            <w:pPr>
              <w:rPr>
                <w:rFonts w:cs="Arial"/>
                <w:sz w:val="20"/>
              </w:rPr>
            </w:pPr>
            <w:r>
              <w:rPr>
                <w:rFonts w:cs="Arial"/>
                <w:sz w:val="20"/>
              </w:rPr>
              <w:t>%  of time that production systems and Domino/Lotus Notes is up</w:t>
            </w:r>
          </w:p>
          <w:p w:rsidR="00CC41DF" w:rsidRDefault="00CC41DF">
            <w:pPr>
              <w:numPr>
                <w:ilvl w:val="0"/>
                <w:numId w:val="42"/>
              </w:numPr>
              <w:rPr>
                <w:rFonts w:cs="Arial"/>
                <w:sz w:val="20"/>
              </w:rPr>
            </w:pPr>
            <w:r>
              <w:rPr>
                <w:rFonts w:cs="Arial"/>
                <w:sz w:val="20"/>
              </w:rPr>
              <w:t>553_67105_001</w:t>
            </w:r>
          </w:p>
        </w:tc>
        <w:tc>
          <w:tcPr>
            <w:tcW w:w="1440" w:type="dxa"/>
          </w:tcPr>
          <w:p w:rsidR="00CC41DF" w:rsidRDefault="00CC41DF">
            <w:pPr>
              <w:jc w:val="center"/>
              <w:rPr>
                <w:rFonts w:cs="Arial"/>
                <w:sz w:val="20"/>
              </w:rPr>
            </w:pPr>
            <w:r>
              <w:rPr>
                <w:rFonts w:cs="Arial"/>
                <w:sz w:val="20"/>
              </w:rPr>
              <w:t>98.8</w:t>
            </w:r>
          </w:p>
        </w:tc>
        <w:tc>
          <w:tcPr>
            <w:tcW w:w="1560" w:type="dxa"/>
          </w:tcPr>
          <w:p w:rsidR="00CC41DF" w:rsidRDefault="00CC41DF">
            <w:pPr>
              <w:rPr>
                <w:sz w:val="20"/>
              </w:rPr>
            </w:pPr>
            <w:r>
              <w:rPr>
                <w:sz w:val="20"/>
              </w:rPr>
              <w:t>Operations Technology Unit</w:t>
            </w:r>
          </w:p>
          <w:p w:rsidR="00CC41DF" w:rsidRDefault="00CC41DF">
            <w:pPr>
              <w:rPr>
                <w:sz w:val="20"/>
              </w:rPr>
            </w:pPr>
            <w:r>
              <w:rPr>
                <w:sz w:val="20"/>
              </w:rPr>
              <w:t>$494,338-ITF</w:t>
            </w:r>
          </w:p>
          <w:p w:rsidR="00CC41DF" w:rsidRDefault="00CC41DF">
            <w:pPr>
              <w:rPr>
                <w:sz w:val="20"/>
              </w:rPr>
            </w:pPr>
            <w:r>
              <w:rPr>
                <w:sz w:val="20"/>
              </w:rPr>
              <w:t>Estimated</w:t>
            </w:r>
          </w:p>
        </w:tc>
        <w:tc>
          <w:tcPr>
            <w:tcW w:w="4800" w:type="dxa"/>
          </w:tcPr>
          <w:p w:rsidR="00CC41DF" w:rsidRDefault="00CC41DF">
            <w:pPr>
              <w:rPr>
                <w:rFonts w:cs="Arial"/>
                <w:sz w:val="20"/>
              </w:rPr>
            </w:pPr>
            <w:r>
              <w:rPr>
                <w:rFonts w:cs="Arial"/>
                <w:sz w:val="20"/>
              </w:rPr>
              <w:t>1.  To ensure availability of computer resources.</w:t>
            </w:r>
          </w:p>
          <w:p w:rsidR="00CC41DF" w:rsidRDefault="00CC41DF">
            <w:pPr>
              <w:rPr>
                <w:rFonts w:cs="Arial"/>
                <w:sz w:val="20"/>
              </w:rPr>
            </w:pPr>
            <w:r>
              <w:rPr>
                <w:rFonts w:cs="Arial"/>
                <w:sz w:val="20"/>
              </w:rPr>
              <w:t>2.  Excellent when compared to peers.</w:t>
            </w:r>
          </w:p>
          <w:p w:rsidR="00CC41DF" w:rsidRDefault="00CC41DF">
            <w:pPr>
              <w:rPr>
                <w:rFonts w:cs="Arial"/>
                <w:sz w:val="20"/>
              </w:rPr>
            </w:pPr>
            <w:r>
              <w:rPr>
                <w:rFonts w:cs="Arial"/>
                <w:sz w:val="20"/>
              </w:rPr>
              <w:t>3.  Retained but re-worked for FY 2005.</w:t>
            </w:r>
          </w:p>
          <w:p w:rsidR="00CC41DF" w:rsidRDefault="00CC41DF">
            <w:pPr>
              <w:rPr>
                <w:rFonts w:cs="Arial"/>
                <w:sz w:val="20"/>
              </w:rPr>
            </w:pPr>
          </w:p>
        </w:tc>
      </w:tr>
      <w:tr w:rsidR="00CC41DF">
        <w:tblPrEx>
          <w:tblCellMar>
            <w:top w:w="0" w:type="dxa"/>
            <w:bottom w:w="0" w:type="dxa"/>
          </w:tblCellMar>
        </w:tblPrEx>
        <w:tc>
          <w:tcPr>
            <w:tcW w:w="2508" w:type="dxa"/>
          </w:tcPr>
          <w:p w:rsidR="00CC41DF" w:rsidRDefault="00CC41DF">
            <w:pPr>
              <w:tabs>
                <w:tab w:val="left" w:pos="240"/>
              </w:tabs>
              <w:rPr>
                <w:rFonts w:cs="Arial"/>
                <w:sz w:val="20"/>
              </w:rPr>
            </w:pPr>
            <w:r>
              <w:rPr>
                <w:rFonts w:cs="Arial"/>
                <w:sz w:val="20"/>
              </w:rPr>
              <w:t>7.  Application Developing</w:t>
            </w:r>
          </w:p>
          <w:p w:rsidR="00CC41DF" w:rsidRDefault="00CC41DF">
            <w:pPr>
              <w:tabs>
                <w:tab w:val="left" w:pos="240"/>
              </w:tabs>
              <w:rPr>
                <w:rFonts w:cs="Arial"/>
                <w:sz w:val="20"/>
              </w:rPr>
            </w:pPr>
            <w:r>
              <w:rPr>
                <w:rFonts w:cs="Arial"/>
                <w:sz w:val="20"/>
              </w:rPr>
              <w:t>Org #:  4110</w:t>
            </w:r>
          </w:p>
          <w:p w:rsidR="00CC41DF" w:rsidRDefault="00CC41DF">
            <w:pPr>
              <w:numPr>
                <w:ilvl w:val="0"/>
                <w:numId w:val="42"/>
              </w:numPr>
              <w:tabs>
                <w:tab w:val="left" w:pos="240"/>
              </w:tabs>
              <w:rPr>
                <w:rFonts w:cs="Arial"/>
                <w:sz w:val="20"/>
              </w:rPr>
            </w:pPr>
            <w:r>
              <w:rPr>
                <w:rFonts w:cs="Arial"/>
                <w:sz w:val="20"/>
              </w:rPr>
              <w:t>553_67106</w:t>
            </w:r>
          </w:p>
        </w:tc>
        <w:tc>
          <w:tcPr>
            <w:tcW w:w="3840" w:type="dxa"/>
          </w:tcPr>
          <w:p w:rsidR="00CC41DF" w:rsidRDefault="00CC41DF">
            <w:pPr>
              <w:pStyle w:val="BodyText3"/>
              <w:rPr>
                <w:b w:val="0"/>
                <w:bCs w:val="0"/>
                <w:sz w:val="20"/>
              </w:rPr>
            </w:pPr>
            <w:r>
              <w:rPr>
                <w:b w:val="0"/>
                <w:bCs w:val="0"/>
                <w:sz w:val="20"/>
              </w:rPr>
              <w:t>% of ADT and Systems Team resources applied to core system planning and new developments</w:t>
            </w:r>
          </w:p>
          <w:p w:rsidR="00CC41DF" w:rsidRDefault="00CC41DF">
            <w:pPr>
              <w:numPr>
                <w:ilvl w:val="0"/>
                <w:numId w:val="42"/>
              </w:numPr>
              <w:rPr>
                <w:rFonts w:cs="Arial"/>
                <w:sz w:val="20"/>
              </w:rPr>
            </w:pPr>
            <w:r>
              <w:rPr>
                <w:rFonts w:cs="Arial"/>
                <w:sz w:val="20"/>
              </w:rPr>
              <w:t>553_67106_001</w:t>
            </w:r>
          </w:p>
        </w:tc>
        <w:tc>
          <w:tcPr>
            <w:tcW w:w="1440" w:type="dxa"/>
          </w:tcPr>
          <w:p w:rsidR="00CC41DF" w:rsidRDefault="00CC41DF">
            <w:pPr>
              <w:jc w:val="center"/>
              <w:rPr>
                <w:rFonts w:cs="Arial"/>
                <w:sz w:val="20"/>
              </w:rPr>
            </w:pPr>
            <w:r>
              <w:rPr>
                <w:rFonts w:cs="Arial"/>
                <w:sz w:val="20"/>
              </w:rPr>
              <w:t>39</w:t>
            </w:r>
          </w:p>
        </w:tc>
        <w:tc>
          <w:tcPr>
            <w:tcW w:w="1560" w:type="dxa"/>
          </w:tcPr>
          <w:p w:rsidR="00CC41DF" w:rsidRDefault="00CC41DF">
            <w:pPr>
              <w:rPr>
                <w:rFonts w:cs="Arial"/>
                <w:sz w:val="20"/>
              </w:rPr>
            </w:pPr>
            <w:r>
              <w:rPr>
                <w:rFonts w:cs="Arial"/>
                <w:sz w:val="20"/>
              </w:rPr>
              <w:t>Operations and Benefits Units</w:t>
            </w:r>
          </w:p>
          <w:p w:rsidR="00CC41DF" w:rsidRDefault="00CC41DF">
            <w:pPr>
              <w:rPr>
                <w:rFonts w:cs="Arial"/>
                <w:sz w:val="20"/>
              </w:rPr>
            </w:pPr>
            <w:r>
              <w:rPr>
                <w:rFonts w:cs="Arial"/>
                <w:sz w:val="20"/>
              </w:rPr>
              <w:t>$713,524-ITF</w:t>
            </w:r>
          </w:p>
          <w:p w:rsidR="00CC41DF" w:rsidRDefault="00CC41DF">
            <w:pPr>
              <w:rPr>
                <w:rFonts w:cs="Arial"/>
                <w:sz w:val="20"/>
              </w:rPr>
            </w:pPr>
            <w:r>
              <w:rPr>
                <w:rFonts w:cs="Arial"/>
                <w:sz w:val="20"/>
              </w:rPr>
              <w:t>Estimated</w:t>
            </w:r>
          </w:p>
        </w:tc>
        <w:tc>
          <w:tcPr>
            <w:tcW w:w="4800" w:type="dxa"/>
          </w:tcPr>
          <w:p w:rsidR="00CC41DF" w:rsidRDefault="00CC41DF">
            <w:pPr>
              <w:rPr>
                <w:rFonts w:cs="Arial"/>
                <w:sz w:val="20"/>
              </w:rPr>
            </w:pPr>
            <w:r>
              <w:rPr>
                <w:rFonts w:cs="Arial"/>
                <w:sz w:val="20"/>
              </w:rPr>
              <w:t>1.  To determine strategic use of IT resources.</w:t>
            </w:r>
          </w:p>
          <w:p w:rsidR="00CC41DF" w:rsidRDefault="00CC41DF">
            <w:pPr>
              <w:rPr>
                <w:rFonts w:cs="Arial"/>
                <w:sz w:val="20"/>
              </w:rPr>
            </w:pPr>
            <w:r>
              <w:rPr>
                <w:rFonts w:cs="Arial"/>
                <w:sz w:val="20"/>
              </w:rPr>
              <w:t>2.  No good comparison information available.</w:t>
            </w:r>
          </w:p>
          <w:p w:rsidR="00CC41DF" w:rsidRDefault="00CC41DF">
            <w:pPr>
              <w:rPr>
                <w:rFonts w:cs="Arial"/>
                <w:sz w:val="20"/>
              </w:rPr>
            </w:pPr>
            <w:r>
              <w:rPr>
                <w:rFonts w:cs="Arial"/>
                <w:sz w:val="20"/>
              </w:rPr>
              <w:t>3.  Measure needs to be refined and focused better.</w:t>
            </w:r>
          </w:p>
        </w:tc>
      </w:tr>
      <w:tr w:rsidR="00CC41DF">
        <w:tblPrEx>
          <w:tblCellMar>
            <w:top w:w="0" w:type="dxa"/>
            <w:bottom w:w="0" w:type="dxa"/>
          </w:tblCellMar>
        </w:tblPrEx>
        <w:tc>
          <w:tcPr>
            <w:tcW w:w="2508" w:type="dxa"/>
          </w:tcPr>
          <w:p w:rsidR="00CC41DF" w:rsidRDefault="00CC41DF">
            <w:pPr>
              <w:tabs>
                <w:tab w:val="left" w:pos="240"/>
              </w:tabs>
              <w:rPr>
                <w:rFonts w:cs="Arial"/>
                <w:sz w:val="20"/>
              </w:rPr>
            </w:pPr>
            <w:r>
              <w:rPr>
                <w:rFonts w:cs="Arial"/>
                <w:sz w:val="20"/>
              </w:rPr>
              <w:t>8.  Project Management</w:t>
            </w:r>
          </w:p>
          <w:p w:rsidR="00CC41DF" w:rsidRDefault="00CC41DF">
            <w:pPr>
              <w:tabs>
                <w:tab w:val="left" w:pos="240"/>
              </w:tabs>
              <w:rPr>
                <w:rFonts w:cs="Arial"/>
                <w:sz w:val="20"/>
              </w:rPr>
            </w:pPr>
            <w:r>
              <w:rPr>
                <w:rFonts w:cs="Arial"/>
                <w:sz w:val="20"/>
              </w:rPr>
              <w:t>Org #:  4110</w:t>
            </w:r>
          </w:p>
          <w:p w:rsidR="00CC41DF" w:rsidRDefault="00CC41DF">
            <w:pPr>
              <w:numPr>
                <w:ilvl w:val="0"/>
                <w:numId w:val="42"/>
              </w:numPr>
              <w:tabs>
                <w:tab w:val="left" w:pos="240"/>
              </w:tabs>
              <w:rPr>
                <w:rFonts w:cs="Arial"/>
                <w:sz w:val="20"/>
              </w:rPr>
            </w:pPr>
            <w:r>
              <w:rPr>
                <w:rFonts w:cs="Arial"/>
                <w:sz w:val="20"/>
              </w:rPr>
              <w:t>553_67107</w:t>
            </w:r>
          </w:p>
        </w:tc>
        <w:tc>
          <w:tcPr>
            <w:tcW w:w="3840" w:type="dxa"/>
          </w:tcPr>
          <w:p w:rsidR="00CC41DF" w:rsidRDefault="00CC41DF">
            <w:pPr>
              <w:rPr>
                <w:rFonts w:cs="Arial"/>
                <w:sz w:val="20"/>
              </w:rPr>
            </w:pPr>
            <w:r>
              <w:rPr>
                <w:rFonts w:cs="Arial"/>
                <w:sz w:val="20"/>
              </w:rPr>
              <w:t>% of projects completed on time.</w:t>
            </w:r>
          </w:p>
          <w:p w:rsidR="00CC41DF" w:rsidRDefault="00CC41DF">
            <w:pPr>
              <w:numPr>
                <w:ilvl w:val="0"/>
                <w:numId w:val="42"/>
              </w:numPr>
              <w:rPr>
                <w:rFonts w:cs="Arial"/>
                <w:sz w:val="20"/>
              </w:rPr>
            </w:pPr>
            <w:r>
              <w:rPr>
                <w:rFonts w:cs="Arial"/>
                <w:sz w:val="20"/>
              </w:rPr>
              <w:t>553_67107_001</w:t>
            </w:r>
          </w:p>
        </w:tc>
        <w:tc>
          <w:tcPr>
            <w:tcW w:w="1440" w:type="dxa"/>
          </w:tcPr>
          <w:p w:rsidR="00CC41DF" w:rsidRDefault="00CC41DF">
            <w:pPr>
              <w:jc w:val="center"/>
              <w:rPr>
                <w:rFonts w:cs="Arial"/>
                <w:sz w:val="20"/>
              </w:rPr>
            </w:pPr>
            <w:r>
              <w:rPr>
                <w:rFonts w:cs="Arial"/>
                <w:sz w:val="20"/>
              </w:rPr>
              <w:t>61</w:t>
            </w:r>
          </w:p>
        </w:tc>
        <w:tc>
          <w:tcPr>
            <w:tcW w:w="1560" w:type="dxa"/>
          </w:tcPr>
          <w:p w:rsidR="00CC41DF" w:rsidRDefault="00CC41DF">
            <w:pPr>
              <w:rPr>
                <w:rFonts w:cs="Arial"/>
                <w:sz w:val="20"/>
              </w:rPr>
            </w:pPr>
            <w:r>
              <w:rPr>
                <w:rFonts w:cs="Arial"/>
                <w:sz w:val="20"/>
              </w:rPr>
              <w:t>Operations and Benefits Units</w:t>
            </w:r>
          </w:p>
          <w:p w:rsidR="00CC41DF" w:rsidRDefault="00CC41DF">
            <w:pPr>
              <w:rPr>
                <w:rFonts w:cs="Arial"/>
                <w:sz w:val="20"/>
              </w:rPr>
            </w:pPr>
            <w:r>
              <w:rPr>
                <w:rFonts w:cs="Arial"/>
                <w:sz w:val="20"/>
              </w:rPr>
              <w:t>$67,380-ITF-</w:t>
            </w:r>
          </w:p>
        </w:tc>
        <w:tc>
          <w:tcPr>
            <w:tcW w:w="4800" w:type="dxa"/>
          </w:tcPr>
          <w:p w:rsidR="00CC41DF" w:rsidRDefault="00CC41DF">
            <w:pPr>
              <w:rPr>
                <w:rFonts w:cs="Arial"/>
                <w:sz w:val="20"/>
              </w:rPr>
            </w:pPr>
            <w:r>
              <w:rPr>
                <w:rFonts w:cs="Arial"/>
                <w:sz w:val="20"/>
              </w:rPr>
              <w:t>1.  To encourage timely completion of projects.</w:t>
            </w:r>
          </w:p>
          <w:p w:rsidR="00CC41DF" w:rsidRDefault="00CC41DF">
            <w:pPr>
              <w:rPr>
                <w:rFonts w:cs="Arial"/>
                <w:sz w:val="20"/>
              </w:rPr>
            </w:pPr>
            <w:r>
              <w:rPr>
                <w:rFonts w:cs="Arial"/>
                <w:sz w:val="20"/>
              </w:rPr>
              <w:t>2.  Need comparison information from peers.</w:t>
            </w:r>
          </w:p>
          <w:p w:rsidR="00CC41DF" w:rsidRDefault="00CC41DF">
            <w:pPr>
              <w:rPr>
                <w:rFonts w:cs="Arial"/>
                <w:sz w:val="20"/>
              </w:rPr>
            </w:pPr>
            <w:r>
              <w:rPr>
                <w:rFonts w:cs="Arial"/>
                <w:sz w:val="20"/>
              </w:rPr>
              <w:t>3.  Retained for FY 2005.</w:t>
            </w:r>
          </w:p>
        </w:tc>
      </w:tr>
      <w:tr w:rsidR="00CC41DF">
        <w:tblPrEx>
          <w:tblCellMar>
            <w:top w:w="0" w:type="dxa"/>
            <w:bottom w:w="0" w:type="dxa"/>
          </w:tblCellMar>
        </w:tblPrEx>
        <w:tc>
          <w:tcPr>
            <w:tcW w:w="2508" w:type="dxa"/>
          </w:tcPr>
          <w:p w:rsidR="00CC41DF" w:rsidRDefault="00CC41DF">
            <w:pPr>
              <w:tabs>
                <w:tab w:val="left" w:pos="240"/>
              </w:tabs>
              <w:rPr>
                <w:rFonts w:cs="Arial"/>
                <w:sz w:val="20"/>
              </w:rPr>
            </w:pPr>
            <w:r>
              <w:rPr>
                <w:rFonts w:cs="Arial"/>
                <w:sz w:val="20"/>
              </w:rPr>
              <w:t xml:space="preserve">9.  AGA Compliance </w:t>
            </w:r>
          </w:p>
          <w:p w:rsidR="00CC41DF" w:rsidRDefault="00CC41DF">
            <w:pPr>
              <w:tabs>
                <w:tab w:val="left" w:pos="240"/>
              </w:tabs>
              <w:rPr>
                <w:rFonts w:cs="Arial"/>
                <w:sz w:val="20"/>
              </w:rPr>
            </w:pPr>
            <w:r>
              <w:rPr>
                <w:rFonts w:cs="Arial"/>
                <w:sz w:val="20"/>
              </w:rPr>
              <w:t>Org #:  4110</w:t>
            </w:r>
          </w:p>
          <w:p w:rsidR="00CC41DF" w:rsidRDefault="00CC41DF">
            <w:pPr>
              <w:numPr>
                <w:ilvl w:val="0"/>
                <w:numId w:val="42"/>
              </w:numPr>
              <w:tabs>
                <w:tab w:val="left" w:pos="240"/>
              </w:tabs>
              <w:rPr>
                <w:rFonts w:cs="Arial"/>
                <w:sz w:val="20"/>
              </w:rPr>
            </w:pPr>
            <w:r>
              <w:rPr>
                <w:rFonts w:cs="Arial"/>
                <w:sz w:val="20"/>
              </w:rPr>
              <w:t>553_67108</w:t>
            </w:r>
          </w:p>
        </w:tc>
        <w:tc>
          <w:tcPr>
            <w:tcW w:w="3840" w:type="dxa"/>
          </w:tcPr>
          <w:p w:rsidR="00CC41DF" w:rsidRDefault="00CC41DF">
            <w:pPr>
              <w:rPr>
                <w:rFonts w:cs="Arial"/>
                <w:sz w:val="20"/>
              </w:rPr>
            </w:pPr>
            <w:r>
              <w:rPr>
                <w:rFonts w:cs="Arial"/>
                <w:sz w:val="20"/>
              </w:rPr>
              <w:t>% of requirements implemented timely and accurately</w:t>
            </w:r>
          </w:p>
          <w:p w:rsidR="00CC41DF" w:rsidRDefault="00CC41DF">
            <w:pPr>
              <w:numPr>
                <w:ilvl w:val="0"/>
                <w:numId w:val="42"/>
              </w:numPr>
              <w:rPr>
                <w:rFonts w:cs="Arial"/>
                <w:sz w:val="20"/>
              </w:rPr>
            </w:pPr>
            <w:r>
              <w:rPr>
                <w:rFonts w:cs="Arial"/>
                <w:sz w:val="20"/>
              </w:rPr>
              <w:t>553_67108_001</w:t>
            </w:r>
          </w:p>
        </w:tc>
        <w:tc>
          <w:tcPr>
            <w:tcW w:w="1440" w:type="dxa"/>
          </w:tcPr>
          <w:p w:rsidR="00CC41DF" w:rsidRDefault="00CC41DF">
            <w:pPr>
              <w:jc w:val="center"/>
              <w:rPr>
                <w:rFonts w:cs="Arial"/>
                <w:sz w:val="20"/>
              </w:rPr>
            </w:pPr>
            <w:r>
              <w:rPr>
                <w:rFonts w:cs="Arial"/>
                <w:sz w:val="20"/>
              </w:rPr>
              <w:t>100</w:t>
            </w:r>
          </w:p>
        </w:tc>
        <w:tc>
          <w:tcPr>
            <w:tcW w:w="1560" w:type="dxa"/>
          </w:tcPr>
          <w:p w:rsidR="00CC41DF" w:rsidRDefault="00CC41DF">
            <w:pPr>
              <w:rPr>
                <w:rFonts w:cs="Arial"/>
                <w:sz w:val="20"/>
              </w:rPr>
            </w:pPr>
            <w:r>
              <w:rPr>
                <w:rFonts w:cs="Arial"/>
                <w:sz w:val="20"/>
              </w:rPr>
              <w:t>Enterprise</w:t>
            </w:r>
          </w:p>
          <w:p w:rsidR="00CC41DF" w:rsidRDefault="00CC41DF">
            <w:pPr>
              <w:rPr>
                <w:rFonts w:cs="Arial"/>
                <w:sz w:val="20"/>
              </w:rPr>
            </w:pPr>
            <w:r>
              <w:rPr>
                <w:rFonts w:cs="Arial"/>
                <w:sz w:val="20"/>
              </w:rPr>
              <w:t>Will be moved to out-come measure.</w:t>
            </w:r>
          </w:p>
        </w:tc>
        <w:tc>
          <w:tcPr>
            <w:tcW w:w="4800" w:type="dxa"/>
          </w:tcPr>
          <w:p w:rsidR="00CC41DF" w:rsidRDefault="00CC41DF">
            <w:pPr>
              <w:rPr>
                <w:rFonts w:cs="Arial"/>
                <w:sz w:val="20"/>
              </w:rPr>
            </w:pPr>
            <w:r>
              <w:rPr>
                <w:rFonts w:cs="Arial"/>
                <w:sz w:val="20"/>
              </w:rPr>
              <w:t>1.  To ensure compliance with AGA in terms of budgeting, performance and strategic planning.</w:t>
            </w:r>
          </w:p>
          <w:p w:rsidR="00CC41DF" w:rsidRDefault="00CC41DF">
            <w:pPr>
              <w:rPr>
                <w:rFonts w:cs="Arial"/>
                <w:sz w:val="20"/>
              </w:rPr>
            </w:pPr>
            <w:r>
              <w:rPr>
                <w:rFonts w:cs="Arial"/>
                <w:sz w:val="20"/>
              </w:rPr>
              <w:t>2.  Important to relationships with state.</w:t>
            </w:r>
          </w:p>
          <w:p w:rsidR="00CC41DF" w:rsidRDefault="00CC41DF">
            <w:pPr>
              <w:rPr>
                <w:rFonts w:cs="Arial"/>
                <w:sz w:val="20"/>
              </w:rPr>
            </w:pPr>
            <w:r>
              <w:rPr>
                <w:rFonts w:cs="Arial"/>
                <w:sz w:val="20"/>
              </w:rPr>
              <w:t>3.  Retained for FY 2005.</w:t>
            </w:r>
          </w:p>
        </w:tc>
      </w:tr>
      <w:tr w:rsidR="00CC41DF">
        <w:tblPrEx>
          <w:tblCellMar>
            <w:top w:w="0" w:type="dxa"/>
            <w:bottom w:w="0" w:type="dxa"/>
          </w:tblCellMar>
        </w:tblPrEx>
        <w:tc>
          <w:tcPr>
            <w:tcW w:w="2508" w:type="dxa"/>
          </w:tcPr>
          <w:p w:rsidR="00CC41DF" w:rsidRDefault="00CC41DF">
            <w:pPr>
              <w:tabs>
                <w:tab w:val="left" w:pos="240"/>
              </w:tabs>
              <w:rPr>
                <w:rFonts w:cs="Arial"/>
                <w:sz w:val="20"/>
              </w:rPr>
            </w:pPr>
            <w:r>
              <w:rPr>
                <w:rFonts w:cs="Arial"/>
                <w:sz w:val="20"/>
              </w:rPr>
              <w:t>10.  Employee Satisfaction and Development</w:t>
            </w:r>
          </w:p>
          <w:p w:rsidR="00CC41DF" w:rsidRDefault="00CC41DF">
            <w:pPr>
              <w:tabs>
                <w:tab w:val="left" w:pos="240"/>
              </w:tabs>
              <w:rPr>
                <w:rFonts w:cs="Arial"/>
                <w:sz w:val="20"/>
              </w:rPr>
            </w:pPr>
            <w:r>
              <w:rPr>
                <w:rFonts w:cs="Arial"/>
                <w:sz w:val="20"/>
              </w:rPr>
              <w:t>Org#:  4110</w:t>
            </w:r>
          </w:p>
          <w:p w:rsidR="00CC41DF" w:rsidRDefault="00CC41DF">
            <w:pPr>
              <w:numPr>
                <w:ilvl w:val="0"/>
                <w:numId w:val="42"/>
              </w:numPr>
              <w:tabs>
                <w:tab w:val="left" w:pos="240"/>
              </w:tabs>
              <w:rPr>
                <w:rFonts w:cs="Arial"/>
                <w:sz w:val="20"/>
              </w:rPr>
            </w:pPr>
            <w:r>
              <w:rPr>
                <w:rFonts w:cs="Arial"/>
                <w:sz w:val="20"/>
              </w:rPr>
              <w:t>553_67109</w:t>
            </w:r>
          </w:p>
        </w:tc>
        <w:tc>
          <w:tcPr>
            <w:tcW w:w="3840" w:type="dxa"/>
          </w:tcPr>
          <w:p w:rsidR="00CC41DF" w:rsidRDefault="00CC41DF">
            <w:pPr>
              <w:rPr>
                <w:rFonts w:cs="Arial"/>
                <w:sz w:val="20"/>
              </w:rPr>
            </w:pPr>
            <w:r>
              <w:rPr>
                <w:rFonts w:cs="Arial"/>
                <w:sz w:val="20"/>
              </w:rPr>
              <w:t>% of Employees who indicate satisfaction with their jobs</w:t>
            </w:r>
          </w:p>
          <w:p w:rsidR="00CC41DF" w:rsidRDefault="00CC41DF">
            <w:pPr>
              <w:numPr>
                <w:ilvl w:val="0"/>
                <w:numId w:val="42"/>
              </w:numPr>
              <w:rPr>
                <w:rFonts w:cs="Arial"/>
                <w:sz w:val="20"/>
              </w:rPr>
            </w:pPr>
            <w:r>
              <w:rPr>
                <w:rFonts w:cs="Arial"/>
                <w:sz w:val="20"/>
              </w:rPr>
              <w:t>553_67109_001</w:t>
            </w:r>
          </w:p>
        </w:tc>
        <w:tc>
          <w:tcPr>
            <w:tcW w:w="1440" w:type="dxa"/>
          </w:tcPr>
          <w:p w:rsidR="00CC41DF" w:rsidRDefault="00CC41DF">
            <w:pPr>
              <w:jc w:val="center"/>
              <w:rPr>
                <w:rFonts w:cs="Arial"/>
                <w:sz w:val="20"/>
              </w:rPr>
            </w:pPr>
            <w:r>
              <w:rPr>
                <w:rFonts w:cs="Arial"/>
                <w:sz w:val="20"/>
              </w:rPr>
              <w:t>20 – Very Satisfied.</w:t>
            </w:r>
          </w:p>
          <w:p w:rsidR="00CC41DF" w:rsidRDefault="00CC41DF">
            <w:pPr>
              <w:jc w:val="center"/>
              <w:rPr>
                <w:rFonts w:cs="Arial"/>
                <w:sz w:val="20"/>
              </w:rPr>
            </w:pPr>
            <w:r>
              <w:rPr>
                <w:rFonts w:cs="Arial"/>
                <w:sz w:val="20"/>
              </w:rPr>
              <w:t>51 – Satisfied.</w:t>
            </w:r>
          </w:p>
        </w:tc>
        <w:tc>
          <w:tcPr>
            <w:tcW w:w="1560" w:type="dxa"/>
          </w:tcPr>
          <w:p w:rsidR="00CC41DF" w:rsidRDefault="00CC41DF">
            <w:pPr>
              <w:rPr>
                <w:rFonts w:cs="Arial"/>
                <w:sz w:val="20"/>
              </w:rPr>
            </w:pPr>
            <w:r>
              <w:rPr>
                <w:rFonts w:cs="Arial"/>
                <w:sz w:val="20"/>
              </w:rPr>
              <w:t>Enterprise</w:t>
            </w:r>
          </w:p>
          <w:p w:rsidR="00CC41DF" w:rsidRDefault="00CC41DF">
            <w:pPr>
              <w:rPr>
                <w:rFonts w:cs="Arial"/>
                <w:sz w:val="20"/>
              </w:rPr>
            </w:pPr>
            <w:r>
              <w:rPr>
                <w:rFonts w:cs="Arial"/>
                <w:sz w:val="20"/>
              </w:rPr>
              <w:t>Will be moved to outcome measure</w:t>
            </w:r>
          </w:p>
        </w:tc>
        <w:tc>
          <w:tcPr>
            <w:tcW w:w="4800" w:type="dxa"/>
          </w:tcPr>
          <w:p w:rsidR="00CC41DF" w:rsidRDefault="00CC41DF">
            <w:pPr>
              <w:rPr>
                <w:rFonts w:cs="Arial"/>
                <w:sz w:val="20"/>
              </w:rPr>
            </w:pPr>
            <w:r>
              <w:rPr>
                <w:rFonts w:cs="Arial"/>
                <w:sz w:val="20"/>
              </w:rPr>
              <w:t>1.  To determine employee job satisfaction.</w:t>
            </w:r>
          </w:p>
          <w:p w:rsidR="00CC41DF" w:rsidRDefault="00CC41DF">
            <w:pPr>
              <w:rPr>
                <w:rFonts w:cs="Arial"/>
                <w:sz w:val="20"/>
              </w:rPr>
            </w:pPr>
            <w:r>
              <w:rPr>
                <w:rFonts w:cs="Arial"/>
                <w:sz w:val="20"/>
              </w:rPr>
              <w:t>2.  Will be used as baseline for further comparisons.</w:t>
            </w:r>
          </w:p>
          <w:p w:rsidR="00CC41DF" w:rsidRDefault="00CC41DF">
            <w:pPr>
              <w:rPr>
                <w:rFonts w:cs="Arial"/>
                <w:sz w:val="20"/>
              </w:rPr>
            </w:pPr>
            <w:r>
              <w:rPr>
                <w:rFonts w:cs="Arial"/>
                <w:sz w:val="20"/>
              </w:rPr>
              <w:t>3.  Survey will be repeated in FY 2005.</w:t>
            </w:r>
          </w:p>
        </w:tc>
      </w:tr>
      <w:tr w:rsidR="00CC41DF">
        <w:tblPrEx>
          <w:tblCellMar>
            <w:top w:w="0" w:type="dxa"/>
            <w:bottom w:w="0" w:type="dxa"/>
          </w:tblCellMar>
        </w:tblPrEx>
        <w:tc>
          <w:tcPr>
            <w:tcW w:w="2508" w:type="dxa"/>
          </w:tcPr>
          <w:p w:rsidR="00CC41DF" w:rsidRDefault="00CC41DF">
            <w:pPr>
              <w:tabs>
                <w:tab w:val="left" w:pos="240"/>
              </w:tabs>
              <w:rPr>
                <w:rFonts w:cs="Arial"/>
                <w:sz w:val="20"/>
              </w:rPr>
            </w:pPr>
            <w:r>
              <w:rPr>
                <w:rFonts w:cs="Arial"/>
                <w:sz w:val="20"/>
              </w:rPr>
              <w:t>11.  Internal Audit Effectiveness</w:t>
            </w:r>
          </w:p>
          <w:p w:rsidR="00CC41DF" w:rsidRDefault="00CC41DF">
            <w:pPr>
              <w:tabs>
                <w:tab w:val="left" w:pos="240"/>
              </w:tabs>
              <w:rPr>
                <w:rFonts w:cs="Arial"/>
                <w:sz w:val="20"/>
              </w:rPr>
            </w:pPr>
            <w:r>
              <w:rPr>
                <w:rFonts w:cs="Arial"/>
                <w:sz w:val="20"/>
              </w:rPr>
              <w:t>Org #:  4110</w:t>
            </w:r>
            <w:r>
              <w:rPr>
                <w:rFonts w:cs="Arial"/>
                <w:sz w:val="20"/>
              </w:rPr>
              <w:tab/>
            </w:r>
          </w:p>
          <w:p w:rsidR="00CC41DF" w:rsidRDefault="00CC41DF">
            <w:pPr>
              <w:numPr>
                <w:ilvl w:val="0"/>
                <w:numId w:val="42"/>
              </w:numPr>
              <w:tabs>
                <w:tab w:val="left" w:pos="240"/>
              </w:tabs>
              <w:rPr>
                <w:rFonts w:cs="Arial"/>
                <w:sz w:val="20"/>
              </w:rPr>
            </w:pPr>
            <w:r>
              <w:rPr>
                <w:rFonts w:cs="Arial"/>
                <w:sz w:val="20"/>
              </w:rPr>
              <w:t>553_67110</w:t>
            </w:r>
          </w:p>
        </w:tc>
        <w:tc>
          <w:tcPr>
            <w:tcW w:w="3840" w:type="dxa"/>
          </w:tcPr>
          <w:p w:rsidR="00CC41DF" w:rsidRDefault="00CC41DF">
            <w:pPr>
              <w:rPr>
                <w:rFonts w:cs="Arial"/>
                <w:sz w:val="20"/>
              </w:rPr>
            </w:pPr>
            <w:r>
              <w:rPr>
                <w:rFonts w:cs="Arial"/>
                <w:sz w:val="20"/>
              </w:rPr>
              <w:t>% of accepted recommendations implemented</w:t>
            </w:r>
          </w:p>
          <w:p w:rsidR="00CC41DF" w:rsidRDefault="00CC41DF">
            <w:pPr>
              <w:numPr>
                <w:ilvl w:val="0"/>
                <w:numId w:val="42"/>
              </w:numPr>
              <w:rPr>
                <w:rFonts w:cs="Arial"/>
                <w:sz w:val="20"/>
              </w:rPr>
            </w:pPr>
            <w:r>
              <w:rPr>
                <w:rFonts w:cs="Arial"/>
                <w:sz w:val="20"/>
              </w:rPr>
              <w:t>553_67110_001</w:t>
            </w:r>
          </w:p>
        </w:tc>
        <w:tc>
          <w:tcPr>
            <w:tcW w:w="1440" w:type="dxa"/>
          </w:tcPr>
          <w:p w:rsidR="00CC41DF" w:rsidRDefault="00CC41DF">
            <w:pPr>
              <w:jc w:val="center"/>
              <w:rPr>
                <w:rFonts w:cs="Arial"/>
                <w:sz w:val="20"/>
              </w:rPr>
            </w:pPr>
            <w:r>
              <w:rPr>
                <w:rFonts w:cs="Arial"/>
                <w:sz w:val="20"/>
              </w:rPr>
              <w:t>44</w:t>
            </w:r>
          </w:p>
        </w:tc>
        <w:tc>
          <w:tcPr>
            <w:tcW w:w="1560" w:type="dxa"/>
          </w:tcPr>
          <w:p w:rsidR="00CC41DF" w:rsidRDefault="00CC41DF">
            <w:pPr>
              <w:rPr>
                <w:rFonts w:cs="Arial"/>
                <w:sz w:val="20"/>
              </w:rPr>
            </w:pPr>
            <w:r>
              <w:rPr>
                <w:rFonts w:cs="Arial"/>
                <w:sz w:val="20"/>
              </w:rPr>
              <w:t>Enterprise</w:t>
            </w:r>
          </w:p>
          <w:p w:rsidR="00CC41DF" w:rsidRDefault="00CC41DF">
            <w:pPr>
              <w:rPr>
                <w:rFonts w:cs="Arial"/>
                <w:sz w:val="20"/>
              </w:rPr>
            </w:pPr>
          </w:p>
          <w:p w:rsidR="00CC41DF" w:rsidRDefault="00CC41DF">
            <w:pPr>
              <w:rPr>
                <w:rFonts w:cs="Arial"/>
                <w:sz w:val="20"/>
              </w:rPr>
            </w:pPr>
            <w:r>
              <w:rPr>
                <w:rFonts w:cs="Arial"/>
                <w:sz w:val="20"/>
              </w:rPr>
              <w:t>$85,105-ITF</w:t>
            </w:r>
          </w:p>
          <w:p w:rsidR="00CC41DF" w:rsidRDefault="00CC41DF">
            <w:pPr>
              <w:rPr>
                <w:rFonts w:cs="Arial"/>
                <w:sz w:val="20"/>
              </w:rPr>
            </w:pPr>
            <w:r>
              <w:rPr>
                <w:rFonts w:cs="Arial"/>
                <w:sz w:val="20"/>
              </w:rPr>
              <w:t>Estimate</w:t>
            </w:r>
          </w:p>
        </w:tc>
        <w:tc>
          <w:tcPr>
            <w:tcW w:w="4800" w:type="dxa"/>
          </w:tcPr>
          <w:p w:rsidR="00CC41DF" w:rsidRDefault="00CC41DF">
            <w:pPr>
              <w:rPr>
                <w:rFonts w:cs="Arial"/>
                <w:sz w:val="20"/>
              </w:rPr>
            </w:pPr>
            <w:r>
              <w:rPr>
                <w:rFonts w:cs="Arial"/>
                <w:sz w:val="20"/>
              </w:rPr>
              <w:t>1.  To determine if internal recommendations are implemented.</w:t>
            </w:r>
          </w:p>
          <w:p w:rsidR="00CC41DF" w:rsidRDefault="00CC41DF">
            <w:pPr>
              <w:rPr>
                <w:rFonts w:cs="Arial"/>
                <w:sz w:val="20"/>
              </w:rPr>
            </w:pPr>
            <w:r>
              <w:rPr>
                <w:rFonts w:cs="Arial"/>
                <w:sz w:val="20"/>
              </w:rPr>
              <w:t>2.  Baseline for future comparisons.</w:t>
            </w:r>
          </w:p>
          <w:p w:rsidR="00CC41DF" w:rsidRDefault="00CC41DF">
            <w:pPr>
              <w:rPr>
                <w:rFonts w:cs="Arial"/>
                <w:sz w:val="20"/>
              </w:rPr>
            </w:pPr>
            <w:r>
              <w:rPr>
                <w:rFonts w:cs="Arial"/>
                <w:sz w:val="20"/>
              </w:rPr>
              <w:t>3.  Retained for FY 2005.</w:t>
            </w:r>
          </w:p>
        </w:tc>
      </w:tr>
    </w:tbl>
    <w:p w:rsidR="00CC41DF" w:rsidRDefault="00CC41DF">
      <w:pPr>
        <w:pStyle w:val="BodyText2"/>
        <w:rPr>
          <w:rFonts w:ascii="Times New Roman" w:hAnsi="Times New Roman" w:cs="Times New Roman"/>
          <w:b w:val="0"/>
          <w:bCs w:val="0"/>
          <w:sz w:val="20"/>
        </w:rPr>
      </w:pPr>
    </w:p>
    <w:sectPr w:rsidR="00CC41DF">
      <w:pgSz w:w="15840" w:h="12240" w:orient="landscape" w:code="1"/>
      <w:pgMar w:top="1008" w:right="1296" w:bottom="432" w:left="1296" w:header="720" w:footer="720" w:gutter="0"/>
      <w:pgNumType w:start="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41DF" w:rsidRDefault="00CC41DF">
      <w:r>
        <w:separator/>
      </w:r>
    </w:p>
  </w:endnote>
  <w:endnote w:type="continuationSeparator" w:id="1">
    <w:p w:rsidR="00CC41DF" w:rsidRDefault="00CC41DF">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mbol Set SWA">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1DF" w:rsidRDefault="00CC41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C41DF" w:rsidRDefault="00CC41D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1DF" w:rsidRDefault="00CC41DF">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130AD5">
      <w:rPr>
        <w:rStyle w:val="PageNumber"/>
        <w:noProof/>
      </w:rPr>
      <w:t>23</w:t>
    </w:r>
    <w:r>
      <w:rPr>
        <w:rStyle w:val="PageNumber"/>
      </w:rPr>
      <w:fldChar w:fldCharType="end"/>
    </w:r>
  </w:p>
  <w:p w:rsidR="00CC41DF" w:rsidRDefault="00CC41DF">
    <w:pPr>
      <w:pStyle w:val="Footer"/>
      <w:framePr w:wrap="around" w:vAnchor="text" w:hAnchor="margin" w:xAlign="center" w:y="1"/>
      <w:rPr>
        <w:rStyle w:val="PageNumber"/>
      </w:rPr>
    </w:pPr>
  </w:p>
  <w:p w:rsidR="00CC41DF" w:rsidRDefault="00CC41DF">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1DF" w:rsidRDefault="00CC41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30AD5">
      <w:rPr>
        <w:rStyle w:val="PageNumber"/>
        <w:noProof/>
      </w:rPr>
      <w:t>1</w:t>
    </w:r>
    <w:r>
      <w:rPr>
        <w:rStyle w:val="PageNumber"/>
      </w:rPr>
      <w:fldChar w:fldCharType="end"/>
    </w:r>
  </w:p>
  <w:p w:rsidR="00CC41DF" w:rsidRDefault="00CC41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41DF" w:rsidRDefault="00CC41DF">
      <w:r>
        <w:separator/>
      </w:r>
    </w:p>
  </w:footnote>
  <w:footnote w:type="continuationSeparator" w:id="1">
    <w:p w:rsidR="00CC41DF" w:rsidRDefault="00CC41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D294B"/>
    <w:multiLevelType w:val="hybridMultilevel"/>
    <w:tmpl w:val="B92654E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4E0537"/>
    <w:multiLevelType w:val="hybridMultilevel"/>
    <w:tmpl w:val="9BDCE64A"/>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nsid w:val="06C2728B"/>
    <w:multiLevelType w:val="hybridMultilevel"/>
    <w:tmpl w:val="07627C6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84B452B"/>
    <w:multiLevelType w:val="hybridMultilevel"/>
    <w:tmpl w:val="552268E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015"/>
        </w:tabs>
        <w:ind w:left="1015" w:hanging="360"/>
      </w:pPr>
      <w:rPr>
        <w:rFonts w:ascii="Courier New" w:hAnsi="Courier New" w:hint="default"/>
      </w:rPr>
    </w:lvl>
    <w:lvl w:ilvl="2" w:tplc="04090005" w:tentative="1">
      <w:start w:val="1"/>
      <w:numFmt w:val="bullet"/>
      <w:lvlText w:val=""/>
      <w:lvlJc w:val="left"/>
      <w:pPr>
        <w:tabs>
          <w:tab w:val="num" w:pos="1735"/>
        </w:tabs>
        <w:ind w:left="1735" w:hanging="360"/>
      </w:pPr>
      <w:rPr>
        <w:rFonts w:ascii="Wingdings" w:hAnsi="Wingdings" w:hint="default"/>
      </w:rPr>
    </w:lvl>
    <w:lvl w:ilvl="3" w:tplc="04090001" w:tentative="1">
      <w:start w:val="1"/>
      <w:numFmt w:val="bullet"/>
      <w:lvlText w:val=""/>
      <w:lvlJc w:val="left"/>
      <w:pPr>
        <w:tabs>
          <w:tab w:val="num" w:pos="2455"/>
        </w:tabs>
        <w:ind w:left="2455" w:hanging="360"/>
      </w:pPr>
      <w:rPr>
        <w:rFonts w:ascii="Symbol" w:hAnsi="Symbol" w:hint="default"/>
      </w:rPr>
    </w:lvl>
    <w:lvl w:ilvl="4" w:tplc="04090003" w:tentative="1">
      <w:start w:val="1"/>
      <w:numFmt w:val="bullet"/>
      <w:lvlText w:val="o"/>
      <w:lvlJc w:val="left"/>
      <w:pPr>
        <w:tabs>
          <w:tab w:val="num" w:pos="3175"/>
        </w:tabs>
        <w:ind w:left="3175" w:hanging="360"/>
      </w:pPr>
      <w:rPr>
        <w:rFonts w:ascii="Courier New" w:hAnsi="Courier New" w:hint="default"/>
      </w:rPr>
    </w:lvl>
    <w:lvl w:ilvl="5" w:tplc="04090005" w:tentative="1">
      <w:start w:val="1"/>
      <w:numFmt w:val="bullet"/>
      <w:lvlText w:val=""/>
      <w:lvlJc w:val="left"/>
      <w:pPr>
        <w:tabs>
          <w:tab w:val="num" w:pos="3895"/>
        </w:tabs>
        <w:ind w:left="3895" w:hanging="360"/>
      </w:pPr>
      <w:rPr>
        <w:rFonts w:ascii="Wingdings" w:hAnsi="Wingdings" w:hint="default"/>
      </w:rPr>
    </w:lvl>
    <w:lvl w:ilvl="6" w:tplc="04090001" w:tentative="1">
      <w:start w:val="1"/>
      <w:numFmt w:val="bullet"/>
      <w:lvlText w:val=""/>
      <w:lvlJc w:val="left"/>
      <w:pPr>
        <w:tabs>
          <w:tab w:val="num" w:pos="4615"/>
        </w:tabs>
        <w:ind w:left="4615" w:hanging="360"/>
      </w:pPr>
      <w:rPr>
        <w:rFonts w:ascii="Symbol" w:hAnsi="Symbol" w:hint="default"/>
      </w:rPr>
    </w:lvl>
    <w:lvl w:ilvl="7" w:tplc="04090003" w:tentative="1">
      <w:start w:val="1"/>
      <w:numFmt w:val="bullet"/>
      <w:lvlText w:val="o"/>
      <w:lvlJc w:val="left"/>
      <w:pPr>
        <w:tabs>
          <w:tab w:val="num" w:pos="5335"/>
        </w:tabs>
        <w:ind w:left="5335" w:hanging="360"/>
      </w:pPr>
      <w:rPr>
        <w:rFonts w:ascii="Courier New" w:hAnsi="Courier New" w:hint="default"/>
      </w:rPr>
    </w:lvl>
    <w:lvl w:ilvl="8" w:tplc="04090005" w:tentative="1">
      <w:start w:val="1"/>
      <w:numFmt w:val="bullet"/>
      <w:lvlText w:val=""/>
      <w:lvlJc w:val="left"/>
      <w:pPr>
        <w:tabs>
          <w:tab w:val="num" w:pos="6055"/>
        </w:tabs>
        <w:ind w:left="6055" w:hanging="360"/>
      </w:pPr>
      <w:rPr>
        <w:rFonts w:ascii="Wingdings" w:hAnsi="Wingdings" w:hint="default"/>
      </w:rPr>
    </w:lvl>
  </w:abstractNum>
  <w:abstractNum w:abstractNumId="4">
    <w:nsid w:val="11A92774"/>
    <w:multiLevelType w:val="hybridMultilevel"/>
    <w:tmpl w:val="76EA7E3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36E2776"/>
    <w:multiLevelType w:val="hybridMultilevel"/>
    <w:tmpl w:val="3B1C1A44"/>
    <w:lvl w:ilvl="0" w:tplc="0409000F">
      <w:start w:val="1"/>
      <w:numFmt w:val="decimal"/>
      <w:lvlText w:val="%1."/>
      <w:lvlJc w:val="left"/>
      <w:pPr>
        <w:tabs>
          <w:tab w:val="num" w:pos="360"/>
        </w:tabs>
        <w:ind w:left="360" w:hanging="360"/>
      </w:pPr>
    </w:lvl>
    <w:lvl w:ilvl="1" w:tplc="390E226E">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46A63E1"/>
    <w:multiLevelType w:val="hybridMultilevel"/>
    <w:tmpl w:val="A36027B8"/>
    <w:lvl w:ilvl="0" w:tplc="0409000B">
      <w:start w:val="1"/>
      <w:numFmt w:val="bullet"/>
      <w:lvlText w:val=""/>
      <w:lvlJc w:val="left"/>
      <w:pPr>
        <w:tabs>
          <w:tab w:val="num" w:pos="360"/>
        </w:tabs>
        <w:ind w:left="36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94B0643"/>
    <w:multiLevelType w:val="hybridMultilevel"/>
    <w:tmpl w:val="B412995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B891792"/>
    <w:multiLevelType w:val="hybridMultilevel"/>
    <w:tmpl w:val="EB28F80E"/>
    <w:lvl w:ilvl="0" w:tplc="B7D26166">
      <w:start w:val="1"/>
      <w:numFmt w:val="upperLetter"/>
      <w:lvlText w:val="%1."/>
      <w:lvlJc w:val="left"/>
      <w:pPr>
        <w:tabs>
          <w:tab w:val="num" w:pos="600"/>
        </w:tabs>
        <w:ind w:left="600" w:hanging="360"/>
      </w:pPr>
    </w:lvl>
    <w:lvl w:ilvl="1" w:tplc="0409000B">
      <w:start w:val="1"/>
      <w:numFmt w:val="bullet"/>
      <w:lvlText w:val=""/>
      <w:lvlJc w:val="left"/>
      <w:pPr>
        <w:tabs>
          <w:tab w:val="num" w:pos="1320"/>
        </w:tabs>
        <w:ind w:left="1320" w:hanging="360"/>
      </w:pPr>
      <w:rPr>
        <w:rFonts w:ascii="Wingdings" w:hAnsi="Wingdings" w:hint="default"/>
      </w:r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9">
    <w:nsid w:val="1CFC2159"/>
    <w:multiLevelType w:val="hybridMultilevel"/>
    <w:tmpl w:val="F7564FD8"/>
    <w:lvl w:ilvl="0" w:tplc="04090003">
      <w:start w:val="1"/>
      <w:numFmt w:val="bullet"/>
      <w:lvlText w:val="o"/>
      <w:lvlJc w:val="left"/>
      <w:pPr>
        <w:tabs>
          <w:tab w:val="num" w:pos="720"/>
        </w:tabs>
        <w:ind w:left="720" w:hanging="360"/>
      </w:pPr>
      <w:rPr>
        <w:rFonts w:ascii="Courier New" w:hAnsi="Courier New"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6611F42"/>
    <w:multiLevelType w:val="hybridMultilevel"/>
    <w:tmpl w:val="B41299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759359E"/>
    <w:multiLevelType w:val="hybridMultilevel"/>
    <w:tmpl w:val="65C4984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2AB05DC9"/>
    <w:multiLevelType w:val="hybridMultilevel"/>
    <w:tmpl w:val="08FE4D68"/>
    <w:lvl w:ilvl="0" w:tplc="0409000B">
      <w:start w:val="1"/>
      <w:numFmt w:val="bullet"/>
      <w:lvlText w:val=""/>
      <w:lvlJc w:val="left"/>
      <w:pPr>
        <w:tabs>
          <w:tab w:val="num" w:pos="360"/>
        </w:tabs>
        <w:ind w:left="360" w:hanging="360"/>
      </w:pPr>
      <w:rPr>
        <w:rFonts w:ascii="Wingdings" w:hAnsi="Wingdings"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32DF4013"/>
    <w:multiLevelType w:val="hybridMultilevel"/>
    <w:tmpl w:val="993C043A"/>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39C346A"/>
    <w:multiLevelType w:val="hybridMultilevel"/>
    <w:tmpl w:val="08FE4D68"/>
    <w:lvl w:ilvl="0" w:tplc="04090001">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340856D2"/>
    <w:multiLevelType w:val="hybridMultilevel"/>
    <w:tmpl w:val="02BE922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3737056E"/>
    <w:multiLevelType w:val="hybridMultilevel"/>
    <w:tmpl w:val="02BE922C"/>
    <w:lvl w:ilvl="0" w:tplc="CF3CA66E">
      <w:start w:val="1"/>
      <w:numFmt w:val="bullet"/>
      <w:lvlText w:val=""/>
      <w:lvlJc w:val="left"/>
      <w:pPr>
        <w:tabs>
          <w:tab w:val="num" w:pos="360"/>
        </w:tabs>
        <w:ind w:left="360" w:hanging="360"/>
      </w:pPr>
      <w:rPr>
        <w:rFonts w:ascii="Symbol Set SWA" w:hAnsi="Symbol Set SWA"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9E0763A"/>
    <w:multiLevelType w:val="hybridMultilevel"/>
    <w:tmpl w:val="08FE4D68"/>
    <w:lvl w:ilvl="0" w:tplc="0409000B">
      <w:start w:val="1"/>
      <w:numFmt w:val="bullet"/>
      <w:lvlText w:val=""/>
      <w:lvlJc w:val="left"/>
      <w:pPr>
        <w:tabs>
          <w:tab w:val="num" w:pos="360"/>
        </w:tabs>
        <w:ind w:left="360" w:hanging="360"/>
      </w:pPr>
      <w:rPr>
        <w:rFonts w:ascii="Wingdings" w:hAnsi="Wingdings"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415A6045"/>
    <w:multiLevelType w:val="hybridMultilevel"/>
    <w:tmpl w:val="0C8E116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42A61909"/>
    <w:multiLevelType w:val="hybridMultilevel"/>
    <w:tmpl w:val="7F68326C"/>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3A678D5"/>
    <w:multiLevelType w:val="hybridMultilevel"/>
    <w:tmpl w:val="E95E38E2"/>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465B50C9"/>
    <w:multiLevelType w:val="hybridMultilevel"/>
    <w:tmpl w:val="3B1C1A44"/>
    <w:lvl w:ilvl="0" w:tplc="390E226E">
      <w:start w:val="1"/>
      <w:numFmt w:val="bullet"/>
      <w:lvlText w:val=""/>
      <w:lvlJc w:val="left"/>
      <w:pPr>
        <w:tabs>
          <w:tab w:val="num" w:pos="720"/>
        </w:tabs>
        <w:ind w:left="720" w:hanging="360"/>
      </w:pPr>
      <w:rPr>
        <w:rFonts w:ascii="Symbol" w:hAnsi="Symbol" w:hint="default"/>
      </w:rPr>
    </w:lvl>
    <w:lvl w:ilvl="1" w:tplc="390E226E">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9005140"/>
    <w:multiLevelType w:val="multilevel"/>
    <w:tmpl w:val="5D08527E"/>
    <w:lvl w:ilvl="0">
      <w:start w:val="1"/>
      <w:numFmt w:val="bullet"/>
      <w:pStyle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hint="default"/>
      </w:rPr>
    </w:lvl>
    <w:lvl w:ilvl="2">
      <w:start w:val="1"/>
      <w:numFmt w:val="bullet"/>
      <w:lvlText w:val=""/>
      <w:lvlJc w:val="left"/>
      <w:pPr>
        <w:tabs>
          <w:tab w:val="num" w:pos="720"/>
        </w:tabs>
        <w:ind w:left="720" w:hanging="360"/>
      </w:pPr>
      <w:rPr>
        <w:rFonts w:ascii="Wingdings" w:hAnsi="Wingdings" w:hint="default"/>
      </w:rPr>
    </w:lvl>
    <w:lvl w:ilvl="3">
      <w:start w:val="1"/>
      <w:numFmt w:val="bullet"/>
      <w:lvlText w:val=""/>
      <w:lvlJc w:val="left"/>
      <w:pPr>
        <w:tabs>
          <w:tab w:val="num" w:pos="1080"/>
        </w:tabs>
        <w:ind w:left="1080" w:hanging="360"/>
      </w:pPr>
      <w:rPr>
        <w:rFonts w:ascii="Symbol" w:hAnsi="Symbol" w:hint="default"/>
      </w:rPr>
    </w:lvl>
    <w:lvl w:ilvl="4">
      <w:start w:val="1"/>
      <w:numFmt w:val="bullet"/>
      <w:lvlText w:val=""/>
      <w:lvlJc w:val="left"/>
      <w:pPr>
        <w:tabs>
          <w:tab w:val="num" w:pos="1440"/>
        </w:tabs>
        <w:ind w:left="1440" w:hanging="360"/>
      </w:pPr>
      <w:rPr>
        <w:rFonts w:ascii="Symbol" w:hAnsi="Symbol" w:hint="default"/>
      </w:rPr>
    </w:lvl>
    <w:lvl w:ilvl="5">
      <w:start w:val="1"/>
      <w:numFmt w:val="bullet"/>
      <w:lvlText w:val=""/>
      <w:lvlJc w:val="left"/>
      <w:pPr>
        <w:tabs>
          <w:tab w:val="num" w:pos="1800"/>
        </w:tabs>
        <w:ind w:left="1800" w:hanging="360"/>
      </w:pPr>
      <w:rPr>
        <w:rFonts w:ascii="Wingdings" w:hAnsi="Wingdings" w:hint="default"/>
      </w:rPr>
    </w:lvl>
    <w:lvl w:ilvl="6">
      <w:start w:val="1"/>
      <w:numFmt w:val="bullet"/>
      <w:lvlText w:val=""/>
      <w:lvlJc w:val="left"/>
      <w:pPr>
        <w:tabs>
          <w:tab w:val="num" w:pos="2160"/>
        </w:tabs>
        <w:ind w:left="2160" w:hanging="360"/>
      </w:pPr>
      <w:rPr>
        <w:rFonts w:ascii="Wingdings" w:hAnsi="Wingdings" w:hint="default"/>
      </w:rPr>
    </w:lvl>
    <w:lvl w:ilvl="7">
      <w:start w:val="1"/>
      <w:numFmt w:val="bullet"/>
      <w:lvlText w:val=""/>
      <w:lvlJc w:val="left"/>
      <w:pPr>
        <w:tabs>
          <w:tab w:val="num" w:pos="2520"/>
        </w:tabs>
        <w:ind w:left="2520" w:hanging="360"/>
      </w:pPr>
      <w:rPr>
        <w:rFonts w:ascii="Symbol" w:hAnsi="Symbol" w:hint="default"/>
      </w:rPr>
    </w:lvl>
    <w:lvl w:ilvl="8">
      <w:start w:val="1"/>
      <w:numFmt w:val="bullet"/>
      <w:lvlText w:val=""/>
      <w:lvlJc w:val="left"/>
      <w:pPr>
        <w:tabs>
          <w:tab w:val="num" w:pos="2880"/>
        </w:tabs>
        <w:ind w:left="2880" w:hanging="360"/>
      </w:pPr>
      <w:rPr>
        <w:rFonts w:ascii="Symbol" w:hAnsi="Symbol" w:hint="default"/>
      </w:rPr>
    </w:lvl>
  </w:abstractNum>
  <w:abstractNum w:abstractNumId="23">
    <w:nsid w:val="4A032AE6"/>
    <w:multiLevelType w:val="hybridMultilevel"/>
    <w:tmpl w:val="08FE4D68"/>
    <w:lvl w:ilvl="0" w:tplc="0409000B">
      <w:start w:val="1"/>
      <w:numFmt w:val="bullet"/>
      <w:lvlText w:val=""/>
      <w:lvlJc w:val="left"/>
      <w:pPr>
        <w:tabs>
          <w:tab w:val="num" w:pos="360"/>
        </w:tabs>
        <w:ind w:left="360" w:hanging="360"/>
      </w:pPr>
      <w:rPr>
        <w:rFonts w:ascii="Wingdings" w:hAnsi="Wingdings"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4ACD7090"/>
    <w:multiLevelType w:val="hybridMultilevel"/>
    <w:tmpl w:val="3D066920"/>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4D9B6B89"/>
    <w:multiLevelType w:val="hybridMultilevel"/>
    <w:tmpl w:val="89F62F24"/>
    <w:lvl w:ilvl="0" w:tplc="04090003">
      <w:start w:val="1"/>
      <w:numFmt w:val="bullet"/>
      <w:lvlText w:val="o"/>
      <w:lvlJc w:val="left"/>
      <w:pPr>
        <w:tabs>
          <w:tab w:val="num" w:pos="720"/>
        </w:tabs>
        <w:ind w:left="720" w:hanging="360"/>
      </w:pPr>
      <w:rPr>
        <w:rFonts w:ascii="Courier New" w:hAnsi="Courier New"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3290A38"/>
    <w:multiLevelType w:val="hybridMultilevel"/>
    <w:tmpl w:val="6338F2E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F157C04"/>
    <w:multiLevelType w:val="hybridMultilevel"/>
    <w:tmpl w:val="D2BADA0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5FFA4444"/>
    <w:multiLevelType w:val="hybridMultilevel"/>
    <w:tmpl w:val="9BDCE64A"/>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2B8679A"/>
    <w:multiLevelType w:val="hybridMultilevel"/>
    <w:tmpl w:val="9BDCE64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3FF69F2"/>
    <w:multiLevelType w:val="hybridMultilevel"/>
    <w:tmpl w:val="9BDCE64A"/>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B490BC1"/>
    <w:multiLevelType w:val="hybridMultilevel"/>
    <w:tmpl w:val="7F68326C"/>
    <w:lvl w:ilvl="0" w:tplc="390E226E">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B613604"/>
    <w:multiLevelType w:val="hybridMultilevel"/>
    <w:tmpl w:val="B412995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DBC08AD"/>
    <w:multiLevelType w:val="hybridMultilevel"/>
    <w:tmpl w:val="9BDCE64A"/>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4">
    <w:nsid w:val="6F042B2C"/>
    <w:multiLevelType w:val="hybridMultilevel"/>
    <w:tmpl w:val="9BDCE64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FFC5E2B"/>
    <w:multiLevelType w:val="hybridMultilevel"/>
    <w:tmpl w:val="3B1C1A44"/>
    <w:lvl w:ilvl="0" w:tplc="390E226E">
      <w:start w:val="1"/>
      <w:numFmt w:val="bullet"/>
      <w:lvlText w:val=""/>
      <w:lvlJc w:val="left"/>
      <w:pPr>
        <w:tabs>
          <w:tab w:val="num" w:pos="720"/>
        </w:tabs>
        <w:ind w:left="720" w:hanging="360"/>
      </w:pPr>
      <w:rPr>
        <w:rFonts w:ascii="Symbol" w:hAnsi="Symbol" w:hint="default"/>
      </w:rPr>
    </w:lvl>
    <w:lvl w:ilvl="1" w:tplc="390E226E">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08D1E7B"/>
    <w:multiLevelType w:val="hybridMultilevel"/>
    <w:tmpl w:val="08FE4D68"/>
    <w:lvl w:ilvl="0" w:tplc="0409000B">
      <w:start w:val="1"/>
      <w:numFmt w:val="bullet"/>
      <w:lvlText w:val=""/>
      <w:lvlJc w:val="left"/>
      <w:pPr>
        <w:tabs>
          <w:tab w:val="num" w:pos="360"/>
        </w:tabs>
        <w:ind w:left="360" w:hanging="360"/>
      </w:pPr>
      <w:rPr>
        <w:rFonts w:ascii="Wingdings" w:hAnsi="Wingdings"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78231FEF"/>
    <w:multiLevelType w:val="hybridMultilevel"/>
    <w:tmpl w:val="B57CE0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8ED5E10"/>
    <w:multiLevelType w:val="hybridMultilevel"/>
    <w:tmpl w:val="3B1C1A44"/>
    <w:lvl w:ilvl="0" w:tplc="390E226E">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A804244"/>
    <w:multiLevelType w:val="hybridMultilevel"/>
    <w:tmpl w:val="7D964182"/>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7B71663B"/>
    <w:multiLevelType w:val="hybridMultilevel"/>
    <w:tmpl w:val="642C752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B984FB9"/>
    <w:multiLevelType w:val="hybridMultilevel"/>
    <w:tmpl w:val="511AC4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7F257ACF"/>
    <w:multiLevelType w:val="hybridMultilevel"/>
    <w:tmpl w:val="4F4EDE0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nsid w:val="7F3C6C8B"/>
    <w:multiLevelType w:val="hybridMultilevel"/>
    <w:tmpl w:val="CCA44298"/>
    <w:lvl w:ilvl="0" w:tplc="695EA55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19"/>
  </w:num>
  <w:num w:numId="3">
    <w:abstractNumId w:val="42"/>
  </w:num>
  <w:num w:numId="4">
    <w:abstractNumId w:val="4"/>
  </w:num>
  <w:num w:numId="5">
    <w:abstractNumId w:val="5"/>
  </w:num>
  <w:num w:numId="6">
    <w:abstractNumId w:val="38"/>
  </w:num>
  <w:num w:numId="7">
    <w:abstractNumId w:val="21"/>
  </w:num>
  <w:num w:numId="8">
    <w:abstractNumId w:val="41"/>
  </w:num>
  <w:num w:numId="9">
    <w:abstractNumId w:val="35"/>
  </w:num>
  <w:num w:numId="10">
    <w:abstractNumId w:val="3"/>
  </w:num>
  <w:num w:numId="11">
    <w:abstractNumId w:val="22"/>
  </w:num>
  <w:num w:numId="12">
    <w:abstractNumId w:val="0"/>
  </w:num>
  <w:num w:numId="13">
    <w:abstractNumId w:val="26"/>
  </w:num>
  <w:num w:numId="14">
    <w:abstractNumId w:val="18"/>
  </w:num>
  <w:num w:numId="15">
    <w:abstractNumId w:val="13"/>
  </w:num>
  <w:num w:numId="16">
    <w:abstractNumId w:val="25"/>
  </w:num>
  <w:num w:numId="17">
    <w:abstractNumId w:val="2"/>
  </w:num>
  <w:num w:numId="18">
    <w:abstractNumId w:val="11"/>
  </w:num>
  <w:num w:numId="19">
    <w:abstractNumId w:val="27"/>
  </w:num>
  <w:num w:numId="20">
    <w:abstractNumId w:val="9"/>
  </w:num>
  <w:num w:numId="21">
    <w:abstractNumId w:val="10"/>
  </w:num>
  <w:num w:numId="22">
    <w:abstractNumId w:val="37"/>
  </w:num>
  <w:num w:numId="23">
    <w:abstractNumId w:val="29"/>
  </w:num>
  <w:num w:numId="24">
    <w:abstractNumId w:val="28"/>
  </w:num>
  <w:num w:numId="25">
    <w:abstractNumId w:val="8"/>
  </w:num>
  <w:num w:numId="26">
    <w:abstractNumId w:val="16"/>
  </w:num>
  <w:num w:numId="27">
    <w:abstractNumId w:val="7"/>
  </w:num>
  <w:num w:numId="28">
    <w:abstractNumId w:val="32"/>
  </w:num>
  <w:num w:numId="29">
    <w:abstractNumId w:val="34"/>
  </w:num>
  <w:num w:numId="30">
    <w:abstractNumId w:val="30"/>
  </w:num>
  <w:num w:numId="31">
    <w:abstractNumId w:val="33"/>
  </w:num>
  <w:num w:numId="32">
    <w:abstractNumId w:val="15"/>
  </w:num>
  <w:num w:numId="33">
    <w:abstractNumId w:val="39"/>
  </w:num>
  <w:num w:numId="34">
    <w:abstractNumId w:val="6"/>
  </w:num>
  <w:num w:numId="35">
    <w:abstractNumId w:val="40"/>
  </w:num>
  <w:num w:numId="36">
    <w:abstractNumId w:val="1"/>
  </w:num>
  <w:num w:numId="37">
    <w:abstractNumId w:val="24"/>
  </w:num>
  <w:num w:numId="38">
    <w:abstractNumId w:val="20"/>
  </w:num>
  <w:num w:numId="39">
    <w:abstractNumId w:val="14"/>
  </w:num>
  <w:num w:numId="40">
    <w:abstractNumId w:val="43"/>
  </w:num>
  <w:num w:numId="41">
    <w:abstractNumId w:val="23"/>
  </w:num>
  <w:num w:numId="42">
    <w:abstractNumId w:val="36"/>
  </w:num>
  <w:num w:numId="43">
    <w:abstractNumId w:val="12"/>
  </w:num>
  <w:num w:numId="4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footnotePr>
    <w:footnote w:id="0"/>
    <w:footnote w:id="1"/>
  </w:footnotePr>
  <w:endnotePr>
    <w:endnote w:id="0"/>
    <w:endnote w:id="1"/>
  </w:endnotePr>
  <w:compat/>
  <w:rsids>
    <w:rsidRoot w:val="00234FC5"/>
    <w:rsid w:val="00130AD5"/>
    <w:rsid w:val="00234FC5"/>
    <w:rsid w:val="00CC41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country-region"/>
  <w:smartTagType w:namespaceuri="urn:schemas-microsoft-com:office:smarttags" w:name="State"/>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36"/>
    </w:rPr>
  </w:style>
  <w:style w:type="paragraph" w:styleId="Heading2">
    <w:name w:val="heading 2"/>
    <w:basedOn w:val="Normal"/>
    <w:next w:val="Normal"/>
    <w:qFormat/>
    <w:pPr>
      <w:keepNext/>
      <w:outlineLvl w:val="1"/>
    </w:pPr>
    <w:rPr>
      <w:sz w:val="72"/>
    </w:rPr>
  </w:style>
  <w:style w:type="paragraph" w:styleId="Heading3">
    <w:name w:val="heading 3"/>
    <w:basedOn w:val="Normal"/>
    <w:next w:val="Normal"/>
    <w:qFormat/>
    <w:pPr>
      <w:keepNext/>
      <w:jc w:val="right"/>
      <w:outlineLvl w:val="2"/>
    </w:pPr>
    <w:rPr>
      <w:sz w:val="28"/>
    </w:rPr>
  </w:style>
  <w:style w:type="paragraph" w:styleId="Heading4">
    <w:name w:val="heading 4"/>
    <w:basedOn w:val="Normal"/>
    <w:next w:val="Normal"/>
    <w:qFormat/>
    <w:pPr>
      <w:keepNext/>
      <w:jc w:val="center"/>
      <w:outlineLvl w:val="3"/>
    </w:pPr>
    <w:rPr>
      <w:b/>
      <w:bCs/>
      <w:sz w:val="32"/>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jc w:val="both"/>
      <w:outlineLvl w:val="5"/>
    </w:pPr>
    <w:rPr>
      <w:rFonts w:ascii="Arial" w:hAnsi="Arial"/>
      <w:b/>
      <w:bCs/>
    </w:rPr>
  </w:style>
  <w:style w:type="paragraph" w:styleId="Heading7">
    <w:name w:val="heading 7"/>
    <w:basedOn w:val="Normal"/>
    <w:next w:val="Normal"/>
    <w:qFormat/>
    <w:pPr>
      <w:keepNext/>
      <w:outlineLvl w:val="6"/>
    </w:pPr>
    <w:rPr>
      <w:b/>
      <w:u w:val="single"/>
    </w:rPr>
  </w:style>
  <w:style w:type="paragraph" w:styleId="Heading8">
    <w:name w:val="heading 8"/>
    <w:basedOn w:val="Normal"/>
    <w:next w:val="Normal"/>
    <w:qFormat/>
    <w:pPr>
      <w:keepNext/>
      <w:jc w:val="center"/>
      <w:outlineLvl w:val="7"/>
    </w:pPr>
    <w:rPr>
      <w:b/>
      <w:bCs/>
    </w:rPr>
  </w:style>
  <w:style w:type="paragraph" w:styleId="Heading9">
    <w:name w:val="heading 9"/>
    <w:basedOn w:val="Normal"/>
    <w:next w:val="Normal"/>
    <w:qFormat/>
    <w:pPr>
      <w:keepNext/>
      <w:jc w:val="center"/>
      <w:outlineLvl w:val="8"/>
    </w:pPr>
    <w:rPr>
      <w:b/>
      <w:bCs/>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2">
    <w:name w:val="Body Text Indent 2"/>
    <w:basedOn w:val="Normal"/>
    <w:pPr>
      <w:ind w:firstLine="360"/>
      <w:jc w:val="both"/>
    </w:pPr>
  </w:style>
  <w:style w:type="paragraph" w:styleId="BodyText">
    <w:name w:val="Body Text"/>
    <w:basedOn w:val="Normal"/>
    <w:pPr>
      <w:jc w:val="both"/>
    </w:pPr>
    <w:rPr>
      <w:rFonts w:ascii="Arial" w:hAnsi="Arial"/>
    </w:rPr>
  </w:style>
  <w:style w:type="paragraph" w:styleId="BodyTextIndent3">
    <w:name w:val="Body Text Indent 3"/>
    <w:basedOn w:val="Normal"/>
    <w:pPr>
      <w:ind w:left="360"/>
      <w:jc w:val="both"/>
    </w:pPr>
    <w:rPr>
      <w:szCs w:val="20"/>
    </w:rPr>
  </w:style>
  <w:style w:type="paragraph" w:customStyle="1" w:styleId="Bullet">
    <w:name w:val="Bullet"/>
    <w:basedOn w:val="Normal"/>
    <w:pPr>
      <w:numPr>
        <w:numId w:val="11"/>
      </w:numPr>
      <w:spacing w:after="120"/>
      <w:jc w:val="both"/>
    </w:pPr>
  </w:style>
  <w:style w:type="paragraph" w:styleId="BodyText2">
    <w:name w:val="Body Text 2"/>
    <w:basedOn w:val="Normal"/>
    <w:rPr>
      <w:rFonts w:ascii="Arial" w:hAnsi="Arial" w:cs="Arial"/>
      <w:b/>
      <w:bCs/>
    </w:rPr>
  </w:style>
  <w:style w:type="paragraph" w:styleId="NormalWeb">
    <w:name w:val="Normal (Web)"/>
    <w:basedOn w:val="Normal"/>
    <w:pPr>
      <w:spacing w:before="100" w:beforeAutospacing="1" w:after="100" w:afterAutospacing="1"/>
    </w:pPr>
    <w:rPr>
      <w:color w:val="000000"/>
    </w:rPr>
  </w:style>
  <w:style w:type="paragraph" w:styleId="BodyText3">
    <w:name w:val="Body Text 3"/>
    <w:basedOn w:val="Normal"/>
    <w:pPr>
      <w:spacing w:line="320" w:lineRule="atLeast"/>
    </w:pPr>
    <w:rPr>
      <w:rFonts w:ascii="Arial" w:eastAsia="Arial Unicode MS" w:hAnsi="Arial" w:cs="Arial"/>
      <w:b/>
      <w:bCs/>
      <w:color w:val="000000"/>
      <w:sz w:val="22"/>
      <w:szCs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360" w:hanging="360"/>
      <w:jc w:val="both"/>
    </w:pPr>
  </w:style>
  <w:style w:type="character" w:styleId="PageNumber">
    <w:name w:val="page number"/>
    <w:basedOn w:val="DefaultParagraphFont"/>
  </w:style>
  <w:style w:type="character" w:styleId="Hyperlink">
    <w:name w:val="Hyperlink"/>
    <w:basedOn w:val="DefaultParagraphFont"/>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2.xml"/><Relationship Id="rId18" Type="http://schemas.openxmlformats.org/officeDocument/2006/relationships/hyperlink" Target="mailto:Curt.Sorteberg@ipers.or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styles" Target="styles.xml"/><Relationship Id="rId16" Type="http://schemas.openxmlformats.org/officeDocument/2006/relationships/chart" Target="charts/chart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chart" Target="charts/chart4.xml"/><Relationship Id="rId10" Type="http://schemas.openxmlformats.org/officeDocument/2006/relationships/footer" Target="footer3.xml"/><Relationship Id="rId19" Type="http://schemas.openxmlformats.org/officeDocument/2006/relationships/hyperlink" Target="mailto:Darla.Iverson@ipers.org"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801" b="1" i="0" u="none" strike="noStrike" baseline="0">
                <a:solidFill>
                  <a:srgbClr val="000000"/>
                </a:solidFill>
                <a:latin typeface="Arial"/>
                <a:ea typeface="Arial"/>
                <a:cs typeface="Arial"/>
              </a:defRPr>
            </a:pPr>
            <a:r>
              <a:t>CEM Score on Governance</a:t>
            </a:r>
          </a:p>
        </c:rich>
      </c:tx>
      <c:layout>
        <c:manualLayout>
          <c:xMode val="edge"/>
          <c:yMode val="edge"/>
          <c:x val="0.25698324022346375"/>
          <c:y val="0"/>
        </c:manualLayout>
      </c:layout>
      <c:spPr>
        <a:noFill/>
        <a:ln w="25423">
          <a:noFill/>
        </a:ln>
      </c:spPr>
    </c:title>
    <c:plotArea>
      <c:layout>
        <c:manualLayout>
          <c:layoutTarget val="inner"/>
          <c:xMode val="edge"/>
          <c:yMode val="edge"/>
          <c:x val="9.217877094972067E-2"/>
          <c:y val="0.1428571428571429"/>
          <c:w val="0.85195530726256985"/>
          <c:h val="0.63975155279503115"/>
        </c:manualLayout>
      </c:layout>
      <c:barChart>
        <c:barDir val="col"/>
        <c:grouping val="clustered"/>
        <c:ser>
          <c:idx val="1"/>
          <c:order val="0"/>
          <c:tx>
            <c:strRef>
              <c:f>Sheet1!$C$1</c:f>
              <c:strCache>
                <c:ptCount val="1"/>
              </c:strCache>
            </c:strRef>
          </c:tx>
          <c:spPr>
            <a:solidFill>
              <a:srgbClr val="993366"/>
            </a:solidFill>
            <a:ln w="12711">
              <a:solidFill>
                <a:srgbClr val="000000"/>
              </a:solidFill>
              <a:prstDash val="solid"/>
            </a:ln>
          </c:spPr>
          <c:cat>
            <c:strRef>
              <c:f>Sheet1!$A$2:$A$7</c:f>
              <c:strCache>
                <c:ptCount val="4"/>
                <c:pt idx="0">
                  <c:v>75th</c:v>
                </c:pt>
                <c:pt idx="1">
                  <c:v>Med</c:v>
                </c:pt>
                <c:pt idx="2">
                  <c:v>IPERS</c:v>
                </c:pt>
                <c:pt idx="3">
                  <c:v>25th</c:v>
                </c:pt>
              </c:strCache>
            </c:strRef>
          </c:cat>
          <c:val>
            <c:numRef>
              <c:f>Sheet1!$C$2:$C$7</c:f>
              <c:numCache>
                <c:formatCode>General</c:formatCode>
                <c:ptCount val="6"/>
              </c:numCache>
            </c:numRef>
          </c:val>
        </c:ser>
        <c:ser>
          <c:idx val="0"/>
          <c:order val="1"/>
          <c:tx>
            <c:strRef>
              <c:f>Sheet1!$B$1</c:f>
              <c:strCache>
                <c:ptCount val="1"/>
                <c:pt idx="0">
                  <c:v>Score</c:v>
                </c:pt>
              </c:strCache>
            </c:strRef>
          </c:tx>
          <c:spPr>
            <a:solidFill>
              <a:srgbClr val="000000"/>
            </a:solidFill>
            <a:ln w="12711">
              <a:solidFill>
                <a:srgbClr val="000000"/>
              </a:solidFill>
              <a:prstDash val="solid"/>
            </a:ln>
          </c:spPr>
          <c:cat>
            <c:strRef>
              <c:f>Sheet1!$A$2:$A$7</c:f>
              <c:strCache>
                <c:ptCount val="4"/>
                <c:pt idx="0">
                  <c:v>75th</c:v>
                </c:pt>
                <c:pt idx="1">
                  <c:v>Med</c:v>
                </c:pt>
                <c:pt idx="2">
                  <c:v>IPERS</c:v>
                </c:pt>
                <c:pt idx="3">
                  <c:v>25th</c:v>
                </c:pt>
              </c:strCache>
            </c:strRef>
          </c:cat>
          <c:val>
            <c:numRef>
              <c:f>Sheet1!$B$2:$B$7</c:f>
              <c:numCache>
                <c:formatCode>General</c:formatCode>
                <c:ptCount val="6"/>
                <c:pt idx="0">
                  <c:v>83</c:v>
                </c:pt>
                <c:pt idx="1">
                  <c:v>74</c:v>
                </c:pt>
                <c:pt idx="2">
                  <c:v>68</c:v>
                </c:pt>
                <c:pt idx="3">
                  <c:v>62</c:v>
                </c:pt>
              </c:numCache>
            </c:numRef>
          </c:val>
        </c:ser>
        <c:ser>
          <c:idx val="2"/>
          <c:order val="2"/>
          <c:tx>
            <c:strRef>
              <c:f>Sheet1!$D$1</c:f>
              <c:strCache>
                <c:ptCount val="1"/>
              </c:strCache>
            </c:strRef>
          </c:tx>
          <c:spPr>
            <a:solidFill>
              <a:srgbClr val="FFFFCC"/>
            </a:solidFill>
            <a:ln w="12711">
              <a:solidFill>
                <a:srgbClr val="000000"/>
              </a:solidFill>
              <a:prstDash val="solid"/>
            </a:ln>
          </c:spPr>
          <c:cat>
            <c:strRef>
              <c:f>Sheet1!$A$2:$A$7</c:f>
              <c:strCache>
                <c:ptCount val="4"/>
                <c:pt idx="0">
                  <c:v>75th</c:v>
                </c:pt>
                <c:pt idx="1">
                  <c:v>Med</c:v>
                </c:pt>
                <c:pt idx="2">
                  <c:v>IPERS</c:v>
                </c:pt>
                <c:pt idx="3">
                  <c:v>25th</c:v>
                </c:pt>
              </c:strCache>
            </c:strRef>
          </c:cat>
          <c:val>
            <c:numRef>
              <c:f>Sheet1!$D$2:$D$7</c:f>
              <c:numCache>
                <c:formatCode>General</c:formatCode>
                <c:ptCount val="6"/>
              </c:numCache>
            </c:numRef>
          </c:val>
        </c:ser>
        <c:gapWidth val="0"/>
        <c:axId val="135789568"/>
        <c:axId val="150217856"/>
      </c:barChart>
      <c:catAx>
        <c:axId val="135789568"/>
        <c:scaling>
          <c:orientation val="minMax"/>
        </c:scaling>
        <c:axPos val="b"/>
        <c:title>
          <c:tx>
            <c:rich>
              <a:bodyPr/>
              <a:lstStyle/>
              <a:p>
                <a:pPr>
                  <a:defRPr sz="550" b="1" i="0" u="none" strike="noStrike" baseline="0">
                    <a:solidFill>
                      <a:srgbClr val="000000"/>
                    </a:solidFill>
                    <a:latin typeface="Arial"/>
                    <a:ea typeface="Arial"/>
                    <a:cs typeface="Arial"/>
                  </a:defRPr>
                </a:pPr>
                <a:r>
                  <a:t>IPERS Performance - Percentile Ranking</a:t>
                </a:r>
              </a:p>
            </c:rich>
          </c:tx>
          <c:layout>
            <c:manualLayout>
              <c:xMode val="edge"/>
              <c:yMode val="edge"/>
              <c:x val="0.27094972067039103"/>
              <c:y val="0.9068322981366459"/>
            </c:manualLayout>
          </c:layout>
          <c:spPr>
            <a:noFill/>
            <a:ln w="25423">
              <a:noFill/>
            </a:ln>
          </c:spPr>
        </c:title>
        <c:numFmt formatCode="General" sourceLinked="1"/>
        <c:tickLblPos val="nextTo"/>
        <c:spPr>
          <a:ln w="3178">
            <a:solidFill>
              <a:srgbClr val="000000"/>
            </a:solidFill>
            <a:prstDash val="solid"/>
          </a:ln>
        </c:spPr>
        <c:txPr>
          <a:bodyPr rot="0" vert="horz"/>
          <a:lstStyle/>
          <a:p>
            <a:pPr>
              <a:defRPr sz="550" b="1" i="0" u="none" strike="noStrike" baseline="0">
                <a:solidFill>
                  <a:srgbClr val="000000"/>
                </a:solidFill>
                <a:latin typeface="Arial"/>
                <a:ea typeface="Arial"/>
                <a:cs typeface="Arial"/>
              </a:defRPr>
            </a:pPr>
            <a:endParaRPr lang="en-US"/>
          </a:p>
        </c:txPr>
        <c:crossAx val="150217856"/>
        <c:crosses val="autoZero"/>
        <c:auto val="1"/>
        <c:lblAlgn val="ctr"/>
        <c:lblOffset val="220"/>
        <c:tickLblSkip val="1"/>
        <c:tickMarkSkip val="1"/>
      </c:catAx>
      <c:valAx>
        <c:axId val="150217856"/>
        <c:scaling>
          <c:orientation val="minMax"/>
          <c:max val="100"/>
        </c:scaling>
        <c:axPos val="l"/>
        <c:majorGridlines>
          <c:spPr>
            <a:ln w="3178">
              <a:solidFill>
                <a:srgbClr val="000000"/>
              </a:solidFill>
              <a:prstDash val="solid"/>
            </a:ln>
          </c:spPr>
        </c:majorGridlines>
        <c:title>
          <c:tx>
            <c:rich>
              <a:bodyPr/>
              <a:lstStyle/>
              <a:p>
                <a:pPr>
                  <a:defRPr sz="550" b="1" i="0" u="none" strike="noStrike" baseline="0">
                    <a:solidFill>
                      <a:srgbClr val="000000"/>
                    </a:solidFill>
                    <a:latin typeface="Arial"/>
                    <a:ea typeface="Arial"/>
                    <a:cs typeface="Arial"/>
                  </a:defRPr>
                </a:pPr>
                <a:r>
                  <a:t>Score</a:t>
                </a:r>
              </a:p>
            </c:rich>
          </c:tx>
          <c:layout>
            <c:manualLayout>
              <c:xMode val="edge"/>
              <c:yMode val="edge"/>
              <c:x val="2.7932960893854758E-3"/>
              <c:y val="0.36645962732919263"/>
            </c:manualLayout>
          </c:layout>
          <c:spPr>
            <a:noFill/>
            <a:ln w="25423">
              <a:noFill/>
            </a:ln>
          </c:spPr>
        </c:title>
        <c:numFmt formatCode="General" sourceLinked="1"/>
        <c:tickLblPos val="nextTo"/>
        <c:spPr>
          <a:ln w="3178">
            <a:solidFill>
              <a:srgbClr val="000000"/>
            </a:solidFill>
            <a:prstDash val="solid"/>
          </a:ln>
        </c:spPr>
        <c:txPr>
          <a:bodyPr rot="0" vert="horz"/>
          <a:lstStyle/>
          <a:p>
            <a:pPr>
              <a:defRPr sz="550" b="0" i="0" u="none" strike="noStrike" baseline="0">
                <a:solidFill>
                  <a:srgbClr val="000000"/>
                </a:solidFill>
                <a:latin typeface="Arial"/>
                <a:ea typeface="Arial"/>
                <a:cs typeface="Arial"/>
              </a:defRPr>
            </a:pPr>
            <a:endParaRPr lang="en-US"/>
          </a:p>
        </c:txPr>
        <c:crossAx val="135789568"/>
        <c:crosses val="autoZero"/>
        <c:crossBetween val="between"/>
        <c:minorUnit val="2"/>
      </c:valAx>
      <c:spPr>
        <a:solidFill>
          <a:srgbClr val="FFFFFF"/>
        </a:solidFill>
        <a:ln w="12711">
          <a:solidFill>
            <a:srgbClr val="808080"/>
          </a:solidFill>
          <a:prstDash val="solid"/>
        </a:ln>
      </c:spPr>
    </c:plotArea>
    <c:dispBlanksAs val="gap"/>
  </c:chart>
  <c:spPr>
    <a:noFill/>
    <a:ln>
      <a:noFill/>
    </a:ln>
  </c:spPr>
  <c:txPr>
    <a:bodyPr/>
    <a:lstStyle/>
    <a:p>
      <a:pPr>
        <a:defRPr sz="275" b="0" i="0" u="none" strike="noStrike" baseline="0">
          <a:solidFill>
            <a:srgbClr val="000000"/>
          </a:solidFill>
          <a:latin typeface="Arial"/>
          <a:ea typeface="Arial"/>
          <a:cs typeface="Arial"/>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2430939226519337"/>
          <c:y val="8.0769230769230774E-2"/>
          <c:w val="0.64917127071823211"/>
          <c:h val="0.49230769230769245"/>
        </c:manualLayout>
      </c:layout>
      <c:barChart>
        <c:barDir val="col"/>
        <c:grouping val="clustered"/>
        <c:ser>
          <c:idx val="0"/>
          <c:order val="0"/>
          <c:tx>
            <c:strRef>
              <c:f>Sheet1!$A$2</c:f>
              <c:strCache>
                <c:ptCount val="1"/>
                <c:pt idx="0">
                  <c:v>Target</c:v>
                </c:pt>
              </c:strCache>
            </c:strRef>
          </c:tx>
          <c:spPr>
            <a:solidFill>
              <a:srgbClr val="9999FF"/>
            </a:solidFill>
            <a:ln w="12682">
              <a:solidFill>
                <a:srgbClr val="000000"/>
              </a:solidFill>
              <a:prstDash val="solid"/>
            </a:ln>
          </c:spPr>
          <c:cat>
            <c:strRef>
              <c:f>Sheet1!$B$1:$E$1</c:f>
              <c:strCache>
                <c:ptCount val="4"/>
                <c:pt idx="0">
                  <c:v>Strategic Planning</c:v>
                </c:pt>
                <c:pt idx="1">
                  <c:v>Performance Planning</c:v>
                </c:pt>
                <c:pt idx="2">
                  <c:v>Performance Reporting</c:v>
                </c:pt>
                <c:pt idx="3">
                  <c:v>Excellence Assessment</c:v>
                </c:pt>
              </c:strCache>
            </c:strRef>
          </c:cat>
          <c:val>
            <c:numRef>
              <c:f>Sheet1!$B$2:$E$2</c:f>
              <c:numCache>
                <c:formatCode>General</c:formatCode>
                <c:ptCount val="4"/>
                <c:pt idx="0">
                  <c:v>100</c:v>
                </c:pt>
                <c:pt idx="1">
                  <c:v>100</c:v>
                </c:pt>
                <c:pt idx="2">
                  <c:v>100</c:v>
                </c:pt>
                <c:pt idx="3">
                  <c:v>100</c:v>
                </c:pt>
              </c:numCache>
            </c:numRef>
          </c:val>
        </c:ser>
        <c:ser>
          <c:idx val="1"/>
          <c:order val="1"/>
          <c:tx>
            <c:strRef>
              <c:f>Sheet1!$A$3</c:f>
              <c:strCache>
                <c:ptCount val="1"/>
                <c:pt idx="0">
                  <c:v>Actual</c:v>
                </c:pt>
              </c:strCache>
            </c:strRef>
          </c:tx>
          <c:spPr>
            <a:solidFill>
              <a:srgbClr val="993366"/>
            </a:solidFill>
            <a:ln w="12682">
              <a:solidFill>
                <a:srgbClr val="000000"/>
              </a:solidFill>
              <a:prstDash val="solid"/>
            </a:ln>
          </c:spPr>
          <c:cat>
            <c:strRef>
              <c:f>Sheet1!$B$1:$E$1</c:f>
              <c:strCache>
                <c:ptCount val="4"/>
                <c:pt idx="0">
                  <c:v>Strategic Planning</c:v>
                </c:pt>
                <c:pt idx="1">
                  <c:v>Performance Planning</c:v>
                </c:pt>
                <c:pt idx="2">
                  <c:v>Performance Reporting</c:v>
                </c:pt>
                <c:pt idx="3">
                  <c:v>Excellence Assessment</c:v>
                </c:pt>
              </c:strCache>
            </c:strRef>
          </c:cat>
          <c:val>
            <c:numRef>
              <c:f>Sheet1!$B$3:$E$3</c:f>
              <c:numCache>
                <c:formatCode>General</c:formatCode>
                <c:ptCount val="4"/>
                <c:pt idx="0">
                  <c:v>100</c:v>
                </c:pt>
                <c:pt idx="1">
                  <c:v>100</c:v>
                </c:pt>
                <c:pt idx="2">
                  <c:v>100</c:v>
                </c:pt>
                <c:pt idx="3">
                  <c:v>100</c:v>
                </c:pt>
              </c:numCache>
            </c:numRef>
          </c:val>
        </c:ser>
        <c:axId val="135758592"/>
        <c:axId val="135760128"/>
      </c:barChart>
      <c:catAx>
        <c:axId val="135758592"/>
        <c:scaling>
          <c:orientation val="minMax"/>
        </c:scaling>
        <c:axPos val="b"/>
        <c:numFmt formatCode="General" sourceLinked="1"/>
        <c:tickLblPos val="nextTo"/>
        <c:spPr>
          <a:ln w="3170">
            <a:solidFill>
              <a:srgbClr val="000000"/>
            </a:solidFill>
            <a:prstDash val="solid"/>
          </a:ln>
        </c:spPr>
        <c:txPr>
          <a:bodyPr rot="-5400000" vert="horz"/>
          <a:lstStyle/>
          <a:p>
            <a:pPr>
              <a:defRPr sz="1048" b="1" i="0" u="none" strike="noStrike" baseline="0">
                <a:solidFill>
                  <a:srgbClr val="000000"/>
                </a:solidFill>
                <a:latin typeface="Arial"/>
                <a:ea typeface="Arial"/>
                <a:cs typeface="Arial"/>
              </a:defRPr>
            </a:pPr>
            <a:endParaRPr lang="en-US"/>
          </a:p>
        </c:txPr>
        <c:crossAx val="135760128"/>
        <c:crosses val="autoZero"/>
        <c:auto val="1"/>
        <c:lblAlgn val="ctr"/>
        <c:lblOffset val="100"/>
        <c:tickLblSkip val="1"/>
        <c:tickMarkSkip val="1"/>
      </c:catAx>
      <c:valAx>
        <c:axId val="135760128"/>
        <c:scaling>
          <c:orientation val="minMax"/>
          <c:max val="100"/>
        </c:scaling>
        <c:axPos val="l"/>
        <c:majorGridlines>
          <c:spPr>
            <a:ln w="3170">
              <a:solidFill>
                <a:srgbClr val="000000"/>
              </a:solidFill>
              <a:prstDash val="solid"/>
            </a:ln>
          </c:spPr>
        </c:majorGridlines>
        <c:numFmt formatCode="General" sourceLinked="1"/>
        <c:tickLblPos val="nextTo"/>
        <c:spPr>
          <a:ln w="3170">
            <a:solidFill>
              <a:srgbClr val="000000"/>
            </a:solidFill>
            <a:prstDash val="solid"/>
          </a:ln>
        </c:spPr>
        <c:txPr>
          <a:bodyPr rot="0" vert="horz"/>
          <a:lstStyle/>
          <a:p>
            <a:pPr>
              <a:defRPr sz="1048" b="1" i="0" u="none" strike="noStrike" baseline="0">
                <a:solidFill>
                  <a:srgbClr val="000000"/>
                </a:solidFill>
                <a:latin typeface="Arial"/>
                <a:ea typeface="Arial"/>
                <a:cs typeface="Arial"/>
              </a:defRPr>
            </a:pPr>
            <a:endParaRPr lang="en-US"/>
          </a:p>
        </c:txPr>
        <c:crossAx val="135758592"/>
        <c:crosses val="autoZero"/>
        <c:crossBetween val="between"/>
        <c:minorUnit val="4"/>
      </c:valAx>
      <c:spPr>
        <a:solidFill>
          <a:srgbClr val="C0C0C0"/>
        </a:solidFill>
        <a:ln w="12682">
          <a:solidFill>
            <a:srgbClr val="808080"/>
          </a:solidFill>
          <a:prstDash val="solid"/>
        </a:ln>
      </c:spPr>
    </c:plotArea>
    <c:legend>
      <c:legendPos val="r"/>
      <c:layout>
        <c:manualLayout>
          <c:xMode val="edge"/>
          <c:yMode val="edge"/>
          <c:x val="0.81491712707182318"/>
          <c:y val="0.05"/>
          <c:w val="0.18508287292817677"/>
          <c:h val="0.1730769230769231"/>
        </c:manualLayout>
      </c:layout>
      <c:spPr>
        <a:noFill/>
        <a:ln w="3170">
          <a:solidFill>
            <a:srgbClr val="000000"/>
          </a:solidFill>
          <a:prstDash val="solid"/>
        </a:ln>
      </c:spPr>
      <c:txPr>
        <a:bodyPr/>
        <a:lstStyle/>
        <a:p>
          <a:pPr>
            <a:defRPr sz="964" b="1" i="0" u="none" strike="noStrike" baseline="0">
              <a:solidFill>
                <a:srgbClr val="000000"/>
              </a:solidFill>
              <a:latin typeface="Arial"/>
              <a:ea typeface="Arial"/>
              <a:cs typeface="Arial"/>
            </a:defRPr>
          </a:pPr>
          <a:endParaRPr lang="en-US"/>
        </a:p>
      </c:txPr>
    </c:legend>
    <c:plotVisOnly val="1"/>
    <c:dispBlanksAs val="gap"/>
  </c:chart>
  <c:spPr>
    <a:noFill/>
    <a:ln>
      <a:noFill/>
    </a:ln>
  </c:spPr>
  <c:txPr>
    <a:bodyPr/>
    <a:lstStyle/>
    <a:p>
      <a:pPr>
        <a:defRPr sz="1048" b="1" i="0" u="none" strike="noStrike" baseline="0">
          <a:solidFill>
            <a:srgbClr val="000000"/>
          </a:solidFill>
          <a:latin typeface="Arial"/>
          <a:ea typeface="Arial"/>
          <a:cs typeface="Arial"/>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hPercent val="79"/>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2230215827338133"/>
          <c:y val="9.3406593406593422E-2"/>
          <c:w val="0.65107913669064765"/>
          <c:h val="0.63736263736263732"/>
        </c:manualLayout>
      </c:layout>
      <c:bar3DChart>
        <c:barDir val="col"/>
        <c:grouping val="clustered"/>
        <c:ser>
          <c:idx val="0"/>
          <c:order val="0"/>
          <c:tx>
            <c:strRef>
              <c:f>Sheet1!$A$2</c:f>
              <c:strCache>
                <c:ptCount val="1"/>
                <c:pt idx="0">
                  <c:v>East</c:v>
                </c:pt>
              </c:strCache>
            </c:strRef>
          </c:tx>
          <c:spPr>
            <a:solidFill>
              <a:srgbClr val="9999FF"/>
            </a:solidFill>
            <a:ln w="12700">
              <a:solidFill>
                <a:srgbClr val="000000"/>
              </a:solidFill>
              <a:prstDash val="solid"/>
            </a:ln>
          </c:spPr>
          <c:cat>
            <c:strRef>
              <c:f>Sheet1!$B$1:$E$1</c:f>
              <c:strCache>
                <c:ptCount val="4"/>
                <c:pt idx="0">
                  <c:v>1st Qtr</c:v>
                </c:pt>
                <c:pt idx="1">
                  <c:v>2nd Qtr</c:v>
                </c:pt>
                <c:pt idx="2">
                  <c:v>3rd Qtr</c:v>
                </c:pt>
                <c:pt idx="3">
                  <c:v>4th Qtr</c:v>
                </c:pt>
              </c:strCache>
            </c:strRef>
          </c:cat>
          <c:val>
            <c:numRef>
              <c:f>Sheet1!$B$2:$E$2</c:f>
              <c:numCache>
                <c:formatCode>General</c:formatCode>
                <c:ptCount val="4"/>
                <c:pt idx="0">
                  <c:v>20.399999999999999</c:v>
                </c:pt>
                <c:pt idx="1">
                  <c:v>27.4</c:v>
                </c:pt>
                <c:pt idx="2">
                  <c:v>90</c:v>
                </c:pt>
                <c:pt idx="3">
                  <c:v>20.399999999999999</c:v>
                </c:pt>
              </c:numCache>
            </c:numRef>
          </c:val>
        </c:ser>
        <c:ser>
          <c:idx val="1"/>
          <c:order val="1"/>
          <c:tx>
            <c:strRef>
              <c:f>Sheet1!$A$3</c:f>
              <c:strCache>
                <c:ptCount val="1"/>
                <c:pt idx="0">
                  <c:v>West</c:v>
                </c:pt>
              </c:strCache>
            </c:strRef>
          </c:tx>
          <c:spPr>
            <a:solidFill>
              <a:srgbClr val="993366"/>
            </a:solidFill>
            <a:ln w="12700">
              <a:solidFill>
                <a:srgbClr val="000000"/>
              </a:solidFill>
              <a:prstDash val="solid"/>
            </a:ln>
          </c:spPr>
          <c:cat>
            <c:strRef>
              <c:f>Sheet1!$B$1:$E$1</c:f>
              <c:strCache>
                <c:ptCount val="4"/>
                <c:pt idx="0">
                  <c:v>1st Qtr</c:v>
                </c:pt>
                <c:pt idx="1">
                  <c:v>2nd Qtr</c:v>
                </c:pt>
                <c:pt idx="2">
                  <c:v>3rd Qtr</c:v>
                </c:pt>
                <c:pt idx="3">
                  <c:v>4th Qtr</c:v>
                </c:pt>
              </c:strCache>
            </c:strRef>
          </c:cat>
          <c:val>
            <c:numRef>
              <c:f>Sheet1!$B$3:$E$3</c:f>
              <c:numCache>
                <c:formatCode>General</c:formatCode>
                <c:ptCount val="4"/>
                <c:pt idx="0">
                  <c:v>30.6</c:v>
                </c:pt>
                <c:pt idx="1">
                  <c:v>38.6</c:v>
                </c:pt>
                <c:pt idx="2">
                  <c:v>34.6</c:v>
                </c:pt>
                <c:pt idx="3">
                  <c:v>31.6</c:v>
                </c:pt>
              </c:numCache>
            </c:numRef>
          </c:val>
        </c:ser>
        <c:ser>
          <c:idx val="2"/>
          <c:order val="2"/>
          <c:tx>
            <c:strRef>
              <c:f>Sheet1!$A$4</c:f>
              <c:strCache>
                <c:ptCount val="1"/>
                <c:pt idx="0">
                  <c:v>North</c:v>
                </c:pt>
              </c:strCache>
            </c:strRef>
          </c:tx>
          <c:spPr>
            <a:solidFill>
              <a:srgbClr val="FFFFCC"/>
            </a:solidFill>
            <a:ln w="12700">
              <a:solidFill>
                <a:srgbClr val="000000"/>
              </a:solidFill>
              <a:prstDash val="solid"/>
            </a:ln>
          </c:spPr>
          <c:cat>
            <c:strRef>
              <c:f>Sheet1!$B$1:$E$1</c:f>
              <c:strCache>
                <c:ptCount val="4"/>
                <c:pt idx="0">
                  <c:v>1st Qtr</c:v>
                </c:pt>
                <c:pt idx="1">
                  <c:v>2nd Qtr</c:v>
                </c:pt>
                <c:pt idx="2">
                  <c:v>3rd Qtr</c:v>
                </c:pt>
                <c:pt idx="3">
                  <c:v>4th Qtr</c:v>
                </c:pt>
              </c:strCache>
            </c:strRef>
          </c:cat>
          <c:val>
            <c:numRef>
              <c:f>Sheet1!$B$4:$E$4</c:f>
              <c:numCache>
                <c:formatCode>General</c:formatCode>
                <c:ptCount val="4"/>
                <c:pt idx="0">
                  <c:v>45.9</c:v>
                </c:pt>
                <c:pt idx="1">
                  <c:v>46.9</c:v>
                </c:pt>
                <c:pt idx="2">
                  <c:v>45</c:v>
                </c:pt>
                <c:pt idx="3">
                  <c:v>43.9</c:v>
                </c:pt>
              </c:numCache>
            </c:numRef>
          </c:val>
        </c:ser>
        <c:gapDepth val="0"/>
        <c:shape val="box"/>
        <c:axId val="110722048"/>
        <c:axId val="135725824"/>
        <c:axId val="0"/>
      </c:bar3DChart>
      <c:catAx>
        <c:axId val="110722048"/>
        <c:scaling>
          <c:orientation val="minMax"/>
        </c:scaling>
        <c:axPos val="b"/>
        <c:numFmt formatCode="General" sourceLinked="1"/>
        <c:tickLblPos val="low"/>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135725824"/>
        <c:crosses val="autoZero"/>
        <c:auto val="1"/>
        <c:lblAlgn val="ctr"/>
        <c:lblOffset val="100"/>
        <c:tickLblSkip val="1"/>
        <c:tickMarkSkip val="1"/>
      </c:catAx>
      <c:valAx>
        <c:axId val="135725824"/>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110722048"/>
        <c:crosses val="autoZero"/>
        <c:crossBetween val="between"/>
      </c:valAx>
      <c:spPr>
        <a:noFill/>
        <a:ln w="25400">
          <a:noFill/>
        </a:ln>
      </c:spPr>
    </c:plotArea>
    <c:legend>
      <c:legendPos val="r"/>
      <c:layout>
        <c:manualLayout>
          <c:xMode val="edge"/>
          <c:yMode val="edge"/>
          <c:x val="0.81294964028776984"/>
          <c:y val="0.34065934065934067"/>
          <c:w val="0.17266187050359713"/>
          <c:h val="0.31868131868131866"/>
        </c:manualLayout>
      </c:layout>
      <c:spPr>
        <a:noFill/>
        <a:ln w="3175">
          <a:solidFill>
            <a:srgbClr val="000000"/>
          </a:solidFill>
          <a:prstDash val="solid"/>
        </a:ln>
      </c:spPr>
      <c:txPr>
        <a:bodyPr/>
        <a:lstStyle/>
        <a:p>
          <a:pPr>
            <a:defRPr sz="735" b="1" i="0" u="none" strike="noStrike" baseline="0">
              <a:solidFill>
                <a:srgbClr val="000000"/>
              </a:solidFill>
              <a:latin typeface="Arial"/>
              <a:ea typeface="Arial"/>
              <a:cs typeface="Arial"/>
            </a:defRPr>
          </a:pPr>
          <a:endParaRPr lang="en-US"/>
        </a:p>
      </c:txPr>
    </c:legend>
    <c:plotVisOnly val="1"/>
    <c:dispBlanksAs val="gap"/>
  </c:chart>
  <c:spPr>
    <a:noFill/>
    <a:ln>
      <a:noFill/>
    </a:ln>
  </c:spPr>
  <c:txPr>
    <a:bodyPr/>
    <a:lstStyle/>
    <a:p>
      <a:pPr>
        <a:defRPr sz="800" b="1" i="0" u="none" strike="noStrike" baseline="0">
          <a:solidFill>
            <a:srgbClr val="000000"/>
          </a:solidFill>
          <a:latin typeface="Arial"/>
          <a:ea typeface="Arial"/>
          <a:cs typeface="Arial"/>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1" b="1" i="0" u="none" strike="noStrike" baseline="0">
                <a:solidFill>
                  <a:srgbClr val="000000"/>
                </a:solidFill>
                <a:latin typeface="Arial"/>
                <a:ea typeface="Arial"/>
                <a:cs typeface="Arial"/>
              </a:defRPr>
            </a:pPr>
            <a:r>
              <a:t> Services in Top 25 Percent</a:t>
            </a:r>
          </a:p>
        </c:rich>
      </c:tx>
      <c:layout>
        <c:manualLayout>
          <c:xMode val="edge"/>
          <c:yMode val="edge"/>
          <c:x val="0.22979797979797983"/>
          <c:y val="7.8125E-3"/>
        </c:manualLayout>
      </c:layout>
      <c:spPr>
        <a:noFill/>
        <a:ln w="25424">
          <a:noFill/>
        </a:ln>
      </c:spPr>
    </c:title>
    <c:plotArea>
      <c:layout>
        <c:manualLayout>
          <c:layoutTarget val="inner"/>
          <c:xMode val="edge"/>
          <c:yMode val="edge"/>
          <c:x val="0.17424242424242431"/>
          <c:y val="0.15625000000000003"/>
          <c:w val="0.76515151515151525"/>
          <c:h val="0.58984375"/>
        </c:manualLayout>
      </c:layout>
      <c:barChart>
        <c:barDir val="col"/>
        <c:grouping val="clustered"/>
        <c:ser>
          <c:idx val="0"/>
          <c:order val="0"/>
          <c:tx>
            <c:strRef>
              <c:f>Sheet1!$A$2</c:f>
              <c:strCache>
                <c:ptCount val="1"/>
              </c:strCache>
            </c:strRef>
          </c:tx>
          <c:spPr>
            <a:solidFill>
              <a:srgbClr val="9999FF"/>
            </a:solidFill>
            <a:ln w="12712">
              <a:solidFill>
                <a:srgbClr val="000000"/>
              </a:solidFill>
              <a:prstDash val="solid"/>
            </a:ln>
          </c:spPr>
          <c:cat>
            <c:strRef>
              <c:f>Sheet1!$B$1:$E$1</c:f>
              <c:strCache>
                <c:ptCount val="2"/>
                <c:pt idx="0">
                  <c:v>FY 2003</c:v>
                </c:pt>
                <c:pt idx="1">
                  <c:v>FY 2004 Target*</c:v>
                </c:pt>
              </c:strCache>
            </c:strRef>
          </c:cat>
          <c:val>
            <c:numRef>
              <c:f>Sheet1!$B$2:$E$2</c:f>
              <c:numCache>
                <c:formatCode>General</c:formatCode>
                <c:ptCount val="4"/>
                <c:pt idx="0">
                  <c:v>50</c:v>
                </c:pt>
                <c:pt idx="1">
                  <c:v>60</c:v>
                </c:pt>
              </c:numCache>
            </c:numRef>
          </c:val>
        </c:ser>
        <c:ser>
          <c:idx val="1"/>
          <c:order val="1"/>
          <c:tx>
            <c:strRef>
              <c:f>Sheet1!$A$3</c:f>
              <c:strCache>
                <c:ptCount val="1"/>
              </c:strCache>
            </c:strRef>
          </c:tx>
          <c:spPr>
            <a:solidFill>
              <a:srgbClr val="993366"/>
            </a:solidFill>
            <a:ln w="12712">
              <a:solidFill>
                <a:srgbClr val="000000"/>
              </a:solidFill>
              <a:prstDash val="solid"/>
            </a:ln>
          </c:spPr>
          <c:cat>
            <c:strRef>
              <c:f>Sheet1!$B$1:$E$1</c:f>
              <c:strCache>
                <c:ptCount val="2"/>
                <c:pt idx="0">
                  <c:v>FY 2003</c:v>
                </c:pt>
                <c:pt idx="1">
                  <c:v>FY 2004 Target*</c:v>
                </c:pt>
              </c:strCache>
            </c:strRef>
          </c:cat>
          <c:val>
            <c:numRef>
              <c:f>Sheet1!$B$3:$E$3</c:f>
              <c:numCache>
                <c:formatCode>General</c:formatCode>
                <c:ptCount val="4"/>
              </c:numCache>
            </c:numRef>
          </c:val>
        </c:ser>
        <c:axId val="110727168"/>
        <c:axId val="110728704"/>
      </c:barChart>
      <c:catAx>
        <c:axId val="110727168"/>
        <c:scaling>
          <c:orientation val="minMax"/>
        </c:scaling>
        <c:axPos val="b"/>
        <c:numFmt formatCode="General" sourceLinked="1"/>
        <c:tickLblPos val="nextTo"/>
        <c:spPr>
          <a:ln w="3178">
            <a:solidFill>
              <a:srgbClr val="000000"/>
            </a:solidFill>
            <a:prstDash val="solid"/>
          </a:ln>
        </c:spPr>
        <c:txPr>
          <a:bodyPr rot="0" vert="horz"/>
          <a:lstStyle/>
          <a:p>
            <a:pPr>
              <a:defRPr sz="1101" b="1" i="0" u="none" strike="noStrike" baseline="0">
                <a:solidFill>
                  <a:srgbClr val="000000"/>
                </a:solidFill>
                <a:latin typeface="Arial"/>
                <a:ea typeface="Arial"/>
                <a:cs typeface="Arial"/>
              </a:defRPr>
            </a:pPr>
            <a:endParaRPr lang="en-US"/>
          </a:p>
        </c:txPr>
        <c:crossAx val="110728704"/>
        <c:crosses val="autoZero"/>
        <c:auto val="1"/>
        <c:lblAlgn val="ctr"/>
        <c:lblOffset val="100"/>
        <c:tickLblSkip val="1"/>
        <c:tickMarkSkip val="1"/>
      </c:catAx>
      <c:valAx>
        <c:axId val="110728704"/>
        <c:scaling>
          <c:orientation val="minMax"/>
          <c:max val="100"/>
        </c:scaling>
        <c:axPos val="l"/>
        <c:majorGridlines>
          <c:spPr>
            <a:ln w="3178">
              <a:solidFill>
                <a:srgbClr val="000000"/>
              </a:solidFill>
              <a:prstDash val="solid"/>
            </a:ln>
          </c:spPr>
        </c:majorGridlines>
        <c:title>
          <c:tx>
            <c:rich>
              <a:bodyPr rot="5400000" vert="horz"/>
              <a:lstStyle/>
              <a:p>
                <a:pPr algn="ctr">
                  <a:defRPr sz="1101" b="1" i="0" u="none" strike="noStrike" baseline="0">
                    <a:solidFill>
                      <a:srgbClr val="000000"/>
                    </a:solidFill>
                    <a:latin typeface="Arial"/>
                    <a:ea typeface="Arial"/>
                    <a:cs typeface="Arial"/>
                  </a:defRPr>
                </a:pPr>
                <a:r>
                  <a:t>Percent</a:t>
                </a:r>
              </a:p>
            </c:rich>
          </c:tx>
          <c:layout>
            <c:manualLayout>
              <c:xMode val="edge"/>
              <c:yMode val="edge"/>
              <c:x val="7.5757575757575777E-3"/>
              <c:y val="0.33203125"/>
            </c:manualLayout>
          </c:layout>
          <c:spPr>
            <a:noFill/>
            <a:ln w="25424">
              <a:noFill/>
            </a:ln>
          </c:spPr>
        </c:title>
        <c:numFmt formatCode="General" sourceLinked="1"/>
        <c:tickLblPos val="nextTo"/>
        <c:spPr>
          <a:ln w="3178">
            <a:solidFill>
              <a:srgbClr val="000000"/>
            </a:solidFill>
            <a:prstDash val="solid"/>
          </a:ln>
        </c:spPr>
        <c:txPr>
          <a:bodyPr rot="0" vert="horz"/>
          <a:lstStyle/>
          <a:p>
            <a:pPr>
              <a:defRPr sz="1101" b="1" i="0" u="none" strike="noStrike" baseline="0">
                <a:solidFill>
                  <a:srgbClr val="000000"/>
                </a:solidFill>
                <a:latin typeface="Arial"/>
                <a:ea typeface="Arial"/>
                <a:cs typeface="Arial"/>
              </a:defRPr>
            </a:pPr>
            <a:endParaRPr lang="en-US"/>
          </a:p>
        </c:txPr>
        <c:crossAx val="110727168"/>
        <c:crosses val="autoZero"/>
        <c:crossBetween val="between"/>
      </c:valAx>
      <c:spPr>
        <a:solidFill>
          <a:srgbClr val="C0C0C0"/>
        </a:solidFill>
        <a:ln w="12712">
          <a:solidFill>
            <a:srgbClr val="808080"/>
          </a:solidFill>
          <a:prstDash val="solid"/>
        </a:ln>
      </c:spPr>
    </c:plotArea>
    <c:plotVisOnly val="1"/>
    <c:dispBlanksAs val="gap"/>
  </c:chart>
  <c:spPr>
    <a:noFill/>
    <a:ln>
      <a:noFill/>
    </a:ln>
  </c:spPr>
  <c:txPr>
    <a:bodyPr/>
    <a:lstStyle/>
    <a:p>
      <a:pPr>
        <a:defRPr sz="1126" b="1" i="0" u="none" strike="noStrike" baseline="0">
          <a:solidFill>
            <a:srgbClr val="000000"/>
          </a:solidFill>
          <a:latin typeface="Arial"/>
          <a:ea typeface="Arial"/>
          <a:cs typeface="Arial"/>
        </a:defRPr>
      </a:pPr>
      <a:endParaRPr lang="en-US"/>
    </a:p>
  </c:txPr>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199" b="1" i="0" u="none" strike="noStrike" baseline="0">
                <a:solidFill>
                  <a:srgbClr val="000000"/>
                </a:solidFill>
                <a:latin typeface="Arial"/>
                <a:ea typeface="Arial"/>
                <a:cs typeface="Arial"/>
              </a:defRPr>
            </a:pPr>
            <a:r>
              <a:t>FY 04 Investment Administrative Expense</a:t>
            </a:r>
          </a:p>
        </c:rich>
      </c:tx>
      <c:layout>
        <c:manualLayout>
          <c:xMode val="edge"/>
          <c:yMode val="edge"/>
          <c:x val="0.12235294117647059"/>
          <c:y val="1.872659176029963E-2"/>
        </c:manualLayout>
      </c:layout>
      <c:spPr>
        <a:noFill/>
        <a:ln w="25388">
          <a:noFill/>
        </a:ln>
      </c:spPr>
    </c:title>
    <c:plotArea>
      <c:layout>
        <c:manualLayout>
          <c:layoutTarget val="inner"/>
          <c:xMode val="edge"/>
          <c:yMode val="edge"/>
          <c:x val="0.29882352941176477"/>
          <c:y val="0.17602996254681649"/>
          <c:w val="0.68"/>
          <c:h val="0.37453183520599259"/>
        </c:manualLayout>
      </c:layout>
      <c:barChart>
        <c:barDir val="col"/>
        <c:grouping val="clustered"/>
        <c:ser>
          <c:idx val="0"/>
          <c:order val="0"/>
          <c:tx>
            <c:strRef>
              <c:f>Sheet1!$A$2</c:f>
              <c:strCache>
                <c:ptCount val="1"/>
              </c:strCache>
            </c:strRef>
          </c:tx>
          <c:spPr>
            <a:solidFill>
              <a:srgbClr val="9999FF"/>
            </a:solidFill>
            <a:ln w="12694">
              <a:solidFill>
                <a:srgbClr val="000000"/>
              </a:solidFill>
              <a:prstDash val="solid"/>
            </a:ln>
          </c:spPr>
          <c:cat>
            <c:strRef>
              <c:f>Sheet1!$B$1:$E$1</c:f>
              <c:strCache>
                <c:ptCount val="2"/>
                <c:pt idx="0">
                  <c:v>Actual</c:v>
                </c:pt>
                <c:pt idx="1">
                  <c:v>Statutory Limit</c:v>
                </c:pt>
              </c:strCache>
            </c:strRef>
          </c:cat>
          <c:val>
            <c:numRef>
              <c:f>Sheet1!$B$2:$E$2</c:f>
              <c:numCache>
                <c:formatCode>General</c:formatCode>
                <c:ptCount val="4"/>
                <c:pt idx="0">
                  <c:v>20.399999999999999</c:v>
                </c:pt>
                <c:pt idx="1">
                  <c:v>40</c:v>
                </c:pt>
              </c:numCache>
            </c:numRef>
          </c:val>
        </c:ser>
        <c:axId val="109241856"/>
        <c:axId val="109243392"/>
      </c:barChart>
      <c:catAx>
        <c:axId val="109241856"/>
        <c:scaling>
          <c:orientation val="minMax"/>
        </c:scaling>
        <c:axPos val="b"/>
        <c:numFmt formatCode="General" sourceLinked="1"/>
        <c:tickLblPos val="nextTo"/>
        <c:spPr>
          <a:ln w="3173">
            <a:solidFill>
              <a:srgbClr val="000000"/>
            </a:solidFill>
            <a:prstDash val="solid"/>
          </a:ln>
        </c:spPr>
        <c:txPr>
          <a:bodyPr rot="-2700000" vert="horz"/>
          <a:lstStyle/>
          <a:p>
            <a:pPr>
              <a:defRPr sz="1199" b="1" i="0" u="none" strike="noStrike" baseline="0">
                <a:solidFill>
                  <a:srgbClr val="000000"/>
                </a:solidFill>
                <a:latin typeface="Arial"/>
                <a:ea typeface="Arial"/>
                <a:cs typeface="Arial"/>
              </a:defRPr>
            </a:pPr>
            <a:endParaRPr lang="en-US"/>
          </a:p>
        </c:txPr>
        <c:crossAx val="109243392"/>
        <c:crosses val="autoZero"/>
        <c:auto val="1"/>
        <c:lblAlgn val="ctr"/>
        <c:lblOffset val="100"/>
        <c:tickLblSkip val="1"/>
        <c:tickMarkSkip val="1"/>
      </c:catAx>
      <c:valAx>
        <c:axId val="109243392"/>
        <c:scaling>
          <c:orientation val="minMax"/>
          <c:max val="50"/>
        </c:scaling>
        <c:axPos val="l"/>
        <c:majorGridlines>
          <c:spPr>
            <a:ln w="3173">
              <a:solidFill>
                <a:srgbClr val="000000"/>
              </a:solidFill>
              <a:prstDash val="solid"/>
            </a:ln>
          </c:spPr>
        </c:majorGridlines>
        <c:title>
          <c:tx>
            <c:rich>
              <a:bodyPr rot="0" vert="horz"/>
              <a:lstStyle/>
              <a:p>
                <a:pPr algn="ctr">
                  <a:defRPr sz="1000" b="1" i="0" u="none" strike="noStrike" baseline="0">
                    <a:solidFill>
                      <a:srgbClr val="000000"/>
                    </a:solidFill>
                    <a:latin typeface="Arial"/>
                    <a:ea typeface="Arial"/>
                    <a:cs typeface="Arial"/>
                  </a:defRPr>
                </a:pPr>
                <a:r>
                  <a:t>Basis Points (% X 100)</a:t>
                </a:r>
              </a:p>
            </c:rich>
          </c:tx>
          <c:layout>
            <c:manualLayout>
              <c:xMode val="edge"/>
              <c:yMode val="edge"/>
              <c:x val="3.0588235294117649E-2"/>
              <c:y val="0.28838951310861433"/>
            </c:manualLayout>
          </c:layout>
          <c:spPr>
            <a:noFill/>
            <a:ln w="25388">
              <a:noFill/>
            </a:ln>
          </c:spPr>
        </c:title>
        <c:numFmt formatCode="General" sourceLinked="1"/>
        <c:tickLblPos val="nextTo"/>
        <c:spPr>
          <a:ln w="3173">
            <a:solidFill>
              <a:srgbClr val="000000"/>
            </a:solidFill>
            <a:prstDash val="solid"/>
          </a:ln>
        </c:spPr>
        <c:txPr>
          <a:bodyPr rot="0" vert="horz"/>
          <a:lstStyle/>
          <a:p>
            <a:pPr>
              <a:defRPr sz="1199" b="1" i="0" u="none" strike="noStrike" baseline="0">
                <a:solidFill>
                  <a:srgbClr val="000000"/>
                </a:solidFill>
                <a:latin typeface="Arial"/>
                <a:ea typeface="Arial"/>
                <a:cs typeface="Arial"/>
              </a:defRPr>
            </a:pPr>
            <a:endParaRPr lang="en-US"/>
          </a:p>
        </c:txPr>
        <c:crossAx val="109241856"/>
        <c:crosses val="autoZero"/>
        <c:crossBetween val="between"/>
      </c:valAx>
      <c:spPr>
        <a:solidFill>
          <a:srgbClr val="C0C0C0"/>
        </a:solidFill>
        <a:ln w="12694">
          <a:solidFill>
            <a:srgbClr val="808080"/>
          </a:solidFill>
          <a:prstDash val="solid"/>
        </a:ln>
      </c:spPr>
    </c:plotArea>
    <c:plotVisOnly val="1"/>
    <c:dispBlanksAs val="gap"/>
  </c:chart>
  <c:spPr>
    <a:noFill/>
    <a:ln>
      <a:noFill/>
    </a:ln>
  </c:spPr>
  <c:txPr>
    <a:bodyPr/>
    <a:lstStyle/>
    <a:p>
      <a:pPr>
        <a:defRPr sz="1174" b="1" i="0" u="none" strike="noStrike" baseline="0">
          <a:solidFill>
            <a:srgbClr val="000000"/>
          </a:solidFill>
          <a:latin typeface="Arial"/>
          <a:ea typeface="Arial"/>
          <a:cs typeface="Arial"/>
        </a:defRPr>
      </a:pPr>
      <a:endParaRPr lang="en-US"/>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hPercent val="79"/>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2230215827338133"/>
          <c:y val="9.3406593406593422E-2"/>
          <c:w val="0.65107913669064765"/>
          <c:h val="0.63736263736263732"/>
        </c:manualLayout>
      </c:layout>
      <c:bar3DChart>
        <c:barDir val="col"/>
        <c:grouping val="clustered"/>
        <c:ser>
          <c:idx val="0"/>
          <c:order val="0"/>
          <c:tx>
            <c:strRef>
              <c:f>Sheet1!$A$2</c:f>
              <c:strCache>
                <c:ptCount val="1"/>
                <c:pt idx="0">
                  <c:v>East</c:v>
                </c:pt>
              </c:strCache>
            </c:strRef>
          </c:tx>
          <c:spPr>
            <a:solidFill>
              <a:srgbClr val="9999FF"/>
            </a:solidFill>
            <a:ln w="12700">
              <a:solidFill>
                <a:srgbClr val="000000"/>
              </a:solidFill>
              <a:prstDash val="solid"/>
            </a:ln>
          </c:spPr>
          <c:cat>
            <c:strRef>
              <c:f>Sheet1!$B$1:$E$1</c:f>
              <c:strCache>
                <c:ptCount val="4"/>
                <c:pt idx="0">
                  <c:v>1st Qtr</c:v>
                </c:pt>
                <c:pt idx="1">
                  <c:v>2nd Qtr</c:v>
                </c:pt>
                <c:pt idx="2">
                  <c:v>3rd Qtr</c:v>
                </c:pt>
                <c:pt idx="3">
                  <c:v>4th Qtr</c:v>
                </c:pt>
              </c:strCache>
            </c:strRef>
          </c:cat>
          <c:val>
            <c:numRef>
              <c:f>Sheet1!$B$2:$E$2</c:f>
              <c:numCache>
                <c:formatCode>General</c:formatCode>
                <c:ptCount val="4"/>
                <c:pt idx="0">
                  <c:v>20.399999999999999</c:v>
                </c:pt>
                <c:pt idx="1">
                  <c:v>27.4</c:v>
                </c:pt>
                <c:pt idx="2">
                  <c:v>90</c:v>
                </c:pt>
                <c:pt idx="3">
                  <c:v>20.399999999999999</c:v>
                </c:pt>
              </c:numCache>
            </c:numRef>
          </c:val>
        </c:ser>
        <c:ser>
          <c:idx val="1"/>
          <c:order val="1"/>
          <c:tx>
            <c:strRef>
              <c:f>Sheet1!$A$3</c:f>
              <c:strCache>
                <c:ptCount val="1"/>
                <c:pt idx="0">
                  <c:v>West</c:v>
                </c:pt>
              </c:strCache>
            </c:strRef>
          </c:tx>
          <c:spPr>
            <a:solidFill>
              <a:srgbClr val="993366"/>
            </a:solidFill>
            <a:ln w="12700">
              <a:solidFill>
                <a:srgbClr val="000000"/>
              </a:solidFill>
              <a:prstDash val="solid"/>
            </a:ln>
          </c:spPr>
          <c:cat>
            <c:strRef>
              <c:f>Sheet1!$B$1:$E$1</c:f>
              <c:strCache>
                <c:ptCount val="4"/>
                <c:pt idx="0">
                  <c:v>1st Qtr</c:v>
                </c:pt>
                <c:pt idx="1">
                  <c:v>2nd Qtr</c:v>
                </c:pt>
                <c:pt idx="2">
                  <c:v>3rd Qtr</c:v>
                </c:pt>
                <c:pt idx="3">
                  <c:v>4th Qtr</c:v>
                </c:pt>
              </c:strCache>
            </c:strRef>
          </c:cat>
          <c:val>
            <c:numRef>
              <c:f>Sheet1!$B$3:$E$3</c:f>
              <c:numCache>
                <c:formatCode>General</c:formatCode>
                <c:ptCount val="4"/>
                <c:pt idx="0">
                  <c:v>30.6</c:v>
                </c:pt>
                <c:pt idx="1">
                  <c:v>38.6</c:v>
                </c:pt>
                <c:pt idx="2">
                  <c:v>34.6</c:v>
                </c:pt>
                <c:pt idx="3">
                  <c:v>31.6</c:v>
                </c:pt>
              </c:numCache>
            </c:numRef>
          </c:val>
        </c:ser>
        <c:ser>
          <c:idx val="2"/>
          <c:order val="2"/>
          <c:tx>
            <c:strRef>
              <c:f>Sheet1!$A$4</c:f>
              <c:strCache>
                <c:ptCount val="1"/>
                <c:pt idx="0">
                  <c:v>North</c:v>
                </c:pt>
              </c:strCache>
            </c:strRef>
          </c:tx>
          <c:spPr>
            <a:solidFill>
              <a:srgbClr val="FFFFCC"/>
            </a:solidFill>
            <a:ln w="12700">
              <a:solidFill>
                <a:srgbClr val="000000"/>
              </a:solidFill>
              <a:prstDash val="solid"/>
            </a:ln>
          </c:spPr>
          <c:cat>
            <c:strRef>
              <c:f>Sheet1!$B$1:$E$1</c:f>
              <c:strCache>
                <c:ptCount val="4"/>
                <c:pt idx="0">
                  <c:v>1st Qtr</c:v>
                </c:pt>
                <c:pt idx="1">
                  <c:v>2nd Qtr</c:v>
                </c:pt>
                <c:pt idx="2">
                  <c:v>3rd Qtr</c:v>
                </c:pt>
                <c:pt idx="3">
                  <c:v>4th Qtr</c:v>
                </c:pt>
              </c:strCache>
            </c:strRef>
          </c:cat>
          <c:val>
            <c:numRef>
              <c:f>Sheet1!$B$4:$E$4</c:f>
              <c:numCache>
                <c:formatCode>General</c:formatCode>
                <c:ptCount val="4"/>
                <c:pt idx="0">
                  <c:v>45.9</c:v>
                </c:pt>
                <c:pt idx="1">
                  <c:v>46.9</c:v>
                </c:pt>
                <c:pt idx="2">
                  <c:v>45</c:v>
                </c:pt>
                <c:pt idx="3">
                  <c:v>43.9</c:v>
                </c:pt>
              </c:numCache>
            </c:numRef>
          </c:val>
        </c:ser>
        <c:gapDepth val="0"/>
        <c:shape val="box"/>
        <c:axId val="109138688"/>
        <c:axId val="109140224"/>
        <c:axId val="0"/>
      </c:bar3DChart>
      <c:catAx>
        <c:axId val="109138688"/>
        <c:scaling>
          <c:orientation val="minMax"/>
        </c:scaling>
        <c:axPos val="b"/>
        <c:numFmt formatCode="General" sourceLinked="1"/>
        <c:tickLblPos val="low"/>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109140224"/>
        <c:crosses val="autoZero"/>
        <c:auto val="1"/>
        <c:lblAlgn val="ctr"/>
        <c:lblOffset val="100"/>
        <c:tickLblSkip val="1"/>
        <c:tickMarkSkip val="1"/>
      </c:catAx>
      <c:valAx>
        <c:axId val="109140224"/>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109138688"/>
        <c:crosses val="autoZero"/>
        <c:crossBetween val="between"/>
      </c:valAx>
      <c:spPr>
        <a:noFill/>
        <a:ln w="25400">
          <a:noFill/>
        </a:ln>
      </c:spPr>
    </c:plotArea>
    <c:legend>
      <c:legendPos val="r"/>
      <c:layout>
        <c:manualLayout>
          <c:xMode val="edge"/>
          <c:yMode val="edge"/>
          <c:x val="0.81294964028776984"/>
          <c:y val="0.34065934065934067"/>
          <c:w val="0.17266187050359713"/>
          <c:h val="0.31868131868131866"/>
        </c:manualLayout>
      </c:layout>
      <c:spPr>
        <a:noFill/>
        <a:ln w="3175">
          <a:solidFill>
            <a:srgbClr val="000000"/>
          </a:solidFill>
          <a:prstDash val="solid"/>
        </a:ln>
      </c:spPr>
      <c:txPr>
        <a:bodyPr/>
        <a:lstStyle/>
        <a:p>
          <a:pPr>
            <a:defRPr sz="735" b="1" i="0" u="none" strike="noStrike" baseline="0">
              <a:solidFill>
                <a:srgbClr val="000000"/>
              </a:solidFill>
              <a:latin typeface="Arial"/>
              <a:ea typeface="Arial"/>
              <a:cs typeface="Arial"/>
            </a:defRPr>
          </a:pPr>
          <a:endParaRPr lang="en-US"/>
        </a:p>
      </c:txPr>
    </c:legend>
    <c:plotVisOnly val="1"/>
    <c:dispBlanksAs val="gap"/>
  </c:chart>
  <c:spPr>
    <a:noFill/>
    <a:ln>
      <a:noFill/>
    </a:ln>
  </c:spPr>
  <c:txPr>
    <a:bodyPr/>
    <a:lstStyle/>
    <a:p>
      <a:pPr>
        <a:defRPr sz="800" b="1" i="0" u="none" strike="noStrike" baseline="0">
          <a:solidFill>
            <a:srgbClr val="000000"/>
          </a:solidFill>
          <a:latin typeface="Arial"/>
          <a:ea typeface="Arial"/>
          <a:cs typeface="Arial"/>
        </a:defRPr>
      </a:pPr>
      <a:endParaRPr lang="en-US"/>
    </a:p>
  </c:txPr>
  <c:externalData r:id="rId1"/>
</c:chartSpace>
</file>

<file path=word/drawings/drawing1.xml><?xml version="1.0" encoding="utf-8"?>
<c:userShapes xmlns:c="http://schemas.openxmlformats.org/drawingml/2006/chart">
  <cdr:relSizeAnchor xmlns:cdr="http://schemas.openxmlformats.org/drawingml/2006/chartDrawing">
    <cdr:from>
      <cdr:x>0.06175</cdr:x>
      <cdr:y>0.93275</cdr:y>
    </cdr:from>
    <cdr:to>
      <cdr:x>0.95975</cdr:x>
      <cdr:y>1</cdr:y>
    </cdr:to>
    <cdr:sp macro="" textlink="">
      <cdr:nvSpPr>
        <cdr:cNvPr id="1025" name="Text Box 1"/>
        <cdr:cNvSpPr txBox="1">
          <a:spLocks xmlns:a="http://schemas.openxmlformats.org/drawingml/2006/main" noChangeArrowheads="1"/>
        </cdr:cNvSpPr>
      </cdr:nvSpPr>
      <cdr:spPr bwMode="auto">
        <a:xfrm xmlns:a="http://schemas.openxmlformats.org/drawingml/2006/main">
          <a:off x="232915" y="2274418"/>
          <a:ext cx="3387166" cy="163982"/>
        </a:xfrm>
        <a:prstGeom xmlns:a="http://schemas.openxmlformats.org/drawingml/2006/main" prst="rect">
          <a:avLst/>
        </a:prstGeom>
        <a:noFill xmlns:a="http://schemas.openxmlformats.org/drawingml/2006/main"/>
        <a:ln xmlns:a="http://schemas.openxmlformats.org/drawingml/2006/main" w="9525">
          <a:noFill/>
          <a:miter lim="800000"/>
          <a:headEnd/>
          <a:tailEnd/>
        </a:ln>
      </cdr:spPr>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5944</Words>
  <Characters>33882</Characters>
  <Application>Microsoft Office Word</Application>
  <DocSecurity>4</DocSecurity>
  <Lines>282</Lines>
  <Paragraphs>79</Paragraphs>
  <ScaleCrop>false</ScaleCrop>
  <HeadingPairs>
    <vt:vector size="2" baseType="variant">
      <vt:variant>
        <vt:lpstr>Title</vt:lpstr>
      </vt:variant>
      <vt:variant>
        <vt:i4>1</vt:i4>
      </vt:variant>
    </vt:vector>
  </HeadingPairs>
  <TitlesOfParts>
    <vt:vector size="1" baseType="lpstr">
      <vt:lpstr>IOWA PUBLIC EMPLOYEES’ RETIREMENT SYSTEM</vt:lpstr>
    </vt:vector>
  </TitlesOfParts>
  <Company>IPERS</Company>
  <LinksUpToDate>false</LinksUpToDate>
  <CharactersWithSpaces>39747</CharactersWithSpaces>
  <SharedDoc>false</SharedDoc>
  <HLinks>
    <vt:vector size="12" baseType="variant">
      <vt:variant>
        <vt:i4>7536668</vt:i4>
      </vt:variant>
      <vt:variant>
        <vt:i4>36</vt:i4>
      </vt:variant>
      <vt:variant>
        <vt:i4>0</vt:i4>
      </vt:variant>
      <vt:variant>
        <vt:i4>5</vt:i4>
      </vt:variant>
      <vt:variant>
        <vt:lpwstr>mailto:Darla.Iverson@ipers.org</vt:lpwstr>
      </vt:variant>
      <vt:variant>
        <vt:lpwstr/>
      </vt:variant>
      <vt:variant>
        <vt:i4>4718653</vt:i4>
      </vt:variant>
      <vt:variant>
        <vt:i4>33</vt:i4>
      </vt:variant>
      <vt:variant>
        <vt:i4>0</vt:i4>
      </vt:variant>
      <vt:variant>
        <vt:i4>5</vt:i4>
      </vt:variant>
      <vt:variant>
        <vt:lpwstr>mailto:Curt.Sorteberg@ipers.org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IOWA PUBLIC EMPLOYEES’ RETIREMENT SYSTEM</dc:title>
  <dc:subject/>
  <dc:creator>Curt Sorteberg</dc:creator>
  <cp:keywords/>
  <dc:description/>
  <cp:lastModifiedBy>Margaret Noon</cp:lastModifiedBy>
  <cp:revision>2</cp:revision>
  <cp:lastPrinted>2004-12-14T21:04:00Z</cp:lastPrinted>
  <dcterms:created xsi:type="dcterms:W3CDTF">2009-02-10T14:34:00Z</dcterms:created>
  <dcterms:modified xsi:type="dcterms:W3CDTF">2009-02-10T14:34:00Z</dcterms:modified>
</cp:coreProperties>
</file>