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BFB" w:rsidRDefault="00604BFB" w:rsidP="00604BFB">
      <w:pPr>
        <w:jc w:val="both"/>
        <w:outlineLvl w:val="0"/>
        <w:rPr>
          <w:rFonts w:ascii="Arial" w:hAnsi="Arial" w:cs="Arial"/>
          <w:sz w:val="44"/>
        </w:rPr>
      </w:pPr>
      <w:r>
        <w:rPr>
          <w:rFonts w:ascii="Arial" w:hAnsi="Arial" w:cs="Arial"/>
          <w:sz w:val="44"/>
        </w:rPr>
        <w:t>DEPARTMENT OF COMMERCE</w:t>
      </w:r>
    </w:p>
    <w:p w:rsidR="00604BFB" w:rsidRDefault="00604BFB" w:rsidP="00604BFB">
      <w:pPr>
        <w:jc w:val="both"/>
        <w:outlineLvl w:val="0"/>
        <w:rPr>
          <w:rFonts w:ascii="Arial" w:hAnsi="Arial" w:cs="Arial"/>
          <w:sz w:val="44"/>
        </w:rPr>
      </w:pPr>
      <w:smartTag w:uri="urn:schemas-microsoft-com:office:smarttags" w:element="place">
        <w:smartTag w:uri="urn:schemas-microsoft-com:office:smarttags" w:element="State">
          <w:r>
            <w:rPr>
              <w:rFonts w:ascii="Arial" w:hAnsi="Arial" w:cs="Arial"/>
              <w:sz w:val="44"/>
            </w:rPr>
            <w:t>IOWA</w:t>
          </w:r>
        </w:smartTag>
      </w:smartTag>
      <w:r>
        <w:rPr>
          <w:rFonts w:ascii="Arial" w:hAnsi="Arial" w:cs="Arial"/>
          <w:sz w:val="44"/>
        </w:rPr>
        <w:t xml:space="preserve"> DIVISION OF BANKING </w:t>
      </w:r>
    </w:p>
    <w:p w:rsidR="00604BFB" w:rsidRDefault="00604BFB" w:rsidP="00604BFB">
      <w:pPr>
        <w:jc w:val="both"/>
        <w:rPr>
          <w:rFonts w:ascii="Arial" w:hAnsi="Arial" w:cs="Arial"/>
          <w:sz w:val="44"/>
        </w:rPr>
      </w:pPr>
    </w:p>
    <w:p w:rsidR="00604BFB" w:rsidRDefault="00604BFB" w:rsidP="00604BFB">
      <w:pPr>
        <w:jc w:val="both"/>
        <w:rPr>
          <w:rFonts w:ascii="Arial" w:hAnsi="Arial" w:cs="Arial"/>
          <w:sz w:val="44"/>
        </w:rPr>
      </w:pPr>
    </w:p>
    <w:p w:rsidR="00604BFB" w:rsidRDefault="00604BFB" w:rsidP="00604BFB">
      <w:pPr>
        <w:jc w:val="both"/>
        <w:rPr>
          <w:rFonts w:ascii="Arial" w:hAnsi="Arial" w:cs="Arial"/>
        </w:rPr>
      </w:pPr>
    </w:p>
    <w:p w:rsidR="00604BFB" w:rsidRDefault="00604BFB" w:rsidP="00604BFB">
      <w:pPr>
        <w:jc w:val="both"/>
        <w:rPr>
          <w:rFonts w:ascii="Arial" w:hAnsi="Arial" w:cs="Arial"/>
          <w:sz w:val="96"/>
        </w:rPr>
      </w:pPr>
      <w:r>
        <w:rPr>
          <w:rFonts w:ascii="Arial" w:hAnsi="Arial" w:cs="Arial"/>
          <w:sz w:val="96"/>
        </w:rPr>
        <w:t xml:space="preserve">PERFORMANCE REPORT </w:t>
      </w:r>
    </w:p>
    <w:p w:rsidR="00604BFB" w:rsidRDefault="00604BFB" w:rsidP="00604BFB">
      <w:pPr>
        <w:jc w:val="both"/>
        <w:rPr>
          <w:rFonts w:ascii="Arial" w:hAnsi="Arial" w:cs="Arial"/>
        </w:rPr>
      </w:pPr>
    </w:p>
    <w:p w:rsidR="00604BFB" w:rsidRDefault="00604BFB" w:rsidP="00604BFB">
      <w:pPr>
        <w:jc w:val="both"/>
        <w:rPr>
          <w:rFonts w:ascii="Arial" w:hAnsi="Arial" w:cs="Arial"/>
        </w:rPr>
      </w:pPr>
    </w:p>
    <w:p w:rsidR="00604BFB" w:rsidRDefault="00604BFB" w:rsidP="00604BFB">
      <w:pPr>
        <w:ind w:left="4320"/>
        <w:jc w:val="both"/>
        <w:rPr>
          <w:rFonts w:ascii="Arial" w:hAnsi="Arial" w:cs="Arial"/>
          <w:sz w:val="36"/>
        </w:rPr>
      </w:pPr>
      <w:r>
        <w:rPr>
          <w:rFonts w:ascii="Arial" w:hAnsi="Arial" w:cs="Arial"/>
          <w:sz w:val="36"/>
        </w:rPr>
        <w:t>Performance Results Achieved for Fiscal Year 2005</w:t>
      </w:r>
    </w:p>
    <w:p w:rsidR="00604BFB" w:rsidRDefault="00604BFB" w:rsidP="00604BFB">
      <w:pPr>
        <w:ind w:left="4320"/>
        <w:jc w:val="both"/>
        <w:rPr>
          <w:rFonts w:ascii="Arial" w:hAnsi="Arial" w:cs="Arial"/>
          <w:sz w:val="36"/>
        </w:rPr>
      </w:pPr>
      <w:r>
        <w:rPr>
          <w:rFonts w:ascii="Arial" w:hAnsi="Arial" w:cs="Arial"/>
          <w:sz w:val="36"/>
        </w:rPr>
        <w:t>Thomas Gronstal, Director of Commerce &amp; Superintendent of Banking</w:t>
      </w:r>
    </w:p>
    <w:p w:rsidR="00604BFB" w:rsidRDefault="00604BFB" w:rsidP="00604BFB">
      <w:pPr>
        <w:ind w:left="4320"/>
        <w:jc w:val="both"/>
        <w:rPr>
          <w:rFonts w:ascii="Arial" w:hAnsi="Arial" w:cs="Arial"/>
          <w:sz w:val="36"/>
        </w:rPr>
      </w:pPr>
    </w:p>
    <w:p w:rsidR="00604BFB" w:rsidRDefault="00604BFB" w:rsidP="00604BFB">
      <w:pPr>
        <w:ind w:left="4320"/>
        <w:jc w:val="both"/>
        <w:rPr>
          <w:rFonts w:ascii="Arial" w:hAnsi="Arial" w:cs="Arial"/>
          <w:sz w:val="36"/>
        </w:rPr>
      </w:pPr>
    </w:p>
    <w:p w:rsidR="00604BFB" w:rsidRDefault="00604BFB" w:rsidP="00604BFB">
      <w:pPr>
        <w:ind w:left="4320"/>
        <w:jc w:val="both"/>
        <w:rPr>
          <w:rFonts w:ascii="Arial" w:hAnsi="Arial" w:cs="Arial"/>
          <w:sz w:val="36"/>
        </w:rPr>
      </w:pPr>
    </w:p>
    <w:p w:rsidR="00604BFB" w:rsidRDefault="00604BFB" w:rsidP="00604BFB">
      <w:pPr>
        <w:ind w:left="4320"/>
        <w:jc w:val="both"/>
        <w:rPr>
          <w:rFonts w:ascii="Arial" w:hAnsi="Arial" w:cs="Arial"/>
          <w:sz w:val="36"/>
        </w:rPr>
      </w:pPr>
    </w:p>
    <w:p w:rsidR="00604BFB" w:rsidRDefault="00604BFB" w:rsidP="00604BFB">
      <w:pPr>
        <w:ind w:left="4320"/>
        <w:jc w:val="both"/>
        <w:rPr>
          <w:rFonts w:ascii="Arial" w:hAnsi="Arial" w:cs="Arial"/>
          <w:sz w:val="36"/>
        </w:rPr>
      </w:pPr>
    </w:p>
    <w:p w:rsidR="00604BFB" w:rsidRDefault="00604BFB" w:rsidP="00604BFB">
      <w:pPr>
        <w:ind w:left="4320"/>
        <w:jc w:val="both"/>
        <w:rPr>
          <w:rFonts w:ascii="Arial" w:hAnsi="Arial" w:cs="Arial"/>
          <w:sz w:val="36"/>
        </w:rPr>
      </w:pPr>
    </w:p>
    <w:p w:rsidR="00604BFB" w:rsidRDefault="00604BFB" w:rsidP="00604BFB">
      <w:pPr>
        <w:ind w:left="4320"/>
        <w:jc w:val="both"/>
        <w:rPr>
          <w:rFonts w:ascii="Arial" w:hAnsi="Arial" w:cs="Arial"/>
          <w:sz w:val="36"/>
        </w:rPr>
      </w:pPr>
    </w:p>
    <w:p w:rsidR="00604BFB" w:rsidRDefault="00604BFB" w:rsidP="00604BFB">
      <w:pPr>
        <w:ind w:left="4320"/>
        <w:jc w:val="both"/>
        <w:rPr>
          <w:rFonts w:ascii="Arial" w:hAnsi="Arial" w:cs="Arial"/>
          <w:sz w:val="36"/>
        </w:rPr>
      </w:pPr>
    </w:p>
    <w:p w:rsidR="00604BFB" w:rsidRDefault="00604BFB" w:rsidP="00604BFB">
      <w:pPr>
        <w:ind w:left="4320"/>
        <w:jc w:val="both"/>
        <w:rPr>
          <w:rFonts w:ascii="Arial" w:hAnsi="Arial" w:cs="Arial"/>
          <w:sz w:val="36"/>
        </w:rPr>
      </w:pPr>
    </w:p>
    <w:p w:rsidR="00604BFB" w:rsidRDefault="00604BFB" w:rsidP="00604BFB">
      <w:pPr>
        <w:ind w:left="4320"/>
        <w:jc w:val="both"/>
        <w:rPr>
          <w:rFonts w:ascii="Arial" w:hAnsi="Arial" w:cs="Arial"/>
          <w:sz w:val="36"/>
        </w:rPr>
      </w:pPr>
    </w:p>
    <w:p w:rsidR="00604BFB" w:rsidRDefault="00604BFB" w:rsidP="00604BFB">
      <w:pPr>
        <w:jc w:val="both"/>
        <w:rPr>
          <w:rFonts w:ascii="Arial" w:hAnsi="Arial" w:cs="Arial"/>
        </w:rPr>
      </w:pPr>
      <w:smartTag w:uri="urn:schemas-microsoft-com:office:smarttags" w:element="place">
        <w:smartTag w:uri="urn:schemas-microsoft-com:office:smarttags" w:element="State">
          <w:r>
            <w:rPr>
              <w:rFonts w:ascii="Arial" w:hAnsi="Arial" w:cs="Arial"/>
            </w:rPr>
            <w:t>Iowa</w:t>
          </w:r>
        </w:smartTag>
      </w:smartTag>
      <w:r>
        <w:rPr>
          <w:rFonts w:ascii="Arial" w:hAnsi="Arial" w:cs="Arial"/>
        </w:rPr>
        <w:t xml:space="preserve"> Division of Banking</w:t>
      </w:r>
    </w:p>
    <w:p w:rsidR="00604BFB" w:rsidRDefault="00604BFB" w:rsidP="00604BFB">
      <w:pPr>
        <w:jc w:val="both"/>
        <w:rPr>
          <w:rFonts w:ascii="Arial" w:hAnsi="Arial" w:cs="Arial"/>
        </w:rPr>
      </w:pPr>
      <w:r>
        <w:rPr>
          <w:rFonts w:ascii="Arial" w:hAnsi="Arial" w:cs="Arial"/>
        </w:rPr>
        <w:t xml:space="preserve">200 East Grand, </w:t>
      </w:r>
      <w:smartTag w:uri="urn:schemas-microsoft-com:office:smarttags" w:element="address">
        <w:smartTag w:uri="urn:schemas-microsoft-com:office:smarttags" w:element="Street">
          <w:r>
            <w:rPr>
              <w:rFonts w:ascii="Arial" w:hAnsi="Arial" w:cs="Arial"/>
            </w:rPr>
            <w:t>Suite</w:t>
          </w:r>
        </w:smartTag>
        <w:r>
          <w:rPr>
            <w:rFonts w:ascii="Arial" w:hAnsi="Arial" w:cs="Arial"/>
          </w:rPr>
          <w:t xml:space="preserve"> 300</w:t>
        </w:r>
      </w:smartTag>
    </w:p>
    <w:p w:rsidR="00604BFB" w:rsidRDefault="00604BFB" w:rsidP="00604BFB">
      <w:pPr>
        <w:jc w:val="both"/>
        <w:rPr>
          <w:rFonts w:ascii="Arial" w:hAnsi="Arial" w:cs="Arial"/>
        </w:rPr>
      </w:pPr>
      <w:smartTag w:uri="urn:schemas-microsoft-com:office:smarttags" w:element="place">
        <w:smartTag w:uri="urn:schemas-microsoft-com:office:smarttags" w:element="City">
          <w:r>
            <w:rPr>
              <w:rFonts w:ascii="Arial" w:hAnsi="Arial" w:cs="Arial"/>
            </w:rPr>
            <w:t>Des Moines</w:t>
          </w:r>
        </w:smartTag>
        <w:r>
          <w:rPr>
            <w:rFonts w:ascii="Arial" w:hAnsi="Arial" w:cs="Arial"/>
          </w:rPr>
          <w:t xml:space="preserve">, </w:t>
        </w:r>
        <w:smartTag w:uri="urn:schemas-microsoft-com:office:smarttags" w:element="State">
          <w:r>
            <w:rPr>
              <w:rFonts w:ascii="Arial" w:hAnsi="Arial" w:cs="Arial"/>
            </w:rPr>
            <w:t>Iowa</w:t>
          </w:r>
        </w:smartTag>
        <w:r>
          <w:rPr>
            <w:rFonts w:ascii="Arial" w:hAnsi="Arial" w:cs="Arial"/>
          </w:rPr>
          <w:t xml:space="preserve"> </w:t>
        </w:r>
        <w:smartTag w:uri="urn:schemas-microsoft-com:office:smarttags" w:element="PostalCode">
          <w:r>
            <w:rPr>
              <w:rFonts w:ascii="Arial" w:hAnsi="Arial" w:cs="Arial"/>
            </w:rPr>
            <w:t>50309-1827</w:t>
          </w:r>
        </w:smartTag>
      </w:smartTag>
    </w:p>
    <w:p w:rsidR="00604BFB" w:rsidRDefault="00604BFB" w:rsidP="00604BFB">
      <w:pPr>
        <w:jc w:val="both"/>
        <w:rPr>
          <w:rFonts w:ascii="Arial" w:hAnsi="Arial" w:cs="Arial"/>
        </w:rPr>
      </w:pPr>
      <w:r>
        <w:rPr>
          <w:rFonts w:ascii="Arial" w:hAnsi="Arial" w:cs="Arial"/>
        </w:rPr>
        <w:t>(515) 281-4014</w:t>
      </w:r>
    </w:p>
    <w:p w:rsidR="00604BFB" w:rsidRDefault="00604BFB" w:rsidP="00604BFB">
      <w:pPr>
        <w:ind w:left="4320"/>
        <w:jc w:val="both"/>
        <w:rPr>
          <w:rFonts w:ascii="Arial" w:hAnsi="Arial" w:cs="Arial"/>
          <w:sz w:val="36"/>
        </w:rPr>
      </w:pPr>
    </w:p>
    <w:p w:rsidR="00604BFB" w:rsidRDefault="00604BFB" w:rsidP="00604BFB">
      <w:pPr>
        <w:ind w:left="4320"/>
        <w:jc w:val="both"/>
        <w:rPr>
          <w:rFonts w:ascii="Arial" w:hAnsi="Arial" w:cs="Arial"/>
          <w:sz w:val="36"/>
        </w:rPr>
      </w:pPr>
    </w:p>
    <w:p w:rsidR="00DE1036" w:rsidRDefault="00604BFB" w:rsidP="00604BFB">
      <w:pPr>
        <w:jc w:val="both"/>
        <w:rPr>
          <w:rFonts w:ascii="Arial" w:hAnsi="Arial" w:cs="Arial"/>
        </w:rPr>
        <w:sectPr w:rsidR="00DE1036" w:rsidSect="007B735B">
          <w:footerReference w:type="even" r:id="rId7"/>
          <w:pgSz w:w="12240" w:h="15840" w:code="1"/>
          <w:pgMar w:top="1440" w:right="1440" w:bottom="864" w:left="1440" w:header="720" w:footer="432" w:gutter="0"/>
          <w:pgNumType w:start="1"/>
          <w:cols w:space="720"/>
          <w:noEndnote/>
        </w:sectPr>
      </w:pPr>
      <w:r>
        <w:rPr>
          <w:rFonts w:ascii="Arial" w:hAnsi="Arial" w:cs="Arial"/>
        </w:rPr>
        <w:t xml:space="preserve"> </w:t>
      </w:r>
    </w:p>
    <w:p w:rsidR="00604BFB" w:rsidRDefault="00604BFB" w:rsidP="00604BFB">
      <w:pPr>
        <w:jc w:val="both"/>
        <w:rPr>
          <w:rFonts w:ascii="Arial" w:hAnsi="Arial" w:cs="Arial"/>
        </w:rPr>
      </w:pPr>
    </w:p>
    <w:p w:rsidR="00604BFB" w:rsidRDefault="00604BFB" w:rsidP="00604BFB">
      <w:pPr>
        <w:jc w:val="both"/>
        <w:rPr>
          <w:rFonts w:ascii="Arial" w:hAnsi="Arial" w:cs="Arial"/>
        </w:rPr>
      </w:pPr>
      <w:r>
        <w:rPr>
          <w:rFonts w:ascii="Arial" w:hAnsi="Arial" w:cs="Arial"/>
          <w:noProof/>
          <w:sz w:val="20"/>
        </w:rPr>
        <w:pict>
          <v:shapetype id="_x0000_t202" coordsize="21600,21600" o:spt="202" path="m,l,21600r21600,l21600,xe">
            <v:stroke joinstyle="miter"/>
            <v:path gradientshapeok="t" o:connecttype="rect"/>
          </v:shapetype>
          <v:shape id="_x0000_s1027" type="#_x0000_t202" style="position:absolute;left:0;text-align:left;margin-left:0;margin-top:-23.55pt;width:468pt;height:36pt;z-index:-251658240;mso-position-horizontal:center" strokeweight="1.5pt">
            <v:shadow on="t" offset="-6pt,-6pt"/>
            <v:textbox style="mso-next-textbox:#_x0000_s1027">
              <w:txbxContent>
                <w:p w:rsidR="00604BFB" w:rsidRDefault="00604BFB" w:rsidP="00604BFB">
                  <w:pPr>
                    <w:jc w:val="center"/>
                    <w:rPr>
                      <w:rFonts w:ascii="Arial Black" w:hAnsi="Arial Black"/>
                      <w:sz w:val="36"/>
                    </w:rPr>
                  </w:pPr>
                  <w:r>
                    <w:rPr>
                      <w:rFonts w:ascii="Arial Black" w:hAnsi="Arial Black"/>
                      <w:sz w:val="36"/>
                    </w:rPr>
                    <w:t xml:space="preserve">TABLE OF CONTENTS </w:t>
                  </w:r>
                </w:p>
                <w:p w:rsidR="00604BFB" w:rsidRDefault="00604BFB" w:rsidP="00604BFB">
                  <w:pPr>
                    <w:jc w:val="center"/>
                    <w:rPr>
                      <w:rFonts w:ascii="Bookman Old Style" w:hAnsi="Bookman Old Style"/>
                      <w:b/>
                      <w:sz w:val="32"/>
                    </w:rPr>
                  </w:pPr>
                </w:p>
                <w:p w:rsidR="00604BFB" w:rsidRDefault="00604BFB" w:rsidP="00604BFB"/>
              </w:txbxContent>
            </v:textbox>
          </v:shape>
        </w:pict>
      </w:r>
    </w:p>
    <w:p w:rsidR="00604BFB" w:rsidRDefault="00604BFB" w:rsidP="00604BFB">
      <w:pPr>
        <w:jc w:val="both"/>
        <w:rPr>
          <w:rFonts w:ascii="Arial" w:hAnsi="Arial" w:cs="Arial"/>
        </w:rPr>
      </w:pPr>
    </w:p>
    <w:p w:rsidR="00604BFB" w:rsidRDefault="00604BFB" w:rsidP="00604BFB">
      <w:pPr>
        <w:jc w:val="both"/>
        <w:rPr>
          <w:rFonts w:ascii="Arial" w:hAnsi="Arial" w:cs="Arial"/>
        </w:rPr>
      </w:pPr>
    </w:p>
    <w:p w:rsidR="00604BFB" w:rsidRDefault="00604BFB" w:rsidP="00604BFB">
      <w:pPr>
        <w:pStyle w:val="Title"/>
        <w:ind w:left="-720"/>
        <w:rPr>
          <w:b w:val="0"/>
          <w:sz w:val="24"/>
        </w:rPr>
      </w:pPr>
    </w:p>
    <w:tbl>
      <w:tblPr>
        <w:tblW w:w="9828" w:type="dxa"/>
        <w:tblBorders>
          <w:bottom w:val="double" w:sz="6" w:space="0" w:color="auto"/>
        </w:tblBorders>
        <w:tblLayout w:type="fixed"/>
        <w:tblLook w:val="0000"/>
      </w:tblPr>
      <w:tblGrid>
        <w:gridCol w:w="8658"/>
        <w:gridCol w:w="1170"/>
      </w:tblGrid>
      <w:tr w:rsidR="00604BFB">
        <w:tblPrEx>
          <w:tblCellMar>
            <w:top w:w="0" w:type="dxa"/>
            <w:bottom w:w="0" w:type="dxa"/>
          </w:tblCellMar>
        </w:tblPrEx>
        <w:trPr>
          <w:trHeight w:val="20"/>
        </w:trPr>
        <w:tc>
          <w:tcPr>
            <w:tcW w:w="8658" w:type="dxa"/>
            <w:tcBorders>
              <w:top w:val="nil"/>
              <w:bottom w:val="double" w:sz="6" w:space="0" w:color="auto"/>
            </w:tcBorders>
          </w:tcPr>
          <w:p w:rsidR="00604BFB" w:rsidRDefault="00604BFB" w:rsidP="007C53EB">
            <w:pPr>
              <w:ind w:left="72"/>
              <w:rPr>
                <w:rFonts w:ascii="Arial" w:hAnsi="Arial" w:cs="Arial"/>
                <w:bCs/>
              </w:rPr>
            </w:pPr>
            <w:r>
              <w:rPr>
                <w:rFonts w:ascii="Arial" w:hAnsi="Arial" w:cs="Arial"/>
                <w:bCs/>
                <w:i/>
                <w:sz w:val="32"/>
              </w:rPr>
              <w:t>SECTION</w:t>
            </w:r>
            <w:r>
              <w:rPr>
                <w:rFonts w:ascii="Arial" w:hAnsi="Arial" w:cs="Arial"/>
                <w:bCs/>
                <w:i/>
                <w:sz w:val="32"/>
              </w:rPr>
              <w:tab/>
            </w:r>
            <w:r>
              <w:rPr>
                <w:rFonts w:ascii="Arial" w:hAnsi="Arial" w:cs="Arial"/>
                <w:bCs/>
                <w:i/>
                <w:sz w:val="32"/>
              </w:rPr>
              <w:tab/>
            </w:r>
          </w:p>
        </w:tc>
        <w:tc>
          <w:tcPr>
            <w:tcW w:w="1170" w:type="dxa"/>
            <w:tcBorders>
              <w:top w:val="nil"/>
              <w:bottom w:val="double" w:sz="6" w:space="0" w:color="auto"/>
            </w:tcBorders>
          </w:tcPr>
          <w:p w:rsidR="00604BFB" w:rsidRDefault="00604BFB" w:rsidP="007C53EB">
            <w:pPr>
              <w:jc w:val="right"/>
              <w:rPr>
                <w:rFonts w:ascii="Arial" w:hAnsi="Arial" w:cs="Arial"/>
                <w:bCs/>
              </w:rPr>
            </w:pPr>
            <w:r>
              <w:rPr>
                <w:rFonts w:ascii="Arial" w:hAnsi="Arial" w:cs="Arial"/>
                <w:bCs/>
                <w:i/>
                <w:sz w:val="32"/>
              </w:rPr>
              <w:t>PAGE</w:t>
            </w:r>
          </w:p>
        </w:tc>
      </w:tr>
      <w:tr w:rsidR="00604BFB">
        <w:tblPrEx>
          <w:tblBorders>
            <w:bottom w:val="none" w:sz="0" w:space="0" w:color="auto"/>
          </w:tblBorders>
          <w:tblCellMar>
            <w:top w:w="0" w:type="dxa"/>
            <w:bottom w:w="0" w:type="dxa"/>
          </w:tblCellMar>
        </w:tblPrEx>
        <w:tc>
          <w:tcPr>
            <w:tcW w:w="8658" w:type="dxa"/>
          </w:tcPr>
          <w:p w:rsidR="00604BFB" w:rsidRDefault="00604BFB" w:rsidP="007C53EB">
            <w:pPr>
              <w:pStyle w:val="Heading1"/>
              <w:tabs>
                <w:tab w:val="left" w:leader="dot" w:pos="8400"/>
              </w:tabs>
              <w:rPr>
                <w:rFonts w:ascii="Arial" w:hAnsi="Arial" w:cs="Arial"/>
                <w:b w:val="0"/>
              </w:rPr>
            </w:pPr>
          </w:p>
        </w:tc>
        <w:tc>
          <w:tcPr>
            <w:tcW w:w="1170" w:type="dxa"/>
          </w:tcPr>
          <w:p w:rsidR="00604BFB" w:rsidRDefault="00604BFB" w:rsidP="007C53EB">
            <w:pPr>
              <w:jc w:val="center"/>
              <w:rPr>
                <w:rFonts w:ascii="Arial" w:hAnsi="Arial" w:cs="Arial"/>
                <w:bCs/>
                <w:sz w:val="28"/>
              </w:rPr>
            </w:pPr>
          </w:p>
        </w:tc>
      </w:tr>
      <w:tr w:rsidR="00604BFB">
        <w:tblPrEx>
          <w:tblBorders>
            <w:bottom w:val="none" w:sz="0" w:space="0" w:color="auto"/>
          </w:tblBorders>
          <w:tblCellMar>
            <w:top w:w="0" w:type="dxa"/>
            <w:bottom w:w="0" w:type="dxa"/>
          </w:tblCellMar>
        </w:tblPrEx>
        <w:tc>
          <w:tcPr>
            <w:tcW w:w="8658" w:type="dxa"/>
          </w:tcPr>
          <w:p w:rsidR="00604BFB" w:rsidRDefault="00604BFB" w:rsidP="007C53EB">
            <w:pPr>
              <w:pStyle w:val="Heading1"/>
              <w:tabs>
                <w:tab w:val="left" w:leader="dot" w:pos="8400"/>
              </w:tabs>
              <w:rPr>
                <w:rFonts w:ascii="Arial" w:hAnsi="Arial" w:cs="Arial"/>
                <w:b w:val="0"/>
              </w:rPr>
            </w:pPr>
          </w:p>
        </w:tc>
        <w:tc>
          <w:tcPr>
            <w:tcW w:w="1170" w:type="dxa"/>
          </w:tcPr>
          <w:p w:rsidR="00604BFB" w:rsidRDefault="00604BFB" w:rsidP="007C53EB">
            <w:pPr>
              <w:jc w:val="center"/>
              <w:rPr>
                <w:rFonts w:ascii="Arial" w:hAnsi="Arial" w:cs="Arial"/>
                <w:bCs/>
                <w:sz w:val="28"/>
              </w:rPr>
            </w:pPr>
          </w:p>
        </w:tc>
      </w:tr>
      <w:tr w:rsidR="00604BFB">
        <w:tblPrEx>
          <w:tblBorders>
            <w:bottom w:val="none" w:sz="0" w:space="0" w:color="auto"/>
          </w:tblBorders>
          <w:tblCellMar>
            <w:top w:w="0" w:type="dxa"/>
            <w:bottom w:w="0" w:type="dxa"/>
          </w:tblCellMar>
        </w:tblPrEx>
        <w:tc>
          <w:tcPr>
            <w:tcW w:w="8658" w:type="dxa"/>
          </w:tcPr>
          <w:p w:rsidR="00604BFB" w:rsidRDefault="00604BFB" w:rsidP="007C53EB">
            <w:pPr>
              <w:pStyle w:val="Heading1"/>
              <w:tabs>
                <w:tab w:val="left" w:leader="dot" w:pos="8400"/>
              </w:tabs>
              <w:rPr>
                <w:rFonts w:ascii="Arial" w:hAnsi="Arial" w:cs="Arial"/>
                <w:b w:val="0"/>
              </w:rPr>
            </w:pPr>
            <w:r>
              <w:rPr>
                <w:rFonts w:ascii="Arial" w:hAnsi="Arial" w:cs="Arial"/>
                <w:b w:val="0"/>
              </w:rPr>
              <w:t>INTRODUCTION</w:t>
            </w:r>
            <w:r>
              <w:rPr>
                <w:rFonts w:ascii="Arial" w:hAnsi="Arial" w:cs="Arial"/>
                <w:b w:val="0"/>
              </w:rPr>
              <w:tab/>
            </w:r>
          </w:p>
        </w:tc>
        <w:tc>
          <w:tcPr>
            <w:tcW w:w="1170" w:type="dxa"/>
          </w:tcPr>
          <w:p w:rsidR="00604BFB" w:rsidRDefault="000A0056" w:rsidP="007C53EB">
            <w:pPr>
              <w:jc w:val="center"/>
              <w:rPr>
                <w:rFonts w:ascii="Arial" w:hAnsi="Arial" w:cs="Arial"/>
                <w:bCs/>
                <w:sz w:val="28"/>
              </w:rPr>
            </w:pPr>
            <w:r>
              <w:rPr>
                <w:rFonts w:ascii="Arial" w:hAnsi="Arial" w:cs="Arial"/>
                <w:bCs/>
                <w:sz w:val="28"/>
              </w:rPr>
              <w:t>1</w:t>
            </w:r>
          </w:p>
        </w:tc>
      </w:tr>
      <w:tr w:rsidR="00CE0AE7">
        <w:tblPrEx>
          <w:tblBorders>
            <w:bottom w:val="none" w:sz="0" w:space="0" w:color="auto"/>
          </w:tblBorders>
          <w:tblCellMar>
            <w:top w:w="0" w:type="dxa"/>
            <w:bottom w:w="0" w:type="dxa"/>
          </w:tblCellMar>
        </w:tblPrEx>
        <w:tc>
          <w:tcPr>
            <w:tcW w:w="8658" w:type="dxa"/>
          </w:tcPr>
          <w:p w:rsidR="00CE0AE7" w:rsidRPr="00CE0AE7" w:rsidRDefault="00CE0AE7" w:rsidP="00CE0AE7">
            <w:pPr>
              <w:tabs>
                <w:tab w:val="left" w:leader="dot" w:pos="8460"/>
              </w:tabs>
              <w:rPr>
                <w:rFonts w:ascii="Arial" w:hAnsi="Arial" w:cs="Arial"/>
                <w:sz w:val="28"/>
                <w:szCs w:val="28"/>
              </w:rPr>
            </w:pPr>
          </w:p>
        </w:tc>
        <w:tc>
          <w:tcPr>
            <w:tcW w:w="1170" w:type="dxa"/>
          </w:tcPr>
          <w:p w:rsidR="00CE0AE7" w:rsidRDefault="00CE0AE7" w:rsidP="007C53EB">
            <w:pPr>
              <w:jc w:val="center"/>
              <w:rPr>
                <w:rFonts w:ascii="Arial" w:hAnsi="Arial" w:cs="Arial"/>
                <w:bCs/>
                <w:sz w:val="28"/>
              </w:rPr>
            </w:pPr>
          </w:p>
        </w:tc>
      </w:tr>
      <w:tr w:rsidR="00604BFB">
        <w:tblPrEx>
          <w:tblBorders>
            <w:bottom w:val="none" w:sz="0" w:space="0" w:color="auto"/>
          </w:tblBorders>
          <w:tblCellMar>
            <w:top w:w="0" w:type="dxa"/>
            <w:bottom w:w="0" w:type="dxa"/>
          </w:tblCellMar>
        </w:tblPrEx>
        <w:tc>
          <w:tcPr>
            <w:tcW w:w="8658" w:type="dxa"/>
          </w:tcPr>
          <w:p w:rsidR="00604BFB" w:rsidRPr="00CE0AE7" w:rsidRDefault="00604BFB" w:rsidP="00CE0AE7">
            <w:pPr>
              <w:tabs>
                <w:tab w:val="left" w:leader="dot" w:pos="8460"/>
              </w:tabs>
              <w:rPr>
                <w:rFonts w:ascii="Arial" w:hAnsi="Arial" w:cs="Arial"/>
                <w:sz w:val="28"/>
                <w:szCs w:val="28"/>
              </w:rPr>
            </w:pPr>
            <w:r w:rsidRPr="00CE0AE7">
              <w:rPr>
                <w:rFonts w:ascii="Arial" w:hAnsi="Arial" w:cs="Arial"/>
                <w:sz w:val="28"/>
                <w:szCs w:val="28"/>
              </w:rPr>
              <w:t>AGENCY OVERVIEW</w:t>
            </w:r>
            <w:r w:rsidR="00CE0AE7">
              <w:rPr>
                <w:rFonts w:ascii="Arial" w:hAnsi="Arial" w:cs="Arial"/>
                <w:sz w:val="28"/>
                <w:szCs w:val="28"/>
              </w:rPr>
              <w:tab/>
            </w:r>
          </w:p>
        </w:tc>
        <w:tc>
          <w:tcPr>
            <w:tcW w:w="1170" w:type="dxa"/>
          </w:tcPr>
          <w:p w:rsidR="00604BFB" w:rsidRDefault="000A0056" w:rsidP="007C53EB">
            <w:pPr>
              <w:jc w:val="center"/>
              <w:rPr>
                <w:rFonts w:ascii="Arial" w:hAnsi="Arial" w:cs="Arial"/>
                <w:bCs/>
                <w:sz w:val="28"/>
              </w:rPr>
            </w:pPr>
            <w:r>
              <w:rPr>
                <w:rFonts w:ascii="Arial" w:hAnsi="Arial" w:cs="Arial"/>
                <w:bCs/>
                <w:sz w:val="28"/>
              </w:rPr>
              <w:t>3</w:t>
            </w:r>
          </w:p>
        </w:tc>
      </w:tr>
      <w:tr w:rsidR="00604BFB">
        <w:tblPrEx>
          <w:tblBorders>
            <w:bottom w:val="none" w:sz="0" w:space="0" w:color="auto"/>
          </w:tblBorders>
          <w:tblCellMar>
            <w:top w:w="0" w:type="dxa"/>
            <w:bottom w:w="0" w:type="dxa"/>
          </w:tblCellMar>
        </w:tblPrEx>
        <w:tc>
          <w:tcPr>
            <w:tcW w:w="8658" w:type="dxa"/>
          </w:tcPr>
          <w:p w:rsidR="00604BFB" w:rsidRDefault="00604BFB" w:rsidP="007C53EB">
            <w:pPr>
              <w:pStyle w:val="Heading1"/>
              <w:tabs>
                <w:tab w:val="left" w:pos="360"/>
                <w:tab w:val="left" w:leader="dot" w:pos="8400"/>
              </w:tabs>
              <w:rPr>
                <w:rFonts w:ascii="Arial" w:hAnsi="Arial" w:cs="Arial"/>
                <w:b w:val="0"/>
              </w:rPr>
            </w:pPr>
          </w:p>
        </w:tc>
        <w:tc>
          <w:tcPr>
            <w:tcW w:w="1170" w:type="dxa"/>
          </w:tcPr>
          <w:p w:rsidR="00604BFB" w:rsidRDefault="00604BFB" w:rsidP="007C53EB">
            <w:pPr>
              <w:jc w:val="center"/>
              <w:rPr>
                <w:rFonts w:ascii="Arial" w:hAnsi="Arial" w:cs="Arial"/>
                <w:bCs/>
                <w:sz w:val="28"/>
              </w:rPr>
            </w:pPr>
          </w:p>
        </w:tc>
      </w:tr>
      <w:tr w:rsidR="00604BFB">
        <w:tblPrEx>
          <w:tblBorders>
            <w:bottom w:val="none" w:sz="0" w:space="0" w:color="auto"/>
          </w:tblBorders>
          <w:tblCellMar>
            <w:top w:w="0" w:type="dxa"/>
            <w:bottom w:w="0" w:type="dxa"/>
          </w:tblCellMar>
        </w:tblPrEx>
        <w:tc>
          <w:tcPr>
            <w:tcW w:w="8658" w:type="dxa"/>
          </w:tcPr>
          <w:p w:rsidR="00604BFB" w:rsidRDefault="00604BFB" w:rsidP="007C53EB">
            <w:pPr>
              <w:pStyle w:val="Heading1"/>
              <w:tabs>
                <w:tab w:val="left" w:pos="360"/>
                <w:tab w:val="left" w:leader="dot" w:pos="8400"/>
              </w:tabs>
              <w:rPr>
                <w:rFonts w:ascii="Arial" w:hAnsi="Arial" w:cs="Arial"/>
                <w:b w:val="0"/>
              </w:rPr>
            </w:pPr>
            <w:r>
              <w:rPr>
                <w:rFonts w:ascii="Arial" w:hAnsi="Arial" w:cs="Arial"/>
                <w:b w:val="0"/>
              </w:rPr>
              <w:t>KEY RESULTS</w:t>
            </w:r>
            <w:r>
              <w:rPr>
                <w:rFonts w:ascii="Arial" w:hAnsi="Arial" w:cs="Arial"/>
                <w:b w:val="0"/>
              </w:rPr>
              <w:tab/>
            </w:r>
          </w:p>
        </w:tc>
        <w:tc>
          <w:tcPr>
            <w:tcW w:w="1170" w:type="dxa"/>
          </w:tcPr>
          <w:p w:rsidR="00604BFB" w:rsidRDefault="000A0056" w:rsidP="007C53EB">
            <w:pPr>
              <w:jc w:val="center"/>
              <w:rPr>
                <w:rFonts w:ascii="Arial" w:hAnsi="Arial" w:cs="Arial"/>
                <w:bCs/>
                <w:sz w:val="28"/>
              </w:rPr>
            </w:pPr>
            <w:r>
              <w:rPr>
                <w:rFonts w:ascii="Arial" w:hAnsi="Arial" w:cs="Arial"/>
                <w:bCs/>
                <w:sz w:val="28"/>
              </w:rPr>
              <w:t>8</w:t>
            </w:r>
          </w:p>
        </w:tc>
      </w:tr>
      <w:tr w:rsidR="00604BFB">
        <w:tblPrEx>
          <w:tblBorders>
            <w:bottom w:val="none" w:sz="0" w:space="0" w:color="auto"/>
          </w:tblBorders>
          <w:tblCellMar>
            <w:top w:w="0" w:type="dxa"/>
            <w:bottom w:w="0" w:type="dxa"/>
          </w:tblCellMar>
        </w:tblPrEx>
        <w:tc>
          <w:tcPr>
            <w:tcW w:w="8658" w:type="dxa"/>
          </w:tcPr>
          <w:p w:rsidR="00604BFB" w:rsidRDefault="006053F0" w:rsidP="007C53EB">
            <w:pPr>
              <w:pStyle w:val="Heading1"/>
              <w:tabs>
                <w:tab w:val="left" w:pos="360"/>
                <w:tab w:val="left" w:leader="dot" w:pos="8400"/>
              </w:tabs>
              <w:ind w:left="360"/>
              <w:rPr>
                <w:rFonts w:ascii="Arial" w:hAnsi="Arial" w:cs="Arial"/>
                <w:b w:val="0"/>
                <w:bCs w:val="0"/>
              </w:rPr>
            </w:pPr>
            <w:r>
              <w:rPr>
                <w:rFonts w:ascii="Arial" w:hAnsi="Arial" w:cs="Arial"/>
                <w:b w:val="0"/>
                <w:bCs w:val="0"/>
              </w:rPr>
              <w:t>Core Function</w:t>
            </w:r>
          </w:p>
        </w:tc>
        <w:tc>
          <w:tcPr>
            <w:tcW w:w="1170" w:type="dxa"/>
          </w:tcPr>
          <w:p w:rsidR="00604BFB" w:rsidRDefault="00604BFB" w:rsidP="007C53EB">
            <w:pPr>
              <w:jc w:val="center"/>
              <w:rPr>
                <w:rFonts w:ascii="Arial" w:hAnsi="Arial" w:cs="Arial"/>
                <w:bCs/>
                <w:sz w:val="28"/>
              </w:rPr>
            </w:pPr>
          </w:p>
        </w:tc>
      </w:tr>
      <w:tr w:rsidR="00604BFB">
        <w:tblPrEx>
          <w:tblBorders>
            <w:bottom w:val="none" w:sz="0" w:space="0" w:color="auto"/>
          </w:tblBorders>
          <w:tblCellMar>
            <w:top w:w="0" w:type="dxa"/>
            <w:bottom w:w="0" w:type="dxa"/>
          </w:tblCellMar>
        </w:tblPrEx>
        <w:tc>
          <w:tcPr>
            <w:tcW w:w="8658" w:type="dxa"/>
          </w:tcPr>
          <w:p w:rsidR="00604BFB" w:rsidRDefault="00604BFB" w:rsidP="007C53EB">
            <w:pPr>
              <w:pStyle w:val="Heading1"/>
              <w:tabs>
                <w:tab w:val="left" w:pos="360"/>
                <w:tab w:val="left" w:leader="dot" w:pos="8400"/>
              </w:tabs>
              <w:ind w:left="360"/>
              <w:rPr>
                <w:rFonts w:ascii="Arial" w:hAnsi="Arial" w:cs="Arial"/>
                <w:b w:val="0"/>
                <w:bCs w:val="0"/>
              </w:rPr>
            </w:pPr>
          </w:p>
        </w:tc>
        <w:tc>
          <w:tcPr>
            <w:tcW w:w="1170" w:type="dxa"/>
          </w:tcPr>
          <w:p w:rsidR="00604BFB" w:rsidRDefault="00604BFB" w:rsidP="007C53EB">
            <w:pPr>
              <w:jc w:val="center"/>
              <w:rPr>
                <w:rFonts w:ascii="Arial" w:hAnsi="Arial" w:cs="Arial"/>
                <w:bCs/>
                <w:sz w:val="28"/>
              </w:rPr>
            </w:pPr>
          </w:p>
        </w:tc>
      </w:tr>
      <w:tr w:rsidR="00604BFB">
        <w:tblPrEx>
          <w:tblBorders>
            <w:bottom w:val="none" w:sz="0" w:space="0" w:color="auto"/>
          </w:tblBorders>
          <w:tblCellMar>
            <w:top w:w="0" w:type="dxa"/>
            <w:bottom w:w="0" w:type="dxa"/>
          </w:tblCellMar>
        </w:tblPrEx>
        <w:tc>
          <w:tcPr>
            <w:tcW w:w="8658" w:type="dxa"/>
          </w:tcPr>
          <w:p w:rsidR="00604BFB" w:rsidRDefault="00604BFB" w:rsidP="007C53EB">
            <w:pPr>
              <w:pStyle w:val="Heading1"/>
              <w:tabs>
                <w:tab w:val="left" w:pos="360"/>
                <w:tab w:val="left" w:leader="dot" w:pos="8400"/>
              </w:tabs>
              <w:rPr>
                <w:rFonts w:ascii="Arial" w:hAnsi="Arial" w:cs="Arial"/>
                <w:b w:val="0"/>
              </w:rPr>
            </w:pPr>
            <w:r>
              <w:rPr>
                <w:rFonts w:ascii="Arial" w:hAnsi="Arial" w:cs="Arial"/>
                <w:b w:val="0"/>
              </w:rPr>
              <w:t>PERFORMANCE PLAN RESULTS</w:t>
            </w:r>
            <w:r>
              <w:rPr>
                <w:rFonts w:ascii="Arial" w:hAnsi="Arial" w:cs="Arial"/>
                <w:b w:val="0"/>
              </w:rPr>
              <w:tab/>
            </w:r>
          </w:p>
        </w:tc>
        <w:tc>
          <w:tcPr>
            <w:tcW w:w="1170" w:type="dxa"/>
          </w:tcPr>
          <w:p w:rsidR="00604BFB" w:rsidRDefault="000A0056" w:rsidP="007C53EB">
            <w:pPr>
              <w:jc w:val="center"/>
              <w:rPr>
                <w:rFonts w:ascii="Arial" w:hAnsi="Arial" w:cs="Arial"/>
                <w:bCs/>
                <w:sz w:val="28"/>
              </w:rPr>
            </w:pPr>
            <w:r>
              <w:rPr>
                <w:rFonts w:ascii="Arial" w:hAnsi="Arial" w:cs="Arial"/>
                <w:bCs/>
                <w:sz w:val="28"/>
              </w:rPr>
              <w:t>10</w:t>
            </w:r>
          </w:p>
        </w:tc>
      </w:tr>
      <w:tr w:rsidR="00604BFB">
        <w:tblPrEx>
          <w:tblBorders>
            <w:bottom w:val="none" w:sz="0" w:space="0" w:color="auto"/>
          </w:tblBorders>
          <w:tblCellMar>
            <w:top w:w="0" w:type="dxa"/>
            <w:bottom w:w="0" w:type="dxa"/>
          </w:tblCellMar>
        </w:tblPrEx>
        <w:tc>
          <w:tcPr>
            <w:tcW w:w="8658" w:type="dxa"/>
          </w:tcPr>
          <w:p w:rsidR="00604BFB" w:rsidRDefault="00604BFB" w:rsidP="007C53EB">
            <w:pPr>
              <w:pStyle w:val="Heading1"/>
              <w:tabs>
                <w:tab w:val="left" w:pos="360"/>
                <w:tab w:val="left" w:leader="dot" w:pos="8400"/>
              </w:tabs>
              <w:ind w:left="360"/>
              <w:rPr>
                <w:rFonts w:ascii="Arial" w:hAnsi="Arial" w:cs="Arial"/>
                <w:b w:val="0"/>
                <w:bCs w:val="0"/>
              </w:rPr>
            </w:pPr>
            <w:r>
              <w:rPr>
                <w:rFonts w:ascii="Arial" w:hAnsi="Arial" w:cs="Arial"/>
                <w:b w:val="0"/>
                <w:bCs w:val="0"/>
              </w:rPr>
              <w:t>Core Function – Regulation and Compliance</w:t>
            </w:r>
          </w:p>
        </w:tc>
        <w:tc>
          <w:tcPr>
            <w:tcW w:w="1170" w:type="dxa"/>
          </w:tcPr>
          <w:p w:rsidR="00604BFB" w:rsidRDefault="00604BFB" w:rsidP="007C53EB">
            <w:pPr>
              <w:jc w:val="center"/>
              <w:rPr>
                <w:rFonts w:ascii="Arial" w:hAnsi="Arial" w:cs="Arial"/>
                <w:bCs/>
                <w:sz w:val="28"/>
              </w:rPr>
            </w:pPr>
          </w:p>
        </w:tc>
      </w:tr>
      <w:tr w:rsidR="00604BFB">
        <w:tblPrEx>
          <w:tblBorders>
            <w:bottom w:val="none" w:sz="0" w:space="0" w:color="auto"/>
          </w:tblBorders>
          <w:tblCellMar>
            <w:top w:w="0" w:type="dxa"/>
            <w:bottom w:w="0" w:type="dxa"/>
          </w:tblCellMar>
        </w:tblPrEx>
        <w:tc>
          <w:tcPr>
            <w:tcW w:w="8658" w:type="dxa"/>
          </w:tcPr>
          <w:p w:rsidR="00604BFB" w:rsidRDefault="00604BFB" w:rsidP="007C53EB">
            <w:pPr>
              <w:pStyle w:val="Heading1"/>
              <w:tabs>
                <w:tab w:val="left" w:pos="360"/>
                <w:tab w:val="left" w:leader="dot" w:pos="8400"/>
              </w:tabs>
              <w:ind w:left="360"/>
              <w:rPr>
                <w:rFonts w:ascii="Arial" w:hAnsi="Arial" w:cs="Arial"/>
                <w:b w:val="0"/>
                <w:bCs w:val="0"/>
              </w:rPr>
            </w:pPr>
            <w:r>
              <w:rPr>
                <w:rFonts w:ascii="Arial" w:hAnsi="Arial" w:cs="Arial"/>
                <w:b w:val="0"/>
                <w:bCs w:val="0"/>
              </w:rPr>
              <w:t>SPA – Regul</w:t>
            </w:r>
            <w:r w:rsidR="00CE0AE7">
              <w:rPr>
                <w:rFonts w:ascii="Arial" w:hAnsi="Arial" w:cs="Arial"/>
                <w:b w:val="0"/>
                <w:bCs w:val="0"/>
              </w:rPr>
              <w:t>ation of State Chartered Banks</w:t>
            </w:r>
          </w:p>
        </w:tc>
        <w:tc>
          <w:tcPr>
            <w:tcW w:w="1170" w:type="dxa"/>
          </w:tcPr>
          <w:p w:rsidR="00604BFB" w:rsidRDefault="00604BFB" w:rsidP="007C53EB">
            <w:pPr>
              <w:jc w:val="center"/>
              <w:rPr>
                <w:rFonts w:ascii="Arial" w:hAnsi="Arial" w:cs="Arial"/>
                <w:bCs/>
                <w:sz w:val="28"/>
              </w:rPr>
            </w:pPr>
          </w:p>
        </w:tc>
      </w:tr>
      <w:tr w:rsidR="00604BFB">
        <w:tblPrEx>
          <w:tblBorders>
            <w:bottom w:val="none" w:sz="0" w:space="0" w:color="auto"/>
          </w:tblBorders>
          <w:tblCellMar>
            <w:top w:w="0" w:type="dxa"/>
            <w:bottom w:w="0" w:type="dxa"/>
          </w:tblCellMar>
        </w:tblPrEx>
        <w:tc>
          <w:tcPr>
            <w:tcW w:w="8658" w:type="dxa"/>
          </w:tcPr>
          <w:p w:rsidR="00604BFB" w:rsidRDefault="00604BFB" w:rsidP="007C53EB">
            <w:pPr>
              <w:pStyle w:val="Heading1"/>
              <w:tabs>
                <w:tab w:val="left" w:pos="360"/>
                <w:tab w:val="left" w:leader="dot" w:pos="8400"/>
              </w:tabs>
              <w:ind w:left="360"/>
              <w:rPr>
                <w:rFonts w:ascii="Arial" w:hAnsi="Arial" w:cs="Arial"/>
                <w:b w:val="0"/>
                <w:bCs w:val="0"/>
              </w:rPr>
            </w:pPr>
            <w:r>
              <w:rPr>
                <w:rFonts w:ascii="Arial" w:hAnsi="Arial" w:cs="Arial"/>
                <w:b w:val="0"/>
                <w:bCs w:val="0"/>
              </w:rPr>
              <w:t>SPA – Regulation of Finance Institutions</w:t>
            </w:r>
          </w:p>
        </w:tc>
        <w:tc>
          <w:tcPr>
            <w:tcW w:w="1170" w:type="dxa"/>
          </w:tcPr>
          <w:p w:rsidR="00604BFB" w:rsidRDefault="00604BFB" w:rsidP="007C53EB">
            <w:pPr>
              <w:jc w:val="center"/>
              <w:rPr>
                <w:rFonts w:ascii="Arial" w:hAnsi="Arial" w:cs="Arial"/>
                <w:bCs/>
                <w:sz w:val="28"/>
              </w:rPr>
            </w:pPr>
          </w:p>
        </w:tc>
      </w:tr>
      <w:tr w:rsidR="00604BFB">
        <w:tblPrEx>
          <w:tblBorders>
            <w:bottom w:val="none" w:sz="0" w:space="0" w:color="auto"/>
          </w:tblBorders>
          <w:tblCellMar>
            <w:top w:w="0" w:type="dxa"/>
            <w:bottom w:w="0" w:type="dxa"/>
          </w:tblCellMar>
        </w:tblPrEx>
        <w:tc>
          <w:tcPr>
            <w:tcW w:w="8658" w:type="dxa"/>
          </w:tcPr>
          <w:p w:rsidR="00604BFB" w:rsidRDefault="00604BFB" w:rsidP="007C53EB">
            <w:pPr>
              <w:pStyle w:val="Heading1"/>
              <w:tabs>
                <w:tab w:val="left" w:pos="360"/>
                <w:tab w:val="left" w:leader="dot" w:pos="8400"/>
              </w:tabs>
              <w:ind w:left="360"/>
              <w:rPr>
                <w:rFonts w:ascii="Arial" w:hAnsi="Arial" w:cs="Arial"/>
                <w:b w:val="0"/>
                <w:bCs w:val="0"/>
              </w:rPr>
            </w:pPr>
          </w:p>
        </w:tc>
        <w:tc>
          <w:tcPr>
            <w:tcW w:w="1170" w:type="dxa"/>
          </w:tcPr>
          <w:p w:rsidR="00604BFB" w:rsidRDefault="00604BFB" w:rsidP="007C53EB">
            <w:pPr>
              <w:jc w:val="center"/>
              <w:rPr>
                <w:rFonts w:ascii="Arial" w:hAnsi="Arial" w:cs="Arial"/>
                <w:bCs/>
                <w:sz w:val="28"/>
              </w:rPr>
            </w:pPr>
          </w:p>
        </w:tc>
      </w:tr>
      <w:tr w:rsidR="00604BFB">
        <w:tblPrEx>
          <w:tblBorders>
            <w:bottom w:val="none" w:sz="0" w:space="0" w:color="auto"/>
          </w:tblBorders>
          <w:tblCellMar>
            <w:top w:w="0" w:type="dxa"/>
            <w:bottom w:w="0" w:type="dxa"/>
          </w:tblCellMar>
        </w:tblPrEx>
        <w:tc>
          <w:tcPr>
            <w:tcW w:w="8658" w:type="dxa"/>
          </w:tcPr>
          <w:p w:rsidR="00604BFB" w:rsidRDefault="00604BFB" w:rsidP="00CE0AE7">
            <w:pPr>
              <w:pStyle w:val="Heading1"/>
              <w:tabs>
                <w:tab w:val="left" w:leader="dot" w:pos="8400"/>
              </w:tabs>
              <w:rPr>
                <w:rFonts w:ascii="Arial" w:hAnsi="Arial" w:cs="Arial"/>
                <w:b w:val="0"/>
              </w:rPr>
            </w:pPr>
            <w:r>
              <w:rPr>
                <w:rFonts w:ascii="Arial" w:hAnsi="Arial" w:cs="Arial"/>
                <w:b w:val="0"/>
              </w:rPr>
              <w:t>RESOURCE REALLOCATIONS</w:t>
            </w:r>
            <w:r w:rsidR="00CE0AE7">
              <w:rPr>
                <w:rFonts w:ascii="Arial" w:hAnsi="Arial" w:cs="Arial"/>
                <w:b w:val="0"/>
              </w:rPr>
              <w:tab/>
            </w:r>
          </w:p>
        </w:tc>
        <w:tc>
          <w:tcPr>
            <w:tcW w:w="1170" w:type="dxa"/>
          </w:tcPr>
          <w:p w:rsidR="00604BFB" w:rsidRDefault="000A0056" w:rsidP="007C53EB">
            <w:pPr>
              <w:jc w:val="center"/>
              <w:rPr>
                <w:rFonts w:ascii="Arial" w:hAnsi="Arial" w:cs="Arial"/>
                <w:bCs/>
                <w:sz w:val="28"/>
              </w:rPr>
            </w:pPr>
            <w:r>
              <w:rPr>
                <w:rFonts w:ascii="Arial" w:hAnsi="Arial" w:cs="Arial"/>
                <w:bCs/>
                <w:sz w:val="28"/>
              </w:rPr>
              <w:t>11</w:t>
            </w:r>
          </w:p>
        </w:tc>
      </w:tr>
      <w:tr w:rsidR="00604BFB">
        <w:tblPrEx>
          <w:tblBorders>
            <w:bottom w:val="none" w:sz="0" w:space="0" w:color="auto"/>
          </w:tblBorders>
          <w:tblCellMar>
            <w:top w:w="0" w:type="dxa"/>
            <w:bottom w:w="0" w:type="dxa"/>
          </w:tblCellMar>
        </w:tblPrEx>
        <w:tc>
          <w:tcPr>
            <w:tcW w:w="8658" w:type="dxa"/>
          </w:tcPr>
          <w:p w:rsidR="00604BFB" w:rsidRDefault="00604BFB" w:rsidP="007C53EB">
            <w:pPr>
              <w:pStyle w:val="Heading1"/>
              <w:tabs>
                <w:tab w:val="left" w:leader="dot" w:pos="8400"/>
              </w:tabs>
              <w:rPr>
                <w:rFonts w:ascii="Arial" w:hAnsi="Arial" w:cs="Arial"/>
                <w:b w:val="0"/>
              </w:rPr>
            </w:pPr>
          </w:p>
        </w:tc>
        <w:tc>
          <w:tcPr>
            <w:tcW w:w="1170" w:type="dxa"/>
          </w:tcPr>
          <w:p w:rsidR="00604BFB" w:rsidRDefault="00604BFB" w:rsidP="007C53EB">
            <w:pPr>
              <w:jc w:val="center"/>
              <w:rPr>
                <w:rFonts w:ascii="Arial" w:hAnsi="Arial" w:cs="Arial"/>
                <w:bCs/>
                <w:sz w:val="28"/>
              </w:rPr>
            </w:pPr>
          </w:p>
        </w:tc>
      </w:tr>
      <w:tr w:rsidR="00604BFB">
        <w:tblPrEx>
          <w:tblBorders>
            <w:bottom w:val="none" w:sz="0" w:space="0" w:color="auto"/>
          </w:tblBorders>
          <w:tblCellMar>
            <w:top w:w="0" w:type="dxa"/>
            <w:bottom w:w="0" w:type="dxa"/>
          </w:tblCellMar>
        </w:tblPrEx>
        <w:tc>
          <w:tcPr>
            <w:tcW w:w="8658" w:type="dxa"/>
          </w:tcPr>
          <w:p w:rsidR="00604BFB" w:rsidRDefault="00604BFB" w:rsidP="007C53EB">
            <w:pPr>
              <w:pStyle w:val="Heading1"/>
              <w:tabs>
                <w:tab w:val="left" w:leader="dot" w:pos="8400"/>
              </w:tabs>
              <w:rPr>
                <w:rFonts w:ascii="Arial" w:hAnsi="Arial" w:cs="Arial"/>
                <w:b w:val="0"/>
              </w:rPr>
            </w:pPr>
            <w:r>
              <w:rPr>
                <w:rFonts w:ascii="Arial" w:hAnsi="Arial" w:cs="Arial"/>
                <w:b w:val="0"/>
              </w:rPr>
              <w:t xml:space="preserve">AGENCY CONTACTS </w:t>
            </w:r>
            <w:r>
              <w:rPr>
                <w:rFonts w:ascii="Arial" w:hAnsi="Arial" w:cs="Arial"/>
                <w:b w:val="0"/>
              </w:rPr>
              <w:tab/>
            </w:r>
          </w:p>
        </w:tc>
        <w:tc>
          <w:tcPr>
            <w:tcW w:w="1170" w:type="dxa"/>
          </w:tcPr>
          <w:p w:rsidR="00604BFB" w:rsidRDefault="000A0056" w:rsidP="007C53EB">
            <w:pPr>
              <w:jc w:val="center"/>
              <w:rPr>
                <w:rFonts w:ascii="Arial" w:hAnsi="Arial" w:cs="Arial"/>
                <w:bCs/>
                <w:sz w:val="28"/>
              </w:rPr>
            </w:pPr>
            <w:r>
              <w:rPr>
                <w:rFonts w:ascii="Arial" w:hAnsi="Arial" w:cs="Arial"/>
                <w:bCs/>
                <w:sz w:val="28"/>
              </w:rPr>
              <w:t>11</w:t>
            </w:r>
          </w:p>
        </w:tc>
      </w:tr>
      <w:tr w:rsidR="00604BFB">
        <w:tblPrEx>
          <w:tblBorders>
            <w:bottom w:val="none" w:sz="0" w:space="0" w:color="auto"/>
          </w:tblBorders>
          <w:tblCellMar>
            <w:top w:w="0" w:type="dxa"/>
            <w:bottom w:w="0" w:type="dxa"/>
          </w:tblCellMar>
        </w:tblPrEx>
        <w:tc>
          <w:tcPr>
            <w:tcW w:w="8658" w:type="dxa"/>
          </w:tcPr>
          <w:p w:rsidR="00604BFB" w:rsidRDefault="00604BFB" w:rsidP="00CE0AE7">
            <w:pPr>
              <w:pStyle w:val="Heading1"/>
              <w:tabs>
                <w:tab w:val="left" w:pos="360"/>
                <w:tab w:val="left" w:leader="dot" w:pos="8400"/>
              </w:tabs>
              <w:rPr>
                <w:rFonts w:ascii="Arial" w:hAnsi="Arial" w:cs="Arial"/>
                <w:b w:val="0"/>
                <w:bCs w:val="0"/>
              </w:rPr>
            </w:pPr>
          </w:p>
        </w:tc>
        <w:tc>
          <w:tcPr>
            <w:tcW w:w="1170" w:type="dxa"/>
          </w:tcPr>
          <w:p w:rsidR="00604BFB" w:rsidRDefault="00604BFB" w:rsidP="007C53EB">
            <w:pPr>
              <w:jc w:val="center"/>
              <w:rPr>
                <w:rFonts w:ascii="Arial" w:hAnsi="Arial" w:cs="Arial"/>
                <w:b/>
                <w:bCs/>
                <w:sz w:val="28"/>
              </w:rPr>
            </w:pPr>
          </w:p>
        </w:tc>
      </w:tr>
    </w:tbl>
    <w:p w:rsidR="00604BFB" w:rsidRDefault="00604BFB" w:rsidP="00604BFB">
      <w:pPr>
        <w:jc w:val="both"/>
        <w:rPr>
          <w:rFonts w:ascii="Arial" w:hAnsi="Arial" w:cs="Arial"/>
        </w:rPr>
        <w:sectPr w:rsidR="00604BFB" w:rsidSect="007B735B">
          <w:pgSz w:w="12240" w:h="15840" w:code="1"/>
          <w:pgMar w:top="1440" w:right="1440" w:bottom="864" w:left="1440" w:header="720" w:footer="432" w:gutter="0"/>
          <w:pgNumType w:start="1"/>
          <w:cols w:space="720"/>
          <w:noEndnote/>
        </w:sectPr>
      </w:pPr>
    </w:p>
    <w:p w:rsidR="00604BFB" w:rsidRDefault="00604BFB" w:rsidP="00604BFB">
      <w:pPr>
        <w:jc w:val="both"/>
        <w:rPr>
          <w:rFonts w:ascii="Arial" w:hAnsi="Arial" w:cs="Arial"/>
        </w:rPr>
      </w:pPr>
      <w:r>
        <w:rPr>
          <w:rFonts w:ascii="Arial" w:hAnsi="Arial" w:cs="Arial"/>
          <w:noProof/>
          <w:sz w:val="20"/>
        </w:rPr>
        <w:lastRenderedPageBreak/>
        <w:pict>
          <v:shape id="_x0000_s1026" type="#_x0000_t202" style="position:absolute;left:0;text-align:left;margin-left:0;margin-top:-9.75pt;width:468pt;height:36pt;z-index:-251659264;mso-position-horizontal:center" strokeweight="1.5pt">
            <v:shadow on="t" offset="-6pt,-6pt"/>
            <v:textbox style="mso-next-textbox:#_x0000_s1026">
              <w:txbxContent>
                <w:p w:rsidR="00604BFB" w:rsidRDefault="00604BFB" w:rsidP="00604BFB">
                  <w:pPr>
                    <w:jc w:val="center"/>
                    <w:rPr>
                      <w:rFonts w:ascii="Arial Black" w:hAnsi="Arial Black"/>
                      <w:sz w:val="36"/>
                    </w:rPr>
                  </w:pPr>
                  <w:r>
                    <w:rPr>
                      <w:rFonts w:ascii="Arial Black" w:hAnsi="Arial Black"/>
                      <w:sz w:val="36"/>
                    </w:rPr>
                    <w:t xml:space="preserve">INTRODUCTION </w:t>
                  </w:r>
                </w:p>
                <w:p w:rsidR="00604BFB" w:rsidRDefault="00604BFB" w:rsidP="00604BFB">
                  <w:pPr>
                    <w:jc w:val="center"/>
                    <w:rPr>
                      <w:rFonts w:ascii="Bookman Old Style" w:hAnsi="Bookman Old Style"/>
                      <w:b/>
                      <w:sz w:val="32"/>
                    </w:rPr>
                  </w:pPr>
                </w:p>
                <w:p w:rsidR="00604BFB" w:rsidRDefault="00604BFB" w:rsidP="00604BFB"/>
              </w:txbxContent>
            </v:textbox>
          </v:shape>
        </w:pict>
      </w:r>
    </w:p>
    <w:p w:rsidR="00604BFB" w:rsidRDefault="00604BFB" w:rsidP="00604BFB">
      <w:pPr>
        <w:jc w:val="both"/>
        <w:rPr>
          <w:rFonts w:ascii="Arial" w:hAnsi="Arial" w:cs="Arial"/>
        </w:rPr>
      </w:pPr>
    </w:p>
    <w:p w:rsidR="00604BFB" w:rsidRDefault="00604BFB" w:rsidP="00604BFB">
      <w:pPr>
        <w:jc w:val="both"/>
        <w:rPr>
          <w:rFonts w:ascii="Arial" w:hAnsi="Arial" w:cs="Arial"/>
        </w:rPr>
      </w:pPr>
    </w:p>
    <w:p w:rsidR="003C2E16" w:rsidRDefault="003C2E16" w:rsidP="00604BFB">
      <w:pPr>
        <w:jc w:val="both"/>
        <w:rPr>
          <w:rFonts w:ascii="Arial" w:hAnsi="Arial"/>
        </w:rPr>
      </w:pPr>
    </w:p>
    <w:p w:rsidR="00604BFB" w:rsidRPr="00093E36" w:rsidRDefault="00604BFB" w:rsidP="00604BFB">
      <w:pPr>
        <w:jc w:val="both"/>
        <w:rPr>
          <w:rFonts w:ascii="Arial" w:hAnsi="Arial"/>
        </w:rPr>
      </w:pPr>
      <w:r w:rsidRPr="00093E36">
        <w:rPr>
          <w:rFonts w:ascii="Arial" w:hAnsi="Arial"/>
        </w:rPr>
        <w:t xml:space="preserve">I am pleased to present the Department of Commerce, Iowa Division of Banking (IDOB) </w:t>
      </w:r>
      <w:r>
        <w:rPr>
          <w:rFonts w:ascii="Arial" w:hAnsi="Arial"/>
        </w:rPr>
        <w:t>P</w:t>
      </w:r>
      <w:r w:rsidRPr="00093E36">
        <w:rPr>
          <w:rFonts w:ascii="Arial" w:hAnsi="Arial"/>
        </w:rPr>
        <w:t>erform</w:t>
      </w:r>
      <w:r>
        <w:rPr>
          <w:rFonts w:ascii="Arial" w:hAnsi="Arial"/>
        </w:rPr>
        <w:t>ance R</w:t>
      </w:r>
      <w:r w:rsidRPr="00093E36">
        <w:rPr>
          <w:rFonts w:ascii="Arial" w:hAnsi="Arial"/>
        </w:rPr>
        <w:t xml:space="preserve">eport for </w:t>
      </w:r>
      <w:r>
        <w:rPr>
          <w:rFonts w:ascii="Arial" w:hAnsi="Arial"/>
        </w:rPr>
        <w:t>F</w:t>
      </w:r>
      <w:r w:rsidRPr="00093E36">
        <w:rPr>
          <w:rFonts w:ascii="Arial" w:hAnsi="Arial"/>
        </w:rPr>
        <w:t xml:space="preserve">iscal </w:t>
      </w:r>
      <w:r>
        <w:rPr>
          <w:rFonts w:ascii="Arial" w:hAnsi="Arial"/>
        </w:rPr>
        <w:t>Y</w:t>
      </w:r>
      <w:r w:rsidRPr="00093E36">
        <w:rPr>
          <w:rFonts w:ascii="Arial" w:hAnsi="Arial"/>
        </w:rPr>
        <w:t>ear 200</w:t>
      </w:r>
      <w:r>
        <w:rPr>
          <w:rFonts w:ascii="Arial" w:hAnsi="Arial"/>
        </w:rPr>
        <w:t>5</w:t>
      </w:r>
      <w:r w:rsidRPr="00093E36">
        <w:rPr>
          <w:rFonts w:ascii="Arial" w:hAnsi="Arial"/>
        </w:rPr>
        <w:t xml:space="preserve"> (July 1, 200</w:t>
      </w:r>
      <w:r>
        <w:rPr>
          <w:rFonts w:ascii="Arial" w:hAnsi="Arial"/>
        </w:rPr>
        <w:t>4</w:t>
      </w:r>
      <w:r w:rsidRPr="00093E36">
        <w:rPr>
          <w:rFonts w:ascii="Arial" w:hAnsi="Arial"/>
        </w:rPr>
        <w:t xml:space="preserve"> - June 30, 200</w:t>
      </w:r>
      <w:r>
        <w:rPr>
          <w:rFonts w:ascii="Arial" w:hAnsi="Arial"/>
        </w:rPr>
        <w:t>5</w:t>
      </w:r>
      <w:r w:rsidRPr="00093E36">
        <w:rPr>
          <w:rFonts w:ascii="Arial" w:hAnsi="Arial"/>
        </w:rPr>
        <w:t xml:space="preserve">). This report contains valuable information about the services the Iowa Division of Banking has provided for Iowans during the past fiscal year.   This report is being published to meet the agency’s commitment to manage for results and to be open and accountable to </w:t>
      </w:r>
      <w:smartTag w:uri="urn:schemas-microsoft-com:office:smarttags" w:element="place">
        <w:smartTag w:uri="urn:schemas-microsoft-com:office:smarttags" w:element="State">
          <w:r w:rsidRPr="00093E36">
            <w:rPr>
              <w:rFonts w:ascii="Arial" w:hAnsi="Arial"/>
            </w:rPr>
            <w:t>Iowa</w:t>
          </w:r>
        </w:smartTag>
      </w:smartTag>
      <w:r w:rsidRPr="00093E36">
        <w:rPr>
          <w:rFonts w:ascii="Arial" w:hAnsi="Arial"/>
        </w:rPr>
        <w:t xml:space="preserve"> citizens.  This report contains performance information on the Banking and Finance Bureau of the IDOB.</w:t>
      </w:r>
    </w:p>
    <w:p w:rsidR="00604BFB" w:rsidRDefault="00604BFB" w:rsidP="00604BFB">
      <w:pPr>
        <w:jc w:val="both"/>
        <w:rPr>
          <w:rFonts w:ascii="Arial" w:hAnsi="Arial" w:cs="Arial"/>
        </w:rPr>
      </w:pPr>
    </w:p>
    <w:p w:rsidR="00604BFB" w:rsidRDefault="00604BFB" w:rsidP="00604BFB">
      <w:pPr>
        <w:jc w:val="both"/>
        <w:rPr>
          <w:rFonts w:ascii="Arial" w:hAnsi="Arial"/>
        </w:rPr>
      </w:pPr>
      <w:r>
        <w:rPr>
          <w:rFonts w:ascii="Arial" w:hAnsi="Arial"/>
        </w:rPr>
        <w:t xml:space="preserve">The agency’s core function is regulation and compliance.  It regulates state chartered banks and other financial service providers (FSPs).  It accomplishes this by utilizing the following processes: licensing/chartering FSPs; examining the FSPs to determine compliance with applicable laws and safety and soundness for certain FSPs; </w:t>
      </w:r>
      <w:r w:rsidR="00FF71BF">
        <w:rPr>
          <w:rFonts w:ascii="Arial" w:hAnsi="Arial"/>
        </w:rPr>
        <w:t xml:space="preserve">and </w:t>
      </w:r>
      <w:r>
        <w:rPr>
          <w:rFonts w:ascii="Arial" w:hAnsi="Arial"/>
        </w:rPr>
        <w:t>investigat</w:t>
      </w:r>
      <w:r w:rsidR="00C05DB2">
        <w:rPr>
          <w:rFonts w:ascii="Arial" w:hAnsi="Arial"/>
        </w:rPr>
        <w:t>ing consumer complaints.</w:t>
      </w:r>
    </w:p>
    <w:p w:rsidR="00604BFB" w:rsidRDefault="00604BFB" w:rsidP="00604BFB">
      <w:pPr>
        <w:rPr>
          <w:rFonts w:ascii="Arial" w:hAnsi="Arial"/>
        </w:rPr>
      </w:pPr>
    </w:p>
    <w:p w:rsidR="00604BFB" w:rsidRDefault="00604BFB" w:rsidP="00604BFB">
      <w:pPr>
        <w:jc w:val="both"/>
        <w:rPr>
          <w:rFonts w:ascii="Arial" w:hAnsi="Arial"/>
        </w:rPr>
      </w:pPr>
      <w:r>
        <w:rPr>
          <w:rFonts w:ascii="Arial" w:hAnsi="Arial"/>
        </w:rPr>
        <w:t xml:space="preserve">Performance measures have been established to improve the efficiency of each process.  All FSPs have been examined within the statutory time limit and all are considered safe and sound and operating in compliance with applicable laws.  </w:t>
      </w:r>
      <w:r w:rsidRPr="00F274DD">
        <w:rPr>
          <w:rFonts w:ascii="Arial" w:hAnsi="Arial"/>
        </w:rPr>
        <w:t xml:space="preserve">The average turnaround time on </w:t>
      </w:r>
      <w:r>
        <w:rPr>
          <w:rFonts w:ascii="Arial" w:hAnsi="Arial"/>
        </w:rPr>
        <w:t xml:space="preserve">bank </w:t>
      </w:r>
      <w:r w:rsidRPr="00F274DD">
        <w:rPr>
          <w:rFonts w:ascii="Arial" w:hAnsi="Arial"/>
        </w:rPr>
        <w:t xml:space="preserve">examination </w:t>
      </w:r>
      <w:r w:rsidRPr="00CE555F">
        <w:rPr>
          <w:rFonts w:ascii="Arial" w:hAnsi="Arial"/>
        </w:rPr>
        <w:t xml:space="preserve">reports (days from when exam was completed to final report was mailed to the examined bank) was </w:t>
      </w:r>
      <w:r w:rsidR="00CE555F" w:rsidRPr="00CE555F">
        <w:rPr>
          <w:rFonts w:ascii="Arial" w:hAnsi="Arial"/>
        </w:rPr>
        <w:t xml:space="preserve">14 </w:t>
      </w:r>
      <w:r w:rsidRPr="00CE555F">
        <w:rPr>
          <w:rFonts w:ascii="Arial" w:hAnsi="Arial"/>
        </w:rPr>
        <w:t>calendar days.  This is significantly below the Conference of State Bank Supervisors best practice</w:t>
      </w:r>
      <w:r w:rsidRPr="00F274DD">
        <w:rPr>
          <w:rFonts w:ascii="Arial" w:hAnsi="Arial"/>
        </w:rPr>
        <w:t xml:space="preserve"> recommendation of 30 calendar days.</w:t>
      </w:r>
    </w:p>
    <w:p w:rsidR="00604BFB" w:rsidRDefault="00604BFB" w:rsidP="00604BFB">
      <w:pPr>
        <w:jc w:val="both"/>
        <w:rPr>
          <w:rFonts w:ascii="Arial" w:hAnsi="Arial"/>
        </w:rPr>
      </w:pPr>
    </w:p>
    <w:p w:rsidR="00604BFB" w:rsidRDefault="00FF71BF" w:rsidP="00604BFB">
      <w:pPr>
        <w:jc w:val="both"/>
        <w:rPr>
          <w:rFonts w:ascii="Arial" w:hAnsi="Arial"/>
        </w:rPr>
      </w:pPr>
      <w:r>
        <w:rPr>
          <w:rFonts w:ascii="Arial" w:hAnsi="Arial"/>
        </w:rPr>
        <w:t>In fiscal year 2005, t</w:t>
      </w:r>
      <w:r w:rsidR="00604BFB">
        <w:rPr>
          <w:rFonts w:ascii="Arial" w:hAnsi="Arial"/>
        </w:rPr>
        <w:t xml:space="preserve">he IDOB participated in the Iowa Excellence self-assessment and achieved one of the highest scores of any state agency.  Its goal for improvement is the review </w:t>
      </w:r>
      <w:r>
        <w:rPr>
          <w:rFonts w:ascii="Arial" w:hAnsi="Arial"/>
        </w:rPr>
        <w:t xml:space="preserve">and update </w:t>
      </w:r>
      <w:r w:rsidR="00604BFB">
        <w:rPr>
          <w:rFonts w:ascii="Arial" w:hAnsi="Arial"/>
        </w:rPr>
        <w:t>of the agency strategic plan.</w:t>
      </w:r>
      <w:r>
        <w:rPr>
          <w:rFonts w:ascii="Arial" w:hAnsi="Arial"/>
        </w:rPr>
        <w:t xml:space="preserve">  </w:t>
      </w:r>
      <w:r w:rsidR="00604BFB">
        <w:rPr>
          <w:rFonts w:ascii="Arial" w:hAnsi="Arial"/>
        </w:rPr>
        <w:t xml:space="preserve">The IDOB increased its security to enhance its overall security and reliability of its network.  The </w:t>
      </w:r>
      <w:r>
        <w:rPr>
          <w:rFonts w:ascii="Arial" w:hAnsi="Arial"/>
        </w:rPr>
        <w:t>IDOB</w:t>
      </w:r>
      <w:r w:rsidR="00604BFB">
        <w:rPr>
          <w:rFonts w:ascii="Arial" w:hAnsi="Arial"/>
        </w:rPr>
        <w:t xml:space="preserve"> also converted to the active directory of the State of </w:t>
      </w:r>
      <w:smartTag w:uri="urn:schemas-microsoft-com:office:smarttags" w:element="place">
        <w:smartTag w:uri="urn:schemas-microsoft-com:office:smarttags" w:element="State">
          <w:r w:rsidR="00604BFB">
            <w:rPr>
              <w:rFonts w:ascii="Arial" w:hAnsi="Arial"/>
            </w:rPr>
            <w:t>Iowa</w:t>
          </w:r>
        </w:smartTag>
      </w:smartTag>
      <w:r w:rsidR="00604BFB">
        <w:rPr>
          <w:rFonts w:ascii="Arial" w:hAnsi="Arial"/>
        </w:rPr>
        <w:t xml:space="preserve"> and imaged all of the Bank</w:t>
      </w:r>
      <w:r w:rsidR="00AF7277">
        <w:rPr>
          <w:rFonts w:ascii="Arial" w:hAnsi="Arial"/>
        </w:rPr>
        <w:t xml:space="preserve"> Bureau’s hard copy documents.</w:t>
      </w:r>
    </w:p>
    <w:p w:rsidR="007B735B" w:rsidRDefault="007B735B" w:rsidP="00604BFB">
      <w:pPr>
        <w:rPr>
          <w:rFonts w:ascii="Arial" w:hAnsi="Arial" w:cs="Arial"/>
        </w:rPr>
      </w:pPr>
    </w:p>
    <w:p w:rsidR="00604BFB" w:rsidRDefault="00604BFB" w:rsidP="00604BFB">
      <w:pPr>
        <w:rPr>
          <w:rFonts w:ascii="Arial" w:hAnsi="Arial" w:cs="Arial"/>
        </w:rPr>
      </w:pPr>
      <w:r>
        <w:rPr>
          <w:rFonts w:ascii="Arial" w:hAnsi="Arial" w:cs="Arial"/>
        </w:rPr>
        <w:t>Additional accomplishments for the year included the following:</w:t>
      </w:r>
    </w:p>
    <w:p w:rsidR="00604BFB" w:rsidRDefault="00604BFB" w:rsidP="00604BFB">
      <w:pPr>
        <w:jc w:val="both"/>
        <w:rPr>
          <w:rFonts w:ascii="Arial" w:hAnsi="Arial" w:cs="Arial"/>
        </w:rPr>
      </w:pPr>
    </w:p>
    <w:p w:rsidR="00604BFB" w:rsidRPr="00CC22CF" w:rsidRDefault="00604BFB" w:rsidP="00604BFB">
      <w:pPr>
        <w:jc w:val="both"/>
        <w:rPr>
          <w:rFonts w:ascii="Arial" w:hAnsi="Arial" w:cs="Arial"/>
          <w:b/>
          <w:sz w:val="28"/>
          <w:szCs w:val="28"/>
          <w:u w:val="single"/>
        </w:rPr>
      </w:pPr>
      <w:r w:rsidRPr="00CC22CF">
        <w:rPr>
          <w:rFonts w:ascii="Arial" w:hAnsi="Arial" w:cs="Arial"/>
          <w:b/>
          <w:sz w:val="28"/>
          <w:szCs w:val="28"/>
          <w:u w:val="single"/>
        </w:rPr>
        <w:t>BANK BUREAU:</w:t>
      </w:r>
    </w:p>
    <w:p w:rsidR="00604BFB" w:rsidRDefault="00604BFB" w:rsidP="00604BFB">
      <w:pPr>
        <w:jc w:val="both"/>
        <w:rPr>
          <w:rFonts w:ascii="Arial" w:hAnsi="Arial" w:cs="Arial"/>
        </w:rPr>
      </w:pPr>
    </w:p>
    <w:p w:rsidR="00604BFB" w:rsidRPr="00F274DD" w:rsidRDefault="00604BFB" w:rsidP="00604BFB">
      <w:pPr>
        <w:jc w:val="both"/>
        <w:rPr>
          <w:rFonts w:ascii="Arial" w:hAnsi="Arial" w:cs="Arial"/>
        </w:rPr>
      </w:pPr>
      <w:r w:rsidRPr="00F274DD">
        <w:rPr>
          <w:rFonts w:ascii="Arial" w:hAnsi="Arial" w:cs="Arial"/>
        </w:rPr>
        <w:t>Actions were taken on the following applications during FY0</w:t>
      </w:r>
      <w:r>
        <w:rPr>
          <w:rFonts w:ascii="Arial" w:hAnsi="Arial" w:cs="Arial"/>
        </w:rPr>
        <w:t>5</w:t>
      </w:r>
      <w:r w:rsidRPr="00F274DD">
        <w:rPr>
          <w:rFonts w:ascii="Arial" w:hAnsi="Arial" w:cs="Arial"/>
        </w:rPr>
        <w:t>:</w:t>
      </w:r>
    </w:p>
    <w:p w:rsidR="00604BFB" w:rsidRDefault="00604BFB" w:rsidP="00604BFB"/>
    <w:p w:rsidR="00604BFB" w:rsidRPr="00F274DD" w:rsidRDefault="00F6418F" w:rsidP="00F6418F">
      <w:pPr>
        <w:numPr>
          <w:ilvl w:val="0"/>
          <w:numId w:val="1"/>
        </w:numPr>
        <w:rPr>
          <w:rFonts w:ascii="Arial" w:hAnsi="Arial"/>
        </w:rPr>
      </w:pPr>
      <w:r>
        <w:rPr>
          <w:rFonts w:ascii="Arial" w:hAnsi="Arial"/>
        </w:rPr>
        <w:t>0</w:t>
      </w:r>
      <w:r w:rsidR="00604BFB" w:rsidRPr="00F274DD">
        <w:rPr>
          <w:rFonts w:ascii="Arial" w:hAnsi="Arial"/>
        </w:rPr>
        <w:t xml:space="preserve"> voluntary dissolution</w:t>
      </w:r>
    </w:p>
    <w:p w:rsidR="00604BFB" w:rsidRPr="00F274DD" w:rsidRDefault="00F6418F" w:rsidP="00F6418F">
      <w:pPr>
        <w:numPr>
          <w:ilvl w:val="0"/>
          <w:numId w:val="1"/>
        </w:numPr>
        <w:rPr>
          <w:rFonts w:ascii="Arial" w:hAnsi="Arial"/>
        </w:rPr>
      </w:pPr>
      <w:r>
        <w:rPr>
          <w:rFonts w:ascii="Arial" w:hAnsi="Arial"/>
        </w:rPr>
        <w:t>8</w:t>
      </w:r>
      <w:r w:rsidR="00604BFB" w:rsidRPr="00F274DD">
        <w:rPr>
          <w:rFonts w:ascii="Arial" w:hAnsi="Arial"/>
        </w:rPr>
        <w:t xml:space="preserve"> mergers </w:t>
      </w:r>
    </w:p>
    <w:p w:rsidR="00604BFB" w:rsidRPr="00F274DD" w:rsidRDefault="00F6418F" w:rsidP="00F6418F">
      <w:pPr>
        <w:numPr>
          <w:ilvl w:val="0"/>
          <w:numId w:val="1"/>
        </w:numPr>
        <w:rPr>
          <w:rFonts w:ascii="Arial" w:hAnsi="Arial"/>
        </w:rPr>
      </w:pPr>
      <w:r>
        <w:rPr>
          <w:rFonts w:ascii="Arial" w:hAnsi="Arial"/>
        </w:rPr>
        <w:t>0</w:t>
      </w:r>
      <w:r w:rsidR="00604BFB" w:rsidRPr="00F274DD">
        <w:rPr>
          <w:rFonts w:ascii="Arial" w:hAnsi="Arial"/>
        </w:rPr>
        <w:t xml:space="preserve"> financial institutions were converted from federal charters to state charters</w:t>
      </w:r>
    </w:p>
    <w:p w:rsidR="00604BFB" w:rsidRPr="00F274DD" w:rsidRDefault="00604BFB" w:rsidP="00F6418F">
      <w:pPr>
        <w:numPr>
          <w:ilvl w:val="0"/>
          <w:numId w:val="1"/>
        </w:numPr>
        <w:rPr>
          <w:rFonts w:ascii="Arial" w:hAnsi="Arial"/>
        </w:rPr>
      </w:pPr>
      <w:r w:rsidRPr="00F274DD">
        <w:rPr>
          <w:rFonts w:ascii="Arial" w:hAnsi="Arial"/>
        </w:rPr>
        <w:t>0 financial institutions were converted from state charters to federal charters</w:t>
      </w:r>
    </w:p>
    <w:p w:rsidR="00604BFB" w:rsidRPr="00F274DD" w:rsidRDefault="00604BFB" w:rsidP="00F6418F">
      <w:pPr>
        <w:numPr>
          <w:ilvl w:val="0"/>
          <w:numId w:val="1"/>
        </w:numPr>
        <w:rPr>
          <w:rFonts w:ascii="Arial" w:hAnsi="Arial"/>
        </w:rPr>
      </w:pPr>
      <w:r w:rsidRPr="00F274DD">
        <w:rPr>
          <w:rFonts w:ascii="Arial" w:hAnsi="Arial"/>
        </w:rPr>
        <w:t>5</w:t>
      </w:r>
      <w:r w:rsidR="00F6418F">
        <w:rPr>
          <w:rFonts w:ascii="Arial" w:hAnsi="Arial"/>
        </w:rPr>
        <w:t>2</w:t>
      </w:r>
      <w:r w:rsidRPr="00F274DD">
        <w:rPr>
          <w:rFonts w:ascii="Arial" w:hAnsi="Arial"/>
        </w:rPr>
        <w:t xml:space="preserve"> applications to establish bank offices</w:t>
      </w:r>
    </w:p>
    <w:p w:rsidR="00604BFB" w:rsidRPr="00F274DD" w:rsidRDefault="00F6418F" w:rsidP="00F6418F">
      <w:pPr>
        <w:numPr>
          <w:ilvl w:val="0"/>
          <w:numId w:val="1"/>
        </w:numPr>
        <w:rPr>
          <w:rFonts w:ascii="Arial" w:hAnsi="Arial"/>
        </w:rPr>
      </w:pPr>
      <w:r>
        <w:rPr>
          <w:rFonts w:ascii="Arial" w:hAnsi="Arial"/>
        </w:rPr>
        <w:t>11</w:t>
      </w:r>
      <w:r w:rsidR="00604BFB" w:rsidRPr="00F274DD">
        <w:rPr>
          <w:rFonts w:ascii="Arial" w:hAnsi="Arial"/>
        </w:rPr>
        <w:t xml:space="preserve"> applications to relocate bank offices</w:t>
      </w:r>
    </w:p>
    <w:p w:rsidR="00604BFB" w:rsidRPr="00F274DD" w:rsidRDefault="00F6418F" w:rsidP="00F6418F">
      <w:pPr>
        <w:numPr>
          <w:ilvl w:val="0"/>
          <w:numId w:val="1"/>
        </w:numPr>
        <w:rPr>
          <w:rFonts w:ascii="Arial" w:hAnsi="Arial"/>
        </w:rPr>
      </w:pPr>
      <w:r>
        <w:rPr>
          <w:rFonts w:ascii="Arial" w:hAnsi="Arial"/>
        </w:rPr>
        <w:t>5</w:t>
      </w:r>
      <w:r w:rsidR="00604BFB" w:rsidRPr="00F274DD">
        <w:rPr>
          <w:rFonts w:ascii="Arial" w:hAnsi="Arial"/>
        </w:rPr>
        <w:t xml:space="preserve"> bank name change applications</w:t>
      </w:r>
    </w:p>
    <w:p w:rsidR="00604BFB" w:rsidRPr="00F274DD" w:rsidRDefault="00F6418F" w:rsidP="00F6418F">
      <w:pPr>
        <w:numPr>
          <w:ilvl w:val="0"/>
          <w:numId w:val="1"/>
        </w:numPr>
        <w:rPr>
          <w:rFonts w:ascii="Arial" w:hAnsi="Arial"/>
        </w:rPr>
      </w:pPr>
      <w:r>
        <w:rPr>
          <w:rFonts w:ascii="Arial" w:hAnsi="Arial"/>
        </w:rPr>
        <w:t>0</w:t>
      </w:r>
      <w:r w:rsidR="00604BFB" w:rsidRPr="00F274DD">
        <w:rPr>
          <w:rFonts w:ascii="Arial" w:hAnsi="Arial"/>
        </w:rPr>
        <w:t xml:space="preserve"> bank charter was renewed</w:t>
      </w:r>
    </w:p>
    <w:p w:rsidR="008773B8" w:rsidRDefault="00F6418F" w:rsidP="00F6418F">
      <w:pPr>
        <w:numPr>
          <w:ilvl w:val="0"/>
          <w:numId w:val="1"/>
        </w:numPr>
        <w:rPr>
          <w:rFonts w:ascii="Arial" w:hAnsi="Arial"/>
        </w:rPr>
      </w:pPr>
      <w:r>
        <w:rPr>
          <w:rFonts w:ascii="Arial" w:hAnsi="Arial"/>
        </w:rPr>
        <w:t>8</w:t>
      </w:r>
      <w:r w:rsidR="00604BFB" w:rsidRPr="00F274DD">
        <w:rPr>
          <w:rFonts w:ascii="Arial" w:hAnsi="Arial"/>
        </w:rPr>
        <w:t xml:space="preserve"> bank charters were terminated</w:t>
      </w:r>
    </w:p>
    <w:p w:rsidR="00604BFB" w:rsidRPr="00F274DD" w:rsidRDefault="008773B8" w:rsidP="008773B8">
      <w:pPr>
        <w:rPr>
          <w:rFonts w:ascii="Arial" w:hAnsi="Arial"/>
        </w:rPr>
      </w:pPr>
      <w:r>
        <w:rPr>
          <w:rFonts w:ascii="Arial" w:hAnsi="Arial"/>
        </w:rPr>
        <w:br w:type="page"/>
      </w:r>
    </w:p>
    <w:p w:rsidR="00604BFB" w:rsidRPr="00F274DD" w:rsidRDefault="00604BFB" w:rsidP="00604BFB">
      <w:pPr>
        <w:rPr>
          <w:rFonts w:ascii="Arial" w:hAnsi="Arial"/>
        </w:rPr>
      </w:pPr>
    </w:p>
    <w:p w:rsidR="00604BFB" w:rsidRPr="00F274DD" w:rsidRDefault="00604BFB" w:rsidP="00604BFB">
      <w:pPr>
        <w:rPr>
          <w:rFonts w:ascii="Arial" w:hAnsi="Arial"/>
        </w:rPr>
      </w:pPr>
      <w:r w:rsidRPr="00F274DD">
        <w:rPr>
          <w:rFonts w:ascii="Arial" w:hAnsi="Arial"/>
        </w:rPr>
        <w:t>Bank Examinations Conducted:</w:t>
      </w:r>
    </w:p>
    <w:p w:rsidR="00604BFB" w:rsidRPr="00F274DD" w:rsidRDefault="00604BFB" w:rsidP="00F6418F">
      <w:pPr>
        <w:numPr>
          <w:ilvl w:val="0"/>
          <w:numId w:val="2"/>
        </w:numPr>
        <w:tabs>
          <w:tab w:val="left" w:pos="360"/>
        </w:tabs>
        <w:rPr>
          <w:rFonts w:ascii="Arial" w:hAnsi="Arial"/>
        </w:rPr>
      </w:pPr>
      <w:r>
        <w:rPr>
          <w:rFonts w:ascii="Arial" w:hAnsi="Arial"/>
        </w:rPr>
        <w:t>1</w:t>
      </w:r>
      <w:r w:rsidR="00F6418F">
        <w:rPr>
          <w:rFonts w:ascii="Arial" w:hAnsi="Arial"/>
        </w:rPr>
        <w:t>48</w:t>
      </w:r>
      <w:r>
        <w:rPr>
          <w:rFonts w:ascii="Arial" w:hAnsi="Arial"/>
        </w:rPr>
        <w:t xml:space="preserve"> </w:t>
      </w:r>
      <w:r w:rsidRPr="00F274DD">
        <w:rPr>
          <w:rFonts w:ascii="Arial" w:hAnsi="Arial"/>
        </w:rPr>
        <w:t>Full scope examinations were conducted</w:t>
      </w:r>
    </w:p>
    <w:p w:rsidR="00604BFB" w:rsidRPr="00F274DD" w:rsidRDefault="00F6418F" w:rsidP="00F6418F">
      <w:pPr>
        <w:numPr>
          <w:ilvl w:val="0"/>
          <w:numId w:val="2"/>
        </w:numPr>
        <w:tabs>
          <w:tab w:val="left" w:pos="360"/>
        </w:tabs>
        <w:rPr>
          <w:rFonts w:ascii="Arial" w:hAnsi="Arial"/>
        </w:rPr>
      </w:pPr>
      <w:r>
        <w:rPr>
          <w:rFonts w:ascii="Arial" w:hAnsi="Arial"/>
        </w:rPr>
        <w:t>1</w:t>
      </w:r>
      <w:r w:rsidR="00604BFB">
        <w:rPr>
          <w:rFonts w:ascii="Arial" w:hAnsi="Arial"/>
        </w:rPr>
        <w:t xml:space="preserve"> Visitation</w:t>
      </w:r>
      <w:r w:rsidR="00604BFB" w:rsidRPr="00F274DD">
        <w:rPr>
          <w:rFonts w:ascii="Arial" w:hAnsi="Arial"/>
        </w:rPr>
        <w:t xml:space="preserve"> examinations were conducted</w:t>
      </w:r>
    </w:p>
    <w:p w:rsidR="00604BFB" w:rsidRDefault="00F6418F" w:rsidP="00F6418F">
      <w:pPr>
        <w:numPr>
          <w:ilvl w:val="0"/>
          <w:numId w:val="2"/>
        </w:numPr>
        <w:tabs>
          <w:tab w:val="left" w:pos="360"/>
        </w:tabs>
        <w:rPr>
          <w:rFonts w:ascii="Arial" w:hAnsi="Arial"/>
        </w:rPr>
      </w:pPr>
      <w:r>
        <w:rPr>
          <w:rFonts w:ascii="Arial" w:hAnsi="Arial"/>
        </w:rPr>
        <w:t>61</w:t>
      </w:r>
      <w:r w:rsidR="00604BFB" w:rsidRPr="00F274DD">
        <w:rPr>
          <w:rFonts w:ascii="Arial" w:hAnsi="Arial"/>
        </w:rPr>
        <w:t xml:space="preserve"> Holding company examinations were conducted</w:t>
      </w:r>
    </w:p>
    <w:p w:rsidR="00604BFB" w:rsidRDefault="00F6418F" w:rsidP="00F6418F">
      <w:pPr>
        <w:numPr>
          <w:ilvl w:val="0"/>
          <w:numId w:val="2"/>
        </w:numPr>
        <w:tabs>
          <w:tab w:val="left" w:pos="360"/>
        </w:tabs>
        <w:rPr>
          <w:rFonts w:ascii="Arial" w:hAnsi="Arial"/>
        </w:rPr>
      </w:pPr>
      <w:r>
        <w:rPr>
          <w:rFonts w:ascii="Arial" w:hAnsi="Arial"/>
        </w:rPr>
        <w:t>81</w:t>
      </w:r>
      <w:r w:rsidR="00604BFB">
        <w:rPr>
          <w:rFonts w:ascii="Arial" w:hAnsi="Arial"/>
        </w:rPr>
        <w:t xml:space="preserve"> Trust exams were conducted</w:t>
      </w:r>
    </w:p>
    <w:p w:rsidR="00604BFB" w:rsidRPr="00F274DD" w:rsidRDefault="00F6418F" w:rsidP="00F6418F">
      <w:pPr>
        <w:numPr>
          <w:ilvl w:val="0"/>
          <w:numId w:val="2"/>
        </w:numPr>
        <w:tabs>
          <w:tab w:val="left" w:pos="360"/>
        </w:tabs>
        <w:rPr>
          <w:rFonts w:ascii="Arial" w:hAnsi="Arial"/>
        </w:rPr>
      </w:pPr>
      <w:r>
        <w:rPr>
          <w:rFonts w:ascii="Arial" w:hAnsi="Arial"/>
        </w:rPr>
        <w:t>74</w:t>
      </w:r>
      <w:r w:rsidR="00604BFB">
        <w:rPr>
          <w:rFonts w:ascii="Arial" w:hAnsi="Arial"/>
        </w:rPr>
        <w:t xml:space="preserve"> IT exams were conducted</w:t>
      </w:r>
    </w:p>
    <w:p w:rsidR="00604BFB" w:rsidRPr="00F274DD" w:rsidRDefault="00604BFB" w:rsidP="00604BFB">
      <w:pPr>
        <w:rPr>
          <w:rFonts w:ascii="Arial" w:hAnsi="Arial"/>
        </w:rPr>
      </w:pPr>
    </w:p>
    <w:p w:rsidR="00604BFB" w:rsidRDefault="00604BFB" w:rsidP="00604BFB">
      <w:pPr>
        <w:jc w:val="both"/>
        <w:rPr>
          <w:rFonts w:ascii="Arial" w:hAnsi="Arial" w:cs="Arial"/>
        </w:rPr>
      </w:pPr>
    </w:p>
    <w:p w:rsidR="00604BFB" w:rsidRPr="003C2E16" w:rsidRDefault="00604BFB" w:rsidP="00604BFB">
      <w:pPr>
        <w:jc w:val="both"/>
        <w:rPr>
          <w:rFonts w:ascii="Arial" w:hAnsi="Arial" w:cs="Arial"/>
        </w:rPr>
      </w:pPr>
    </w:p>
    <w:p w:rsidR="00604BFB" w:rsidRDefault="00604BFB" w:rsidP="00604BFB">
      <w:pPr>
        <w:jc w:val="both"/>
        <w:rPr>
          <w:rFonts w:ascii="Arial" w:hAnsi="Arial" w:cs="Arial"/>
          <w:b/>
          <w:sz w:val="28"/>
          <w:szCs w:val="28"/>
          <w:u w:val="single"/>
        </w:rPr>
      </w:pPr>
      <w:r>
        <w:rPr>
          <w:rFonts w:ascii="Arial" w:hAnsi="Arial" w:cs="Arial"/>
          <w:b/>
          <w:sz w:val="28"/>
          <w:szCs w:val="28"/>
          <w:u w:val="single"/>
        </w:rPr>
        <w:t>FINANCE</w:t>
      </w:r>
      <w:r w:rsidRPr="00CC22CF">
        <w:rPr>
          <w:rFonts w:ascii="Arial" w:hAnsi="Arial" w:cs="Arial"/>
          <w:b/>
          <w:sz w:val="28"/>
          <w:szCs w:val="28"/>
          <w:u w:val="single"/>
        </w:rPr>
        <w:t xml:space="preserve"> BUREAU:</w:t>
      </w:r>
    </w:p>
    <w:p w:rsidR="00604BFB" w:rsidRPr="003C2E16" w:rsidRDefault="00604BFB" w:rsidP="00604BFB">
      <w:pPr>
        <w:jc w:val="both"/>
        <w:rPr>
          <w:rFonts w:ascii="Arial" w:hAnsi="Arial" w:cs="Arial"/>
        </w:rPr>
      </w:pPr>
    </w:p>
    <w:p w:rsidR="00604BFB" w:rsidRDefault="00033FA6" w:rsidP="00033FA6">
      <w:pPr>
        <w:numPr>
          <w:ilvl w:val="0"/>
          <w:numId w:val="3"/>
        </w:numPr>
        <w:tabs>
          <w:tab w:val="left" w:pos="360"/>
        </w:tabs>
        <w:rPr>
          <w:rFonts w:ascii="Arial" w:hAnsi="Arial"/>
          <w:u w:val="single"/>
        </w:rPr>
      </w:pPr>
      <w:r>
        <w:rPr>
          <w:rFonts w:ascii="Arial" w:hAnsi="Arial"/>
          <w:u w:val="single"/>
        </w:rPr>
        <w:t>Licensing</w:t>
      </w:r>
    </w:p>
    <w:p w:rsidR="00033FA6" w:rsidRPr="00033FA6" w:rsidRDefault="00033FA6" w:rsidP="00033FA6">
      <w:pPr>
        <w:numPr>
          <w:ilvl w:val="1"/>
          <w:numId w:val="3"/>
        </w:numPr>
        <w:tabs>
          <w:tab w:val="left" w:pos="360"/>
        </w:tabs>
        <w:rPr>
          <w:rFonts w:ascii="Arial" w:hAnsi="Arial"/>
          <w:u w:val="single"/>
        </w:rPr>
      </w:pPr>
      <w:r>
        <w:rPr>
          <w:rFonts w:ascii="Arial" w:hAnsi="Arial"/>
        </w:rPr>
        <w:t>396 applications for new licenses received</w:t>
      </w:r>
    </w:p>
    <w:p w:rsidR="00033FA6" w:rsidRPr="00033FA6" w:rsidRDefault="00033FA6" w:rsidP="00033FA6">
      <w:pPr>
        <w:numPr>
          <w:ilvl w:val="1"/>
          <w:numId w:val="3"/>
        </w:numPr>
        <w:tabs>
          <w:tab w:val="left" w:pos="360"/>
        </w:tabs>
        <w:rPr>
          <w:rFonts w:ascii="Arial" w:hAnsi="Arial"/>
          <w:u w:val="single"/>
        </w:rPr>
      </w:pPr>
      <w:r>
        <w:rPr>
          <w:rFonts w:ascii="Arial" w:hAnsi="Arial"/>
        </w:rPr>
        <w:t>374 new licenses issued</w:t>
      </w:r>
    </w:p>
    <w:p w:rsidR="00033FA6" w:rsidRPr="00033FA6" w:rsidRDefault="00033FA6" w:rsidP="00033FA6">
      <w:pPr>
        <w:numPr>
          <w:ilvl w:val="1"/>
          <w:numId w:val="3"/>
        </w:numPr>
        <w:tabs>
          <w:tab w:val="left" w:pos="360"/>
        </w:tabs>
        <w:rPr>
          <w:rFonts w:ascii="Arial" w:hAnsi="Arial"/>
          <w:u w:val="single"/>
        </w:rPr>
      </w:pPr>
      <w:r>
        <w:rPr>
          <w:rFonts w:ascii="Arial" w:hAnsi="Arial"/>
        </w:rPr>
        <w:t>18 applications denied or withdrawn</w:t>
      </w:r>
    </w:p>
    <w:p w:rsidR="00033FA6" w:rsidRPr="00033FA6" w:rsidRDefault="00033FA6" w:rsidP="00033FA6">
      <w:pPr>
        <w:numPr>
          <w:ilvl w:val="1"/>
          <w:numId w:val="3"/>
        </w:numPr>
        <w:tabs>
          <w:tab w:val="left" w:pos="360"/>
        </w:tabs>
        <w:rPr>
          <w:rFonts w:ascii="Arial" w:hAnsi="Arial"/>
          <w:u w:val="single"/>
        </w:rPr>
      </w:pPr>
      <w:r>
        <w:rPr>
          <w:rFonts w:ascii="Arial" w:hAnsi="Arial"/>
        </w:rPr>
        <w:t>183 licenses cancelled</w:t>
      </w:r>
    </w:p>
    <w:p w:rsidR="00033FA6" w:rsidRPr="00033FA6" w:rsidRDefault="00033FA6" w:rsidP="00033FA6">
      <w:pPr>
        <w:numPr>
          <w:ilvl w:val="1"/>
          <w:numId w:val="3"/>
        </w:numPr>
        <w:tabs>
          <w:tab w:val="left" w:pos="360"/>
        </w:tabs>
        <w:rPr>
          <w:rFonts w:ascii="Arial" w:hAnsi="Arial"/>
          <w:u w:val="single"/>
        </w:rPr>
      </w:pPr>
      <w:r>
        <w:rPr>
          <w:rFonts w:ascii="Arial" w:hAnsi="Arial"/>
        </w:rPr>
        <w:t>1,467 licenses renewed</w:t>
      </w:r>
    </w:p>
    <w:p w:rsidR="00033FA6" w:rsidRPr="00033FA6" w:rsidRDefault="00033FA6" w:rsidP="00033FA6">
      <w:pPr>
        <w:tabs>
          <w:tab w:val="left" w:pos="360"/>
        </w:tabs>
        <w:ind w:left="720"/>
        <w:rPr>
          <w:rFonts w:ascii="Arial" w:hAnsi="Arial"/>
          <w:u w:val="single"/>
        </w:rPr>
      </w:pPr>
    </w:p>
    <w:p w:rsidR="00033FA6" w:rsidRPr="00033FA6" w:rsidRDefault="00033FA6" w:rsidP="00033FA6">
      <w:pPr>
        <w:numPr>
          <w:ilvl w:val="0"/>
          <w:numId w:val="3"/>
        </w:numPr>
        <w:tabs>
          <w:tab w:val="left" w:pos="360"/>
        </w:tabs>
        <w:rPr>
          <w:rFonts w:ascii="Arial" w:hAnsi="Arial"/>
          <w:u w:val="single"/>
        </w:rPr>
      </w:pPr>
      <w:r>
        <w:rPr>
          <w:rFonts w:ascii="Arial" w:hAnsi="Arial"/>
          <w:u w:val="single"/>
        </w:rPr>
        <w:t>Examinations</w:t>
      </w:r>
    </w:p>
    <w:p w:rsidR="00033FA6" w:rsidRPr="00033FA6" w:rsidRDefault="00033FA6" w:rsidP="00033FA6">
      <w:pPr>
        <w:numPr>
          <w:ilvl w:val="1"/>
          <w:numId w:val="3"/>
        </w:numPr>
        <w:tabs>
          <w:tab w:val="left" w:pos="360"/>
        </w:tabs>
        <w:rPr>
          <w:rFonts w:ascii="Arial" w:hAnsi="Arial"/>
          <w:u w:val="single"/>
        </w:rPr>
      </w:pPr>
      <w:r>
        <w:rPr>
          <w:rFonts w:ascii="Arial" w:hAnsi="Arial"/>
        </w:rPr>
        <w:t>470 exams</w:t>
      </w:r>
    </w:p>
    <w:p w:rsidR="00033FA6" w:rsidRPr="00033FA6" w:rsidRDefault="00033FA6" w:rsidP="00033FA6">
      <w:pPr>
        <w:numPr>
          <w:ilvl w:val="1"/>
          <w:numId w:val="3"/>
        </w:numPr>
        <w:tabs>
          <w:tab w:val="left" w:pos="360"/>
        </w:tabs>
        <w:rPr>
          <w:rFonts w:ascii="Arial" w:hAnsi="Arial"/>
          <w:u w:val="single"/>
        </w:rPr>
      </w:pPr>
      <w:r>
        <w:rPr>
          <w:rFonts w:ascii="Arial" w:hAnsi="Arial"/>
        </w:rPr>
        <w:t>$22,330 refunds to consumers</w:t>
      </w:r>
    </w:p>
    <w:p w:rsidR="00033FA6" w:rsidRDefault="00033FA6" w:rsidP="00033FA6">
      <w:pPr>
        <w:tabs>
          <w:tab w:val="left" w:pos="360"/>
        </w:tabs>
        <w:rPr>
          <w:rFonts w:ascii="Arial" w:hAnsi="Arial"/>
        </w:rPr>
      </w:pPr>
    </w:p>
    <w:p w:rsidR="00033FA6" w:rsidRPr="00033FA6" w:rsidRDefault="00033FA6" w:rsidP="00033FA6">
      <w:pPr>
        <w:numPr>
          <w:ilvl w:val="0"/>
          <w:numId w:val="3"/>
        </w:numPr>
        <w:tabs>
          <w:tab w:val="left" w:pos="360"/>
        </w:tabs>
        <w:rPr>
          <w:rFonts w:ascii="Arial" w:hAnsi="Arial"/>
          <w:u w:val="single"/>
        </w:rPr>
      </w:pPr>
      <w:r>
        <w:rPr>
          <w:rFonts w:ascii="Arial" w:hAnsi="Arial"/>
          <w:u w:val="single"/>
        </w:rPr>
        <w:t>Complaints</w:t>
      </w:r>
    </w:p>
    <w:p w:rsidR="00033FA6" w:rsidRPr="00033FA6" w:rsidRDefault="00033FA6" w:rsidP="00033FA6">
      <w:pPr>
        <w:numPr>
          <w:ilvl w:val="1"/>
          <w:numId w:val="3"/>
        </w:numPr>
        <w:tabs>
          <w:tab w:val="left" w:pos="360"/>
        </w:tabs>
        <w:rPr>
          <w:rFonts w:ascii="Arial" w:hAnsi="Arial"/>
          <w:u w:val="single"/>
        </w:rPr>
      </w:pPr>
      <w:r>
        <w:rPr>
          <w:rFonts w:ascii="Arial" w:hAnsi="Arial"/>
        </w:rPr>
        <w:t>180 received</w:t>
      </w:r>
    </w:p>
    <w:p w:rsidR="00033FA6" w:rsidRPr="00033FA6" w:rsidRDefault="00033FA6" w:rsidP="00033FA6">
      <w:pPr>
        <w:numPr>
          <w:ilvl w:val="1"/>
          <w:numId w:val="3"/>
        </w:numPr>
        <w:tabs>
          <w:tab w:val="left" w:pos="360"/>
        </w:tabs>
        <w:rPr>
          <w:rFonts w:ascii="Arial" w:hAnsi="Arial"/>
          <w:u w:val="single"/>
        </w:rPr>
      </w:pPr>
      <w:r>
        <w:rPr>
          <w:rFonts w:ascii="Arial" w:hAnsi="Arial"/>
        </w:rPr>
        <w:t>182 resolved</w:t>
      </w:r>
    </w:p>
    <w:p w:rsidR="00033FA6" w:rsidRPr="00033FA6" w:rsidRDefault="00033FA6" w:rsidP="00033FA6">
      <w:pPr>
        <w:numPr>
          <w:ilvl w:val="1"/>
          <w:numId w:val="3"/>
        </w:numPr>
        <w:tabs>
          <w:tab w:val="left" w:pos="360"/>
        </w:tabs>
        <w:rPr>
          <w:rFonts w:ascii="Arial" w:hAnsi="Arial"/>
          <w:u w:val="single"/>
        </w:rPr>
      </w:pPr>
      <w:r>
        <w:rPr>
          <w:rFonts w:ascii="Arial" w:hAnsi="Arial"/>
        </w:rPr>
        <w:t>$1,548 refunds to consumers</w:t>
      </w:r>
    </w:p>
    <w:p w:rsidR="00033FA6" w:rsidRDefault="00033FA6" w:rsidP="00033FA6">
      <w:pPr>
        <w:tabs>
          <w:tab w:val="left" w:pos="360"/>
        </w:tabs>
        <w:rPr>
          <w:rFonts w:ascii="Arial" w:hAnsi="Arial"/>
        </w:rPr>
      </w:pPr>
    </w:p>
    <w:p w:rsidR="00033FA6" w:rsidRPr="00033FA6" w:rsidRDefault="00033FA6" w:rsidP="00033FA6">
      <w:pPr>
        <w:tabs>
          <w:tab w:val="left" w:pos="360"/>
        </w:tabs>
        <w:rPr>
          <w:rFonts w:ascii="Arial" w:hAnsi="Arial"/>
          <w:u w:val="single"/>
        </w:rPr>
      </w:pPr>
    </w:p>
    <w:p w:rsidR="00DE1036" w:rsidRDefault="00DE1036" w:rsidP="00033FA6">
      <w:pPr>
        <w:tabs>
          <w:tab w:val="left" w:pos="360"/>
        </w:tabs>
        <w:ind w:firstLine="720"/>
        <w:rPr>
          <w:rFonts w:ascii="Arial" w:hAnsi="Arial"/>
        </w:rPr>
        <w:sectPr w:rsidR="00DE1036" w:rsidSect="000C6068">
          <w:footerReference w:type="default" r:id="rId8"/>
          <w:pgSz w:w="12240" w:h="15840" w:code="1"/>
          <w:pgMar w:top="864" w:right="1080" w:bottom="1440" w:left="1080" w:header="720" w:footer="663" w:gutter="0"/>
          <w:pgNumType w:start="1"/>
          <w:cols w:space="720"/>
          <w:noEndnote/>
        </w:sectPr>
      </w:pPr>
    </w:p>
    <w:p w:rsidR="0062524A" w:rsidRDefault="00604BFB" w:rsidP="00604BFB">
      <w:pPr>
        <w:jc w:val="center"/>
        <w:rPr>
          <w:rFonts w:ascii="Arial Black" w:hAnsi="Arial Black"/>
          <w:sz w:val="36"/>
        </w:rPr>
      </w:pPr>
      <w:r>
        <w:rPr>
          <w:rFonts w:ascii="Arial Black" w:hAnsi="Arial Black"/>
          <w:sz w:val="36"/>
        </w:rPr>
        <w:lastRenderedPageBreak/>
        <w:t>AGENCY OVERVIEW</w:t>
      </w:r>
    </w:p>
    <w:p w:rsidR="0062524A" w:rsidRDefault="0062524A" w:rsidP="00604BFB">
      <w:pPr>
        <w:jc w:val="center"/>
        <w:rPr>
          <w:rFonts w:ascii="Arial Black" w:hAnsi="Arial Black"/>
          <w:sz w:val="36"/>
        </w:rPr>
      </w:pPr>
    </w:p>
    <w:p w:rsidR="0062524A" w:rsidRPr="0062524A" w:rsidRDefault="0062524A" w:rsidP="003C2E16">
      <w:pPr>
        <w:jc w:val="center"/>
        <w:rPr>
          <w:rFonts w:ascii="Arial Black" w:hAnsi="Arial Black"/>
          <w:sz w:val="28"/>
          <w:szCs w:val="28"/>
        </w:rPr>
      </w:pPr>
      <w:r w:rsidRPr="0062524A">
        <w:rPr>
          <w:rFonts w:ascii="Arial Black" w:hAnsi="Arial Black"/>
          <w:sz w:val="28"/>
          <w:szCs w:val="28"/>
        </w:rPr>
        <w:t>IDOB 2006 – 2011 Strategic Plan</w:t>
      </w:r>
    </w:p>
    <w:p w:rsidR="00604BFB" w:rsidRPr="003C2E16" w:rsidRDefault="0062524A" w:rsidP="003C2E16">
      <w:pPr>
        <w:jc w:val="center"/>
        <w:rPr>
          <w:rFonts w:ascii="Arial Black" w:hAnsi="Arial Black"/>
          <w:sz w:val="28"/>
          <w:szCs w:val="28"/>
        </w:rPr>
      </w:pPr>
      <w:r w:rsidRPr="0062524A">
        <w:rPr>
          <w:rFonts w:ascii="Arial Black" w:hAnsi="Arial Black"/>
          <w:sz w:val="28"/>
          <w:szCs w:val="28"/>
        </w:rPr>
        <w:t>Planning Process</w:t>
      </w:r>
    </w:p>
    <w:p w:rsidR="00604BFB" w:rsidRPr="00604BFB" w:rsidRDefault="00604BFB" w:rsidP="00604BFB">
      <w:pPr>
        <w:rPr>
          <w:rFonts w:ascii="Arial" w:hAnsi="Arial" w:cs="Arial"/>
        </w:rPr>
      </w:pPr>
    </w:p>
    <w:p w:rsidR="00A930CD" w:rsidRPr="00A930CD" w:rsidRDefault="00A930CD" w:rsidP="00A930CD">
      <w:pPr>
        <w:pStyle w:val="PlainText"/>
        <w:rPr>
          <w:rFonts w:ascii="Arial" w:hAnsi="Arial" w:cs="Arial"/>
          <w:b/>
          <w:sz w:val="24"/>
          <w:szCs w:val="24"/>
          <w:u w:val="single"/>
        </w:rPr>
      </w:pPr>
      <w:r w:rsidRPr="00A930CD">
        <w:rPr>
          <w:rFonts w:ascii="Arial" w:hAnsi="Arial" w:cs="Arial"/>
          <w:b/>
          <w:sz w:val="24"/>
          <w:szCs w:val="24"/>
          <w:u w:val="single"/>
        </w:rPr>
        <w:t>Integrated Planning Process</w:t>
      </w:r>
    </w:p>
    <w:p w:rsidR="00A930CD" w:rsidRPr="00A930CD" w:rsidRDefault="00A930CD" w:rsidP="00A930CD">
      <w:pPr>
        <w:tabs>
          <w:tab w:val="left" w:pos="540"/>
        </w:tabs>
        <w:jc w:val="both"/>
        <w:rPr>
          <w:rFonts w:ascii="Arial" w:hAnsi="Arial" w:cs="Arial"/>
        </w:rPr>
      </w:pPr>
      <w:r w:rsidRPr="00A930CD">
        <w:rPr>
          <w:rFonts w:ascii="Arial" w:hAnsi="Arial" w:cs="Arial"/>
        </w:rPr>
        <w:t>The IDOB uses an integrated planning process.  The Division prepares an annual performance plan and a five year strategic plan.  Guidance and direction are provided by the Senior Management team.  The State Banking Council, Bank Analysts, Regional Managers, and Senior Examiners provide planning input.  Part of the preparation of the annual performance plan is reviewing and updating the strategic plan.  Action steps developed from the strategic plan are incorporated into the annual performance plan.  Among the items considered in the strategic planning process are economic conditions, industry health, technology needs, human resources, and financial constraints.</w:t>
      </w:r>
    </w:p>
    <w:p w:rsidR="00A930CD" w:rsidRPr="00A930CD" w:rsidRDefault="00A930CD" w:rsidP="00A930CD">
      <w:pPr>
        <w:pStyle w:val="PlainText"/>
        <w:jc w:val="both"/>
        <w:rPr>
          <w:rFonts w:ascii="Arial" w:hAnsi="Arial" w:cs="Arial"/>
          <w:sz w:val="24"/>
          <w:szCs w:val="24"/>
        </w:rPr>
      </w:pPr>
    </w:p>
    <w:p w:rsidR="00A930CD" w:rsidRPr="00A930CD" w:rsidRDefault="00A930CD" w:rsidP="00A930CD">
      <w:pPr>
        <w:pStyle w:val="PlainText"/>
        <w:jc w:val="both"/>
        <w:rPr>
          <w:rFonts w:ascii="Arial" w:hAnsi="Arial" w:cs="Arial"/>
          <w:b/>
          <w:sz w:val="24"/>
          <w:szCs w:val="24"/>
          <w:u w:val="single"/>
        </w:rPr>
      </w:pPr>
      <w:r w:rsidRPr="00A930CD">
        <w:rPr>
          <w:rFonts w:ascii="Arial" w:hAnsi="Arial" w:cs="Arial"/>
          <w:b/>
          <w:sz w:val="24"/>
          <w:szCs w:val="24"/>
          <w:u w:val="single"/>
        </w:rPr>
        <w:t>Influencing Factors</w:t>
      </w:r>
    </w:p>
    <w:p w:rsidR="00A930CD" w:rsidRPr="00A930CD" w:rsidRDefault="00A930CD" w:rsidP="00A930CD">
      <w:pPr>
        <w:tabs>
          <w:tab w:val="left" w:pos="360"/>
          <w:tab w:val="left" w:pos="540"/>
        </w:tabs>
        <w:jc w:val="both"/>
        <w:rPr>
          <w:rFonts w:ascii="Arial" w:hAnsi="Arial" w:cs="Arial"/>
        </w:rPr>
      </w:pPr>
      <w:r w:rsidRPr="00A930CD">
        <w:rPr>
          <w:rFonts w:ascii="Arial" w:hAnsi="Arial" w:cs="Arial"/>
        </w:rPr>
        <w:t>Factors influencing the IDOB’s plans are changes in the financial institution industry and prior period performance. As described below, the IDOB also solicits input from its external customers in developing its Strategic Plan.  Reviews of economic conditions and prior period performance provide information on customer and market needs and expectations.  Input from banks which have recently been examined along with</w:t>
      </w:r>
      <w:r w:rsidRPr="00A930CD">
        <w:rPr>
          <w:rFonts w:ascii="Arial" w:hAnsi="Arial" w:cs="Arial"/>
          <w:b/>
        </w:rPr>
        <w:t xml:space="preserve"> </w:t>
      </w:r>
      <w:r w:rsidRPr="00A930CD">
        <w:rPr>
          <w:rFonts w:ascii="Arial" w:hAnsi="Arial" w:cs="Arial"/>
        </w:rPr>
        <w:t>outreach visits by the IDOB’s Regional Managers generate data relating to the Division’s strengths and weaknesses, risks, economic changes, and the competitive environment.  Communication with the Board of Governors of the Federal Reserve System (FRB), Federal Deposit Insurance Corporation (FDIC), and the Conference of State Bank Supervisors (CSBS) provide information regarding technological changes as well as global and national economic trends.  At the conclusion of each bank examination, the Examiner-in-Charge reports on the adequacy of human resources assigned to the exam.</w:t>
      </w:r>
    </w:p>
    <w:p w:rsidR="00A930CD" w:rsidRPr="00A930CD" w:rsidRDefault="00A930CD" w:rsidP="00A930CD">
      <w:pPr>
        <w:pStyle w:val="PlainText"/>
        <w:jc w:val="both"/>
        <w:rPr>
          <w:rFonts w:ascii="Arial" w:hAnsi="Arial" w:cs="Arial"/>
          <w:b/>
          <w:sz w:val="24"/>
          <w:szCs w:val="24"/>
          <w:u w:val="single"/>
        </w:rPr>
      </w:pPr>
    </w:p>
    <w:p w:rsidR="00A930CD" w:rsidRPr="00A930CD" w:rsidRDefault="00A930CD" w:rsidP="00A930CD">
      <w:pPr>
        <w:pStyle w:val="PlainText"/>
        <w:jc w:val="both"/>
        <w:rPr>
          <w:rFonts w:ascii="Arial" w:hAnsi="Arial" w:cs="Arial"/>
          <w:b/>
          <w:sz w:val="24"/>
          <w:szCs w:val="24"/>
          <w:u w:val="single"/>
        </w:rPr>
      </w:pPr>
      <w:r w:rsidRPr="00A930CD">
        <w:rPr>
          <w:rFonts w:ascii="Arial" w:hAnsi="Arial" w:cs="Arial"/>
          <w:b/>
          <w:sz w:val="24"/>
          <w:szCs w:val="24"/>
          <w:u w:val="single"/>
        </w:rPr>
        <w:t>Communication of Goals &amp; Objectives</w:t>
      </w:r>
    </w:p>
    <w:p w:rsidR="00A930CD" w:rsidRPr="00A930CD" w:rsidRDefault="00A930CD" w:rsidP="00A930CD">
      <w:pPr>
        <w:pStyle w:val="PlainText"/>
        <w:jc w:val="both"/>
        <w:rPr>
          <w:rFonts w:ascii="Arial" w:hAnsi="Arial" w:cs="Arial"/>
          <w:sz w:val="24"/>
          <w:szCs w:val="24"/>
        </w:rPr>
      </w:pPr>
      <w:r w:rsidRPr="00A930CD">
        <w:rPr>
          <w:rFonts w:ascii="Arial" w:hAnsi="Arial" w:cs="Arial"/>
          <w:sz w:val="24"/>
          <w:szCs w:val="24"/>
        </w:rPr>
        <w:t>The IDOB communicates its strategic goals to its employees through internal communications such as emails and staff meetings.  The strategic goals are communicated to both employees and the public through the IDOB’s website.</w:t>
      </w:r>
    </w:p>
    <w:p w:rsidR="00A930CD" w:rsidRPr="00A930CD" w:rsidRDefault="00A930CD" w:rsidP="00A930CD">
      <w:pPr>
        <w:pStyle w:val="PlainText"/>
        <w:jc w:val="both"/>
        <w:rPr>
          <w:rFonts w:ascii="Arial" w:hAnsi="Arial" w:cs="Arial"/>
          <w:sz w:val="24"/>
          <w:szCs w:val="24"/>
        </w:rPr>
      </w:pPr>
    </w:p>
    <w:p w:rsidR="00A930CD" w:rsidRPr="00A930CD" w:rsidRDefault="00A930CD" w:rsidP="00A930CD">
      <w:pPr>
        <w:pStyle w:val="PlainText"/>
        <w:jc w:val="both"/>
        <w:rPr>
          <w:rFonts w:ascii="Arial" w:hAnsi="Arial" w:cs="Arial"/>
          <w:b/>
          <w:sz w:val="24"/>
          <w:szCs w:val="24"/>
          <w:u w:val="single"/>
        </w:rPr>
      </w:pPr>
      <w:r w:rsidRPr="00A930CD">
        <w:rPr>
          <w:rFonts w:ascii="Arial" w:hAnsi="Arial" w:cs="Arial"/>
          <w:b/>
          <w:sz w:val="24"/>
          <w:szCs w:val="24"/>
          <w:u w:val="single"/>
        </w:rPr>
        <w:t>Fiscal Management</w:t>
      </w:r>
    </w:p>
    <w:p w:rsidR="00A930CD" w:rsidRPr="00A930CD" w:rsidRDefault="00A930CD" w:rsidP="00A930CD">
      <w:pPr>
        <w:pStyle w:val="PlainText"/>
        <w:jc w:val="both"/>
        <w:rPr>
          <w:rFonts w:ascii="Arial" w:hAnsi="Arial" w:cs="Arial"/>
          <w:sz w:val="24"/>
          <w:szCs w:val="24"/>
        </w:rPr>
      </w:pPr>
      <w:r w:rsidRPr="00A930CD">
        <w:rPr>
          <w:rFonts w:ascii="Arial" w:hAnsi="Arial" w:cs="Arial"/>
          <w:sz w:val="24"/>
          <w:szCs w:val="24"/>
        </w:rPr>
        <w:t>In fiscal year 2006, the IDOB will spend $7.1 million and employ approximately 71 individuals. The IDOB will adjust its budget annually to take inflation and workload into consideration. The IDOB, which undertook a complete restructuring in 2000, continues to refine its processes to become more efficient, proactive, an</w:t>
      </w:r>
      <w:r w:rsidR="00C05DB2">
        <w:rPr>
          <w:rFonts w:ascii="Arial" w:hAnsi="Arial" w:cs="Arial"/>
          <w:sz w:val="24"/>
          <w:szCs w:val="24"/>
        </w:rPr>
        <w:t>d effective in its operations.</w:t>
      </w:r>
    </w:p>
    <w:p w:rsidR="00A930CD" w:rsidRPr="00A930CD" w:rsidRDefault="00A930CD" w:rsidP="00A930CD">
      <w:pPr>
        <w:pStyle w:val="PlainText"/>
        <w:jc w:val="both"/>
        <w:rPr>
          <w:rFonts w:ascii="Arial" w:hAnsi="Arial" w:cs="Arial"/>
          <w:sz w:val="24"/>
          <w:szCs w:val="24"/>
        </w:rPr>
      </w:pPr>
    </w:p>
    <w:p w:rsidR="00A930CD" w:rsidRPr="00A930CD" w:rsidRDefault="00A930CD" w:rsidP="00A930CD">
      <w:pPr>
        <w:pStyle w:val="PlainText"/>
        <w:jc w:val="both"/>
        <w:rPr>
          <w:rFonts w:ascii="Arial" w:hAnsi="Arial" w:cs="Arial"/>
          <w:sz w:val="24"/>
          <w:szCs w:val="24"/>
        </w:rPr>
      </w:pPr>
      <w:r w:rsidRPr="00A930CD">
        <w:rPr>
          <w:rFonts w:ascii="Arial" w:hAnsi="Arial" w:cs="Arial"/>
          <w:sz w:val="24"/>
          <w:szCs w:val="24"/>
        </w:rPr>
        <w:t xml:space="preserve">Throughout each year, progress reports are prepared for management and staff’s review and action. Each year, an annual performance report will be posted on the IDOB’s Web site, </w:t>
      </w:r>
      <w:hyperlink r:id="rId9" w:history="1">
        <w:r w:rsidRPr="00A930CD">
          <w:rPr>
            <w:rStyle w:val="Hyperlink"/>
            <w:rFonts w:ascii="Arial" w:hAnsi="Arial" w:cs="Arial"/>
            <w:color w:val="auto"/>
            <w:sz w:val="24"/>
            <w:szCs w:val="24"/>
          </w:rPr>
          <w:t>http://www.idob.state.ia.us</w:t>
        </w:r>
      </w:hyperlink>
      <w:r w:rsidRPr="00A930CD">
        <w:rPr>
          <w:rFonts w:ascii="Arial" w:hAnsi="Arial" w:cs="Arial"/>
          <w:sz w:val="24"/>
          <w:szCs w:val="24"/>
        </w:rPr>
        <w:t>.</w:t>
      </w:r>
    </w:p>
    <w:p w:rsidR="00A930CD" w:rsidRDefault="00A930CD" w:rsidP="00A930CD">
      <w:pPr>
        <w:pStyle w:val="PlainText"/>
        <w:jc w:val="both"/>
        <w:rPr>
          <w:rFonts w:ascii="Arial" w:hAnsi="Arial" w:cs="Arial"/>
          <w:sz w:val="24"/>
          <w:szCs w:val="24"/>
        </w:rPr>
      </w:pPr>
    </w:p>
    <w:p w:rsidR="0062524A" w:rsidRPr="00A930CD" w:rsidRDefault="0062524A" w:rsidP="00A63930">
      <w:pPr>
        <w:pStyle w:val="PlainText"/>
        <w:keepNext/>
        <w:jc w:val="both"/>
        <w:rPr>
          <w:rFonts w:ascii="Arial" w:hAnsi="Arial" w:cs="Arial"/>
          <w:b/>
          <w:sz w:val="24"/>
          <w:szCs w:val="24"/>
          <w:u w:val="single"/>
        </w:rPr>
      </w:pPr>
      <w:r>
        <w:rPr>
          <w:rFonts w:ascii="Arial" w:hAnsi="Arial" w:cs="Arial"/>
          <w:b/>
          <w:sz w:val="24"/>
          <w:szCs w:val="24"/>
          <w:u w:val="single"/>
        </w:rPr>
        <w:lastRenderedPageBreak/>
        <w:t>Introduction</w:t>
      </w:r>
    </w:p>
    <w:p w:rsidR="00A930CD" w:rsidRPr="00A930CD" w:rsidRDefault="00A930CD" w:rsidP="00A63930">
      <w:pPr>
        <w:pStyle w:val="DefaultParagraphFont"/>
        <w:keepNext/>
        <w:jc w:val="both"/>
        <w:rPr>
          <w:rFonts w:ascii="Arial" w:hAnsi="Arial" w:cs="Arial"/>
        </w:rPr>
      </w:pPr>
      <w:r w:rsidRPr="00A930CD">
        <w:rPr>
          <w:rFonts w:ascii="Arial" w:hAnsi="Arial" w:cs="Arial"/>
        </w:rPr>
        <w:t xml:space="preserve">The IDOB was created in 1917 to ensure the stability and public confidence in the banks organized under a state charter.   Today the IDOB consists of two functional areas, the Bank </w:t>
      </w:r>
      <w:r w:rsidR="00C05DB2">
        <w:rPr>
          <w:rFonts w:ascii="Arial" w:hAnsi="Arial" w:cs="Arial"/>
        </w:rPr>
        <w:t>Bureau and the Finance Bureau.</w:t>
      </w:r>
    </w:p>
    <w:p w:rsidR="00A930CD" w:rsidRPr="00A930CD" w:rsidRDefault="00A930CD" w:rsidP="00C05DB2">
      <w:pPr>
        <w:pStyle w:val="DefaultParagraphFont"/>
        <w:jc w:val="both"/>
        <w:rPr>
          <w:rFonts w:ascii="Arial" w:hAnsi="Arial" w:cs="Arial"/>
        </w:rPr>
      </w:pPr>
    </w:p>
    <w:p w:rsidR="00A930CD" w:rsidRPr="00A930CD" w:rsidRDefault="00A930CD" w:rsidP="00C05DB2">
      <w:pPr>
        <w:pStyle w:val="DefaultParagraphFont"/>
        <w:jc w:val="both"/>
        <w:rPr>
          <w:rFonts w:ascii="Arial" w:hAnsi="Arial" w:cs="Arial"/>
        </w:rPr>
      </w:pPr>
      <w:r w:rsidRPr="00A930CD">
        <w:rPr>
          <w:rFonts w:ascii="Arial" w:hAnsi="Arial" w:cs="Arial"/>
        </w:rPr>
        <w:t xml:space="preserve">The primary responsibility of the Bank Bureau is the regulation of state chartered banks and their affiliates.  As of </w:t>
      </w:r>
      <w:smartTag w:uri="urn:schemas-microsoft-com:office:smarttags" w:element="date">
        <w:smartTagPr>
          <w:attr w:name="Year" w:val="2005"/>
          <w:attr w:name="Day" w:val="30"/>
          <w:attr w:name="Month" w:val="6"/>
        </w:smartTagPr>
        <w:r w:rsidRPr="00A930CD">
          <w:rPr>
            <w:rFonts w:ascii="Arial" w:hAnsi="Arial" w:cs="Arial"/>
          </w:rPr>
          <w:t>June 30, 2005</w:t>
        </w:r>
      </w:smartTag>
      <w:r w:rsidRPr="00A930CD">
        <w:rPr>
          <w:rFonts w:ascii="Arial" w:hAnsi="Arial" w:cs="Arial"/>
        </w:rPr>
        <w:t xml:space="preserve">, the Bank Bureau regulated 349 state-chartered banks with combined assets of $36,775,170,000, 280 bank holding companies, and one trust company.  While the IDOB is the primary regulator for </w:t>
      </w:r>
      <w:smartTag w:uri="urn:schemas-microsoft-com:office:smarttags" w:element="place">
        <w:smartTag w:uri="urn:schemas-microsoft-com:office:smarttags" w:element="State">
          <w:r w:rsidRPr="00A930CD">
            <w:rPr>
              <w:rFonts w:ascii="Arial" w:hAnsi="Arial" w:cs="Arial"/>
            </w:rPr>
            <w:t>Iowa</w:t>
          </w:r>
        </w:smartTag>
      </w:smartTag>
      <w:r w:rsidRPr="00A930CD">
        <w:rPr>
          <w:rFonts w:ascii="Arial" w:hAnsi="Arial" w:cs="Arial"/>
        </w:rPr>
        <w:t xml:space="preserve"> state-chartered banks, supervisory and regulatory responsibility for these banks is sh</w:t>
      </w:r>
      <w:r w:rsidR="00C05DB2">
        <w:rPr>
          <w:rFonts w:ascii="Arial" w:hAnsi="Arial" w:cs="Arial"/>
        </w:rPr>
        <w:t>ared with the FRB and the FDIC.</w:t>
      </w:r>
    </w:p>
    <w:p w:rsidR="00A930CD" w:rsidRPr="00A930CD" w:rsidRDefault="00A930CD" w:rsidP="00C05DB2">
      <w:pPr>
        <w:pStyle w:val="DefaultParagraphFont"/>
        <w:jc w:val="both"/>
        <w:rPr>
          <w:rFonts w:ascii="Arial" w:hAnsi="Arial" w:cs="Arial"/>
        </w:rPr>
      </w:pPr>
    </w:p>
    <w:p w:rsidR="00A930CD" w:rsidRPr="00A930CD" w:rsidRDefault="00A930CD" w:rsidP="00C05DB2">
      <w:pPr>
        <w:pStyle w:val="DefaultParagraphFont"/>
        <w:jc w:val="both"/>
        <w:rPr>
          <w:rFonts w:ascii="Arial" w:hAnsi="Arial" w:cs="Arial"/>
        </w:rPr>
      </w:pPr>
      <w:r w:rsidRPr="00A930CD">
        <w:rPr>
          <w:rFonts w:ascii="Arial" w:hAnsi="Arial" w:cs="Arial"/>
        </w:rPr>
        <w:t>The Finance Bureau regulates nearly 1,000 financial service providers that hold the following licenses:  762 mortgage bankers/brokers, 616 loan companies, 213 delayed deposit services, 34 money services, and 25 debt management companies.</w:t>
      </w:r>
    </w:p>
    <w:p w:rsidR="00A930CD" w:rsidRPr="00A930CD" w:rsidRDefault="00A930CD" w:rsidP="00C05DB2">
      <w:pPr>
        <w:pStyle w:val="DefaultParagraphFont"/>
        <w:jc w:val="both"/>
        <w:rPr>
          <w:rFonts w:ascii="Arial" w:hAnsi="Arial" w:cs="Arial"/>
        </w:rPr>
      </w:pPr>
    </w:p>
    <w:p w:rsidR="00A930CD" w:rsidRDefault="00A930CD" w:rsidP="00C05DB2">
      <w:pPr>
        <w:jc w:val="both"/>
        <w:rPr>
          <w:rFonts w:ascii="Arial" w:hAnsi="Arial" w:cs="Arial"/>
        </w:rPr>
      </w:pPr>
      <w:r w:rsidRPr="00A930CD">
        <w:rPr>
          <w:rFonts w:ascii="Arial" w:hAnsi="Arial" w:cs="Arial"/>
        </w:rPr>
        <w:t>The IDOB performs safety and soundness, trust, bank secrecy act, and information system examinations of IDOB-supervised institutions. The IDOB participates in an examination program under which examinations are performed on an alternating basis with the FDIC and the FRB. The examinations are conducted to assess an institution’s overall financial condition, management practices and policies, and compliance with applicable laws and regulations. Through the examination process, the IDOB also assesses the adequacy of management and internal control systems to identify and control risks. The IDOB regularly reviews examination methodologies and adjusts them as</w:t>
      </w:r>
      <w:r w:rsidR="00C05DB2">
        <w:rPr>
          <w:rFonts w:ascii="Arial" w:hAnsi="Arial" w:cs="Arial"/>
        </w:rPr>
        <w:t xml:space="preserve"> necessary to remain effective.</w:t>
      </w:r>
    </w:p>
    <w:p w:rsidR="00C05DB2" w:rsidRPr="00A930CD" w:rsidRDefault="00C05DB2" w:rsidP="00C05DB2">
      <w:pPr>
        <w:jc w:val="both"/>
        <w:rPr>
          <w:rFonts w:ascii="Arial" w:hAnsi="Arial" w:cs="Arial"/>
        </w:rPr>
      </w:pPr>
    </w:p>
    <w:p w:rsidR="00A930CD" w:rsidRDefault="00A930CD" w:rsidP="00C05DB2">
      <w:pPr>
        <w:jc w:val="both"/>
        <w:rPr>
          <w:rFonts w:ascii="Arial" w:hAnsi="Arial" w:cs="Arial"/>
        </w:rPr>
      </w:pPr>
      <w:r w:rsidRPr="00A930CD">
        <w:rPr>
          <w:rFonts w:ascii="Arial" w:hAnsi="Arial" w:cs="Arial"/>
        </w:rPr>
        <w:t xml:space="preserve">If the examination process reveals weaknesses in </w:t>
      </w:r>
      <w:r w:rsidR="0004630E">
        <w:rPr>
          <w:rFonts w:ascii="Arial" w:hAnsi="Arial" w:cs="Arial"/>
        </w:rPr>
        <w:t>an IDOB-supervised institutions’</w:t>
      </w:r>
      <w:r w:rsidRPr="00A930CD">
        <w:rPr>
          <w:rFonts w:ascii="Arial" w:hAnsi="Arial" w:cs="Arial"/>
        </w:rPr>
        <w:t xml:space="preserve"> operations or conditions, the IDOB takes appropriate action. Informal or formal enforcement actions may be issued for IDOB-supervised institutions with significant weaknesses or operating in a deteriorated financial condition. The actions remain in effect until the weakness is corrected. If the problems remain unresolved, the IDOB may take further steps to encourage or compel institutions to comply with the actions. If these efforts are unsuccessful or if other weaknesses are evident, the institution would be instructed to seek additional capital or merger. If problems remain unresolved, the IDOB, as the chartering authority, may close the institution.  The IDOB would then likely appoint the FDIC as receiver</w:t>
      </w:r>
      <w:r w:rsidR="0004630E">
        <w:rPr>
          <w:rFonts w:ascii="Arial" w:hAnsi="Arial" w:cs="Arial"/>
        </w:rPr>
        <w:t>,</w:t>
      </w:r>
      <w:r w:rsidRPr="00A930CD">
        <w:rPr>
          <w:rFonts w:ascii="Arial" w:hAnsi="Arial" w:cs="Arial"/>
        </w:rPr>
        <w:t xml:space="preserve"> with this agency overseeing the resolution of the institution.</w:t>
      </w:r>
    </w:p>
    <w:p w:rsidR="00C05DB2" w:rsidRPr="00A930CD" w:rsidRDefault="00C05DB2" w:rsidP="00C05DB2">
      <w:pPr>
        <w:jc w:val="both"/>
        <w:rPr>
          <w:rFonts w:ascii="Arial" w:hAnsi="Arial" w:cs="Arial"/>
        </w:rPr>
      </w:pPr>
    </w:p>
    <w:p w:rsidR="00A930CD" w:rsidRDefault="00A930CD" w:rsidP="00C05DB2">
      <w:pPr>
        <w:jc w:val="both"/>
        <w:rPr>
          <w:rFonts w:ascii="Arial" w:hAnsi="Arial" w:cs="Arial"/>
        </w:rPr>
      </w:pPr>
      <w:r w:rsidRPr="00A930CD">
        <w:rPr>
          <w:rFonts w:ascii="Arial" w:hAnsi="Arial" w:cs="Arial"/>
        </w:rPr>
        <w:t>Informal enforcement actions require the institution’s acknowledgement and commitment to correct the problem. Informal actions include board resolutions or memoranda of understanding. Formal enforcement actions are taken when an informal action is ineffective or inappropriate. Formal enforcement actions include written agreements, cease and desist orders, civil money penalties, and officer and director suspension or removal.</w:t>
      </w:r>
    </w:p>
    <w:p w:rsidR="00C05DB2" w:rsidRPr="00A930CD" w:rsidRDefault="00C05DB2" w:rsidP="00C05DB2">
      <w:pPr>
        <w:jc w:val="both"/>
        <w:rPr>
          <w:rFonts w:ascii="Arial" w:hAnsi="Arial" w:cs="Arial"/>
        </w:rPr>
      </w:pPr>
    </w:p>
    <w:p w:rsidR="00A930CD" w:rsidRDefault="00A930CD" w:rsidP="00C05DB2">
      <w:pPr>
        <w:jc w:val="both"/>
        <w:rPr>
          <w:rFonts w:ascii="Arial" w:hAnsi="Arial" w:cs="Arial"/>
        </w:rPr>
      </w:pPr>
      <w:r w:rsidRPr="00A930CD">
        <w:rPr>
          <w:rFonts w:ascii="Arial" w:hAnsi="Arial" w:cs="Arial"/>
        </w:rPr>
        <w:t>Communication is an important component of the IDOB’s safety and soundness program. Risks identified during an examination are discussed with the institution’s management and its board of directors. In addition to examinations, the IDOB provides information on issues affecting the industry throu</w:t>
      </w:r>
      <w:r w:rsidR="00C05DB2">
        <w:rPr>
          <w:rFonts w:ascii="Arial" w:hAnsi="Arial" w:cs="Arial"/>
        </w:rPr>
        <w:t>gh letters, emails, and forums.</w:t>
      </w:r>
    </w:p>
    <w:p w:rsidR="00C05DB2" w:rsidRPr="00A930CD" w:rsidRDefault="008773B8" w:rsidP="00C05DB2">
      <w:pPr>
        <w:jc w:val="both"/>
        <w:rPr>
          <w:rFonts w:ascii="Arial" w:hAnsi="Arial" w:cs="Arial"/>
        </w:rPr>
      </w:pPr>
      <w:r>
        <w:rPr>
          <w:rFonts w:ascii="Arial" w:hAnsi="Arial" w:cs="Arial"/>
        </w:rPr>
        <w:br w:type="page"/>
      </w:r>
    </w:p>
    <w:p w:rsidR="00A930CD" w:rsidRDefault="00A930CD" w:rsidP="00C05DB2">
      <w:pPr>
        <w:jc w:val="both"/>
        <w:rPr>
          <w:rFonts w:ascii="Arial" w:hAnsi="Arial" w:cs="Arial"/>
        </w:rPr>
      </w:pPr>
      <w:r w:rsidRPr="00A930CD">
        <w:rPr>
          <w:rFonts w:ascii="Arial" w:hAnsi="Arial" w:cs="Arial"/>
        </w:rPr>
        <w:t>The IDOB also evaluates an IDOB-supervised institution’s ability to manage risk when reviewing applications or notices for new or expanded activities. In order for the IDOB to expedite the review of an institution's application or notice, it must be well-capitalized, possess a qualified management team, be capable of operating in a safe and sound manner, and be compliant with applicable laws and regulations.</w:t>
      </w:r>
    </w:p>
    <w:p w:rsidR="00C05DB2" w:rsidRPr="00A930CD" w:rsidRDefault="00C05DB2" w:rsidP="00C05DB2">
      <w:pPr>
        <w:jc w:val="both"/>
        <w:rPr>
          <w:rFonts w:ascii="Arial" w:hAnsi="Arial" w:cs="Arial"/>
          <w:i/>
          <w:iCs/>
        </w:rPr>
      </w:pPr>
    </w:p>
    <w:p w:rsidR="00A930CD" w:rsidRDefault="00A930CD" w:rsidP="00C05DB2">
      <w:pPr>
        <w:jc w:val="both"/>
        <w:rPr>
          <w:rFonts w:ascii="Arial" w:hAnsi="Arial" w:cs="Arial"/>
        </w:rPr>
      </w:pPr>
      <w:r w:rsidRPr="00A930CD">
        <w:rPr>
          <w:rFonts w:ascii="Arial" w:hAnsi="Arial" w:cs="Arial"/>
        </w:rPr>
        <w:t>The development and implementation of effective risk-management policies and practices are the responsibility of individual financial institutions. As institutions enter new lines of business and activities, implement new technologies, or face changing economic conditions, risk-management policies and oversight</w:t>
      </w:r>
      <w:r w:rsidR="00C05DB2">
        <w:rPr>
          <w:rFonts w:ascii="Arial" w:hAnsi="Arial" w:cs="Arial"/>
        </w:rPr>
        <w:t xml:space="preserve"> become increasingly important.</w:t>
      </w:r>
    </w:p>
    <w:p w:rsidR="00C05DB2" w:rsidRPr="00A930CD" w:rsidRDefault="00C05DB2" w:rsidP="00C05DB2">
      <w:pPr>
        <w:jc w:val="both"/>
        <w:rPr>
          <w:rFonts w:ascii="Arial" w:hAnsi="Arial" w:cs="Arial"/>
        </w:rPr>
      </w:pPr>
    </w:p>
    <w:p w:rsidR="00A930CD" w:rsidRDefault="00A930CD" w:rsidP="00C05DB2">
      <w:pPr>
        <w:jc w:val="both"/>
        <w:rPr>
          <w:rFonts w:ascii="Arial" w:hAnsi="Arial" w:cs="Arial"/>
        </w:rPr>
      </w:pPr>
      <w:r w:rsidRPr="00A930CD">
        <w:rPr>
          <w:rFonts w:ascii="Arial" w:hAnsi="Arial" w:cs="Arial"/>
        </w:rPr>
        <w:t>Procedures normally performed in completing examinations may disclose the presence of fraud or insider abuse, although fraud detection is not a primary purpose of the examination program.  The IDOB prepares its examination staff to recognize indicators of fraudulent activity, but fraud is often difficult to detect and losses may occur before the fraudulent activity is detected.</w:t>
      </w:r>
    </w:p>
    <w:p w:rsidR="00C05DB2" w:rsidRPr="00A930CD" w:rsidRDefault="00C05DB2" w:rsidP="00C05DB2">
      <w:pPr>
        <w:jc w:val="both"/>
        <w:rPr>
          <w:rFonts w:ascii="Arial" w:hAnsi="Arial" w:cs="Arial"/>
        </w:rPr>
      </w:pPr>
    </w:p>
    <w:p w:rsidR="00A930CD" w:rsidRDefault="00A930CD" w:rsidP="00C05DB2">
      <w:pPr>
        <w:jc w:val="both"/>
        <w:rPr>
          <w:rFonts w:ascii="Arial" w:hAnsi="Arial" w:cs="Arial"/>
        </w:rPr>
      </w:pPr>
      <w:r w:rsidRPr="00A930CD">
        <w:rPr>
          <w:rFonts w:ascii="Arial" w:hAnsi="Arial" w:cs="Arial"/>
        </w:rPr>
        <w:t xml:space="preserve">The close working relationship the IDOB has with the two federal financial institution regulators – FRB and the FDIC – enables the regulators to address issues and programs that transcend the jurisdiction of each agency. In many areas, the IDOB works closely with federal regulators to address risk areas.  The IDOB also works to coordinate safety and soundness examination schedules with both the FRB </w:t>
      </w:r>
      <w:r w:rsidR="0062524A">
        <w:rPr>
          <w:rFonts w:ascii="Arial" w:hAnsi="Arial" w:cs="Arial"/>
        </w:rPr>
        <w:t>a</w:t>
      </w:r>
      <w:r w:rsidRPr="00A930CD">
        <w:rPr>
          <w:rFonts w:ascii="Arial" w:hAnsi="Arial" w:cs="Arial"/>
        </w:rPr>
        <w:t>nd FDIC.</w:t>
      </w:r>
    </w:p>
    <w:p w:rsidR="00C05DB2" w:rsidRPr="00A930CD" w:rsidRDefault="00C05DB2" w:rsidP="00C05DB2">
      <w:pPr>
        <w:jc w:val="both"/>
        <w:rPr>
          <w:rFonts w:ascii="Arial" w:hAnsi="Arial" w:cs="Arial"/>
        </w:rPr>
      </w:pPr>
    </w:p>
    <w:p w:rsidR="00604BFB" w:rsidRPr="00A930CD" w:rsidRDefault="00A930CD" w:rsidP="00C05DB2">
      <w:pPr>
        <w:jc w:val="both"/>
        <w:rPr>
          <w:rFonts w:ascii="Arial" w:hAnsi="Arial" w:cs="Arial"/>
        </w:rPr>
      </w:pPr>
      <w:r w:rsidRPr="00A930CD">
        <w:rPr>
          <w:rFonts w:ascii="Arial" w:hAnsi="Arial" w:cs="Arial"/>
        </w:rPr>
        <w:t>The IDOB also works closely with the Conference of State Bank Supervisors (CSBS), which represents the state regulatory authorities.</w:t>
      </w:r>
    </w:p>
    <w:p w:rsidR="00A930CD" w:rsidRPr="00A930CD" w:rsidRDefault="00A930CD" w:rsidP="00C05DB2">
      <w:pPr>
        <w:jc w:val="both"/>
        <w:rPr>
          <w:rFonts w:ascii="Arial" w:hAnsi="Arial" w:cs="Arial"/>
        </w:rPr>
      </w:pPr>
    </w:p>
    <w:p w:rsidR="0062524A" w:rsidRPr="00A930CD" w:rsidRDefault="0062524A" w:rsidP="0062524A">
      <w:pPr>
        <w:pStyle w:val="PlainText"/>
        <w:jc w:val="both"/>
        <w:rPr>
          <w:rFonts w:ascii="Arial" w:hAnsi="Arial" w:cs="Arial"/>
          <w:b/>
          <w:sz w:val="24"/>
          <w:szCs w:val="24"/>
          <w:u w:val="single"/>
        </w:rPr>
      </w:pPr>
      <w:r>
        <w:rPr>
          <w:rFonts w:ascii="Arial" w:hAnsi="Arial" w:cs="Arial"/>
          <w:b/>
          <w:sz w:val="24"/>
          <w:szCs w:val="24"/>
          <w:u w:val="single"/>
        </w:rPr>
        <w:t>The Outlook</w:t>
      </w:r>
    </w:p>
    <w:p w:rsidR="00A930CD" w:rsidRPr="00A930CD" w:rsidRDefault="00A930CD" w:rsidP="00C05DB2">
      <w:pPr>
        <w:jc w:val="both"/>
        <w:rPr>
          <w:rFonts w:ascii="Arial" w:hAnsi="Arial" w:cs="Arial"/>
        </w:rPr>
      </w:pPr>
      <w:r w:rsidRPr="00A930CD">
        <w:rPr>
          <w:rFonts w:ascii="Arial" w:hAnsi="Arial" w:cs="Arial"/>
        </w:rPr>
        <w:t xml:space="preserve">During the next five years, challenges the IDOB will face include changes in the economy, structure of the financial services industry, an aging workforce, and technological advancements. The IDOB will continue to monitor these and other emerging issues as they develop to ensure its readiness to address any challenges the industry may face.  The dual banking system will continue to be challenged by the Office of the Comptroller of the Currency using its rulemaking authority to preempt state laws.  The licensing of mortgage professionals by the IDOB will begin on </w:t>
      </w:r>
      <w:smartTag w:uri="urn:schemas-microsoft-com:office:smarttags" w:element="date">
        <w:smartTagPr>
          <w:attr w:name="Year" w:val="2006"/>
          <w:attr w:name="Day" w:val="1"/>
          <w:attr w:name="Month" w:val="7"/>
        </w:smartTagPr>
        <w:r w:rsidRPr="00A930CD">
          <w:rPr>
            <w:rFonts w:ascii="Arial" w:hAnsi="Arial" w:cs="Arial"/>
          </w:rPr>
          <w:t>July 1, 2006</w:t>
        </w:r>
      </w:smartTag>
      <w:r w:rsidRPr="00A930CD">
        <w:rPr>
          <w:rFonts w:ascii="Arial" w:hAnsi="Arial" w:cs="Arial"/>
        </w:rPr>
        <w:t>.  Such licensing will aid the IDOB to better monitor against predatory, abusive, unfair, or deceptive residential mortgage lending practices. Involvement in community and economic development activities by the regulated entities will be supported by the IDOB.  The agency will seek to e</w:t>
      </w:r>
      <w:r w:rsidR="0004630E">
        <w:rPr>
          <w:rFonts w:ascii="Arial" w:hAnsi="Arial" w:cs="Arial"/>
        </w:rPr>
        <w:t>nsure customers of IDOB-</w:t>
      </w:r>
      <w:r w:rsidRPr="00A930CD">
        <w:rPr>
          <w:rFonts w:ascii="Arial" w:hAnsi="Arial" w:cs="Arial"/>
        </w:rPr>
        <w:t>regulated entities receive fair treatment and assist customers in resolving complaints.</w:t>
      </w:r>
    </w:p>
    <w:p w:rsidR="00A930CD" w:rsidRPr="00A930CD" w:rsidRDefault="008773B8" w:rsidP="00C05DB2">
      <w:pPr>
        <w:jc w:val="both"/>
        <w:rPr>
          <w:rFonts w:ascii="Arial" w:hAnsi="Arial" w:cs="Arial"/>
        </w:rPr>
      </w:pPr>
      <w:r>
        <w:rPr>
          <w:rFonts w:ascii="Arial" w:hAnsi="Arial" w:cs="Arial"/>
        </w:rPr>
        <w:br w:type="page"/>
      </w:r>
    </w:p>
    <w:p w:rsidR="0062524A" w:rsidRPr="00A930CD" w:rsidRDefault="0062524A" w:rsidP="0062524A">
      <w:pPr>
        <w:pStyle w:val="PlainText"/>
        <w:jc w:val="both"/>
        <w:rPr>
          <w:rFonts w:ascii="Arial" w:hAnsi="Arial" w:cs="Arial"/>
          <w:b/>
          <w:sz w:val="24"/>
          <w:szCs w:val="24"/>
          <w:u w:val="single"/>
        </w:rPr>
      </w:pPr>
      <w:r>
        <w:rPr>
          <w:rFonts w:ascii="Arial" w:hAnsi="Arial" w:cs="Arial"/>
          <w:b/>
          <w:sz w:val="24"/>
          <w:szCs w:val="24"/>
          <w:u w:val="single"/>
        </w:rPr>
        <w:t>Overview of the Economy</w:t>
      </w:r>
    </w:p>
    <w:p w:rsidR="00A930CD" w:rsidRPr="00A930CD" w:rsidRDefault="00A930CD" w:rsidP="00C05DB2">
      <w:pPr>
        <w:jc w:val="both"/>
        <w:rPr>
          <w:rFonts w:ascii="Arial" w:hAnsi="Arial" w:cs="Arial"/>
        </w:rPr>
      </w:pPr>
      <w:r w:rsidRPr="00A930CD">
        <w:rPr>
          <w:rFonts w:ascii="Arial" w:hAnsi="Arial" w:cs="Arial"/>
        </w:rPr>
        <w:t>The performance of the economy at the national, regional, and state levels directly affects the financial institution industry's business strategies and performance. Changes in the business cycle of sectors such as agriculture</w:t>
      </w:r>
      <w:r w:rsidR="0004630E">
        <w:rPr>
          <w:rFonts w:ascii="Arial" w:hAnsi="Arial" w:cs="Arial"/>
        </w:rPr>
        <w:t xml:space="preserve"> and</w:t>
      </w:r>
      <w:r w:rsidRPr="00A930CD">
        <w:rPr>
          <w:rFonts w:ascii="Arial" w:hAnsi="Arial" w:cs="Arial"/>
        </w:rPr>
        <w:t xml:space="preserve"> commercial real estate, as well as interest rates, inflation</w:t>
      </w:r>
      <w:r w:rsidR="0004630E">
        <w:rPr>
          <w:rFonts w:ascii="Arial" w:hAnsi="Arial" w:cs="Arial"/>
        </w:rPr>
        <w:t>,</w:t>
      </w:r>
      <w:r w:rsidRPr="00A930CD">
        <w:rPr>
          <w:rFonts w:ascii="Arial" w:hAnsi="Arial" w:cs="Arial"/>
        </w:rPr>
        <w:t xml:space="preserve"> and unemployment, influence the lending and funding strategies of financial institutions.  Current economic conditions indicate a recession could be experienced sometime during 2006.  This is based in part upon a flattening of the interest rate yield curve, high fuel prices, increased number of bankruptcy filings, and over-expansion in the commercial real estate market.  A slowing of the economy would be accompanied by sluggish asset growth, increased loan losses</w:t>
      </w:r>
      <w:r w:rsidR="0004630E">
        <w:rPr>
          <w:rFonts w:ascii="Arial" w:hAnsi="Arial" w:cs="Arial"/>
        </w:rPr>
        <w:t>,</w:t>
      </w:r>
      <w:r w:rsidRPr="00A930CD">
        <w:rPr>
          <w:rFonts w:ascii="Arial" w:hAnsi="Arial" w:cs="Arial"/>
        </w:rPr>
        <w:t xml:space="preserve"> and diminished profitability for the financial services industry.</w:t>
      </w:r>
    </w:p>
    <w:p w:rsidR="00A930CD" w:rsidRPr="00A930CD" w:rsidRDefault="00A930CD" w:rsidP="00C05DB2">
      <w:pPr>
        <w:jc w:val="both"/>
        <w:rPr>
          <w:rFonts w:ascii="Arial" w:hAnsi="Arial" w:cs="Arial"/>
        </w:rPr>
      </w:pPr>
    </w:p>
    <w:p w:rsidR="0062524A" w:rsidRPr="00A930CD" w:rsidRDefault="0062524A" w:rsidP="00B038D0">
      <w:pPr>
        <w:pStyle w:val="PlainText"/>
        <w:keepNext/>
        <w:jc w:val="both"/>
        <w:rPr>
          <w:rFonts w:ascii="Arial" w:hAnsi="Arial" w:cs="Arial"/>
          <w:b/>
          <w:sz w:val="24"/>
          <w:szCs w:val="24"/>
          <w:u w:val="single"/>
        </w:rPr>
      </w:pPr>
      <w:r>
        <w:rPr>
          <w:rFonts w:ascii="Arial" w:hAnsi="Arial" w:cs="Arial"/>
          <w:b/>
          <w:sz w:val="24"/>
          <w:szCs w:val="24"/>
          <w:u w:val="single"/>
        </w:rPr>
        <w:t>Changes in the Financial Services Industry</w:t>
      </w:r>
    </w:p>
    <w:p w:rsidR="00A930CD" w:rsidRDefault="00A930CD" w:rsidP="00C05DB2">
      <w:pPr>
        <w:jc w:val="both"/>
        <w:rPr>
          <w:rFonts w:ascii="Arial" w:hAnsi="Arial" w:cs="Arial"/>
        </w:rPr>
      </w:pPr>
      <w:r w:rsidRPr="00A930CD">
        <w:rPr>
          <w:rFonts w:ascii="Arial" w:hAnsi="Arial" w:cs="Arial"/>
        </w:rPr>
        <w:t>Changes in the financial services industry have presented new challenges for financial institutions and their regulators. These changes have been driven by financial modernization, privacy concerns, industry consolidation, applications for new institutions, trends in borrowing and lending, globali</w:t>
      </w:r>
      <w:r w:rsidR="00C05DB2">
        <w:rPr>
          <w:rFonts w:ascii="Arial" w:hAnsi="Arial" w:cs="Arial"/>
        </w:rPr>
        <w:t>zation</w:t>
      </w:r>
      <w:r w:rsidR="0004630E">
        <w:rPr>
          <w:rFonts w:ascii="Arial" w:hAnsi="Arial" w:cs="Arial"/>
        </w:rPr>
        <w:t>,</w:t>
      </w:r>
      <w:r w:rsidR="00C05DB2">
        <w:rPr>
          <w:rFonts w:ascii="Arial" w:hAnsi="Arial" w:cs="Arial"/>
        </w:rPr>
        <w:t xml:space="preserve"> and emerging technology.</w:t>
      </w:r>
    </w:p>
    <w:p w:rsidR="00C05DB2" w:rsidRPr="00A930CD" w:rsidRDefault="00C05DB2" w:rsidP="00C05DB2">
      <w:pPr>
        <w:jc w:val="both"/>
        <w:rPr>
          <w:rFonts w:ascii="Arial" w:hAnsi="Arial" w:cs="Arial"/>
        </w:rPr>
      </w:pPr>
    </w:p>
    <w:p w:rsidR="00A930CD" w:rsidRDefault="00A930CD" w:rsidP="00C05DB2">
      <w:pPr>
        <w:jc w:val="both"/>
        <w:rPr>
          <w:rFonts w:ascii="Arial" w:hAnsi="Arial" w:cs="Arial"/>
        </w:rPr>
      </w:pPr>
      <w:r w:rsidRPr="00A930CD">
        <w:rPr>
          <w:rFonts w:ascii="Arial" w:hAnsi="Arial" w:cs="Arial"/>
        </w:rPr>
        <w:t>In recent years, the federal government has enacted legislation focusing on anti-terrorism, compliance, privacy</w:t>
      </w:r>
      <w:r w:rsidR="0004630E">
        <w:rPr>
          <w:rFonts w:ascii="Arial" w:hAnsi="Arial" w:cs="Arial"/>
        </w:rPr>
        <w:t>,</w:t>
      </w:r>
      <w:r w:rsidRPr="00A930CD">
        <w:rPr>
          <w:rFonts w:ascii="Arial" w:hAnsi="Arial" w:cs="Arial"/>
        </w:rPr>
        <w:t xml:space="preserve"> and corporate governance issues. This has increased the IDOB’s supervisory responsibilities and made it necessary to expand the scope of its examinations.  Under the USA PATRIOT Act of 2001, financial institutions have been required to implement programs to verify the identity of customers opening new accounts. Although it relaxed some requirements, the Gramm-Leach-Bliley Act of 1999 added new requirements regarding privacy and other issues. The Sarbanes-Oxley Act of 2003 (SOX) addresses corporate governance and auditor independence requirements.  Insured depository institutions and bank holding companies are the entities required to comply with SOX</w:t>
      </w:r>
      <w:r w:rsidR="0004630E">
        <w:rPr>
          <w:rFonts w:ascii="Arial" w:hAnsi="Arial" w:cs="Arial"/>
        </w:rPr>
        <w:t>.</w:t>
      </w:r>
      <w:r w:rsidRPr="00A930CD">
        <w:rPr>
          <w:rFonts w:ascii="Arial" w:hAnsi="Arial" w:cs="Arial"/>
        </w:rPr>
        <w:t xml:space="preserve">  Failure to comply with these new laws can result in large financial penalties being assessed against the financial institutions.  Smaller banks may decide to sell as further increases in regulations, primarily at the federal level, could make it too costly for them to maintain compliance.</w:t>
      </w:r>
    </w:p>
    <w:p w:rsidR="00C05DB2" w:rsidRPr="00A930CD" w:rsidRDefault="00C05DB2" w:rsidP="00C05DB2">
      <w:pPr>
        <w:jc w:val="both"/>
        <w:rPr>
          <w:rFonts w:ascii="Arial" w:hAnsi="Arial" w:cs="Arial"/>
        </w:rPr>
      </w:pPr>
    </w:p>
    <w:p w:rsidR="00A930CD" w:rsidRDefault="00A930CD" w:rsidP="00711EBD">
      <w:pPr>
        <w:jc w:val="both"/>
        <w:rPr>
          <w:rFonts w:ascii="Arial" w:hAnsi="Arial" w:cs="Arial"/>
        </w:rPr>
      </w:pPr>
      <w:r w:rsidRPr="00A930CD">
        <w:rPr>
          <w:rFonts w:ascii="Arial" w:hAnsi="Arial" w:cs="Arial"/>
        </w:rPr>
        <w:t>Within the context of these new regulatory requirements, the IDOB is committed to regulatory burden reduction on the institutions it supervises</w:t>
      </w:r>
      <w:r w:rsidR="0004630E">
        <w:rPr>
          <w:rFonts w:ascii="Arial" w:hAnsi="Arial" w:cs="Arial"/>
        </w:rPr>
        <w:t>.</w:t>
      </w:r>
    </w:p>
    <w:p w:rsidR="00C05DB2" w:rsidRPr="00A930CD" w:rsidRDefault="00C05DB2" w:rsidP="00C05DB2">
      <w:pPr>
        <w:jc w:val="both"/>
        <w:rPr>
          <w:rFonts w:ascii="Arial" w:hAnsi="Arial" w:cs="Arial"/>
        </w:rPr>
      </w:pPr>
    </w:p>
    <w:p w:rsidR="00A930CD" w:rsidRDefault="00A930CD" w:rsidP="00C05DB2">
      <w:pPr>
        <w:jc w:val="both"/>
        <w:rPr>
          <w:rFonts w:ascii="Arial" w:hAnsi="Arial" w:cs="Arial"/>
        </w:rPr>
      </w:pPr>
      <w:r w:rsidRPr="00A930CD">
        <w:rPr>
          <w:rFonts w:ascii="Arial" w:hAnsi="Arial" w:cs="Arial"/>
        </w:rPr>
        <w:t>As financial institutions leverage new technologies, risk management and supervision issues will become more complex for both institutions and regulators.  Due to financial modernization and advances in technology, problems have been encountered by companies in protecting the privacy of consumer information. Financial institutions will continue to be challenged as they try to maintain a proper balance between the need to protect a customer’s privacy and the sharing of information for normal business purposes.</w:t>
      </w:r>
    </w:p>
    <w:p w:rsidR="00C05DB2" w:rsidRPr="00A930CD" w:rsidRDefault="00C05DB2" w:rsidP="00C05DB2">
      <w:pPr>
        <w:jc w:val="both"/>
        <w:rPr>
          <w:rFonts w:ascii="Arial" w:hAnsi="Arial" w:cs="Arial"/>
        </w:rPr>
      </w:pPr>
    </w:p>
    <w:p w:rsidR="00A930CD" w:rsidRDefault="00A930CD" w:rsidP="00C05DB2">
      <w:pPr>
        <w:jc w:val="both"/>
        <w:rPr>
          <w:rFonts w:ascii="Arial" w:hAnsi="Arial" w:cs="Arial"/>
        </w:rPr>
      </w:pPr>
      <w:r w:rsidRPr="00A930CD">
        <w:rPr>
          <w:rFonts w:ascii="Arial" w:hAnsi="Arial" w:cs="Arial"/>
        </w:rPr>
        <w:t>Mergers and consolidations, as well as applications for new financial institutions, have occurred over the past several years</w:t>
      </w:r>
      <w:r w:rsidR="0004630E">
        <w:rPr>
          <w:rFonts w:ascii="Arial" w:hAnsi="Arial" w:cs="Arial"/>
        </w:rPr>
        <w:t>,</w:t>
      </w:r>
      <w:r w:rsidRPr="00A930CD">
        <w:rPr>
          <w:rFonts w:ascii="Arial" w:hAnsi="Arial" w:cs="Arial"/>
        </w:rPr>
        <w:t xml:space="preserve"> with this trend expected to continue. As institutions become larger and more complex, they present greater risk-management issues. De novo institutions, which often lack adequate earnings in the early years, are more vulnerable to fluctuations in the economy.</w:t>
      </w:r>
    </w:p>
    <w:p w:rsidR="00A930CD" w:rsidRDefault="008773B8" w:rsidP="00C05DB2">
      <w:pPr>
        <w:jc w:val="both"/>
        <w:rPr>
          <w:rFonts w:ascii="Arial" w:hAnsi="Arial" w:cs="Arial"/>
        </w:rPr>
      </w:pPr>
      <w:r>
        <w:rPr>
          <w:rFonts w:ascii="Arial" w:hAnsi="Arial" w:cs="Arial"/>
        </w:rPr>
        <w:br w:type="page"/>
      </w:r>
      <w:r w:rsidR="00A930CD" w:rsidRPr="00A930CD">
        <w:rPr>
          <w:rFonts w:ascii="Arial" w:hAnsi="Arial" w:cs="Arial"/>
        </w:rPr>
        <w:lastRenderedPageBreak/>
        <w:t>Abusive lending practices have been on the increase nationwide</w:t>
      </w:r>
      <w:r w:rsidR="0004630E">
        <w:rPr>
          <w:rFonts w:ascii="Arial" w:hAnsi="Arial" w:cs="Arial"/>
        </w:rPr>
        <w:t>,</w:t>
      </w:r>
      <w:r w:rsidR="00A930CD" w:rsidRPr="00A930CD">
        <w:rPr>
          <w:rFonts w:ascii="Arial" w:hAnsi="Arial" w:cs="Arial"/>
        </w:rPr>
        <w:t xml:space="preserve"> particularly in the residential mortgage and consumer lending areas.  Monitoring for practices that may be conducive to abusive lending and fraud will require heightened attention by the financial services industry and the IDOB.  When such practices are found, the IDOB will take action necessary to curb the practices.</w:t>
      </w:r>
    </w:p>
    <w:p w:rsidR="00C05DB2" w:rsidRPr="00A930CD" w:rsidRDefault="00C05DB2" w:rsidP="00C05DB2">
      <w:pPr>
        <w:jc w:val="both"/>
        <w:rPr>
          <w:rFonts w:ascii="Arial" w:hAnsi="Arial" w:cs="Arial"/>
        </w:rPr>
      </w:pPr>
    </w:p>
    <w:p w:rsidR="00A930CD" w:rsidRPr="00A930CD" w:rsidRDefault="00A930CD" w:rsidP="00C05DB2">
      <w:pPr>
        <w:jc w:val="both"/>
        <w:rPr>
          <w:rFonts w:ascii="Arial" w:hAnsi="Arial" w:cs="Arial"/>
        </w:rPr>
      </w:pPr>
      <w:smartTag w:uri="urn:schemas-microsoft-com:office:smarttags" w:element="place">
        <w:smartTag w:uri="urn:schemas-microsoft-com:office:smarttags" w:element="State">
          <w:r w:rsidRPr="00A930CD">
            <w:rPr>
              <w:rFonts w:ascii="Arial" w:hAnsi="Arial" w:cs="Arial"/>
            </w:rPr>
            <w:t>Iowa</w:t>
          </w:r>
        </w:smartTag>
      </w:smartTag>
      <w:r w:rsidRPr="00A930CD">
        <w:rPr>
          <w:rFonts w:ascii="Arial" w:hAnsi="Arial" w:cs="Arial"/>
        </w:rPr>
        <w:t xml:space="preserve">’s population continues to shift from rural to urban communities. Community banks will continue to relocate to urban areas in an effort to follow the movement of depositors’ funds. The value to the small-town bank charter may diminish. Technological changes and consolidation in the agricultural sector have reduced the demand for farm labor and the farmers have become less dependent on nearby small towns to purchase inputs and professional services. As a result, people have migrated from rural to metropolitan areas seeking better employment opportunities. Banks in the rural areas will continue to be more reliant upon non-core funding sources.  Counties losing population lose economic viability.  As tax </w:t>
      </w:r>
      <w:r w:rsidR="00166136">
        <w:rPr>
          <w:rFonts w:ascii="Arial" w:hAnsi="Arial" w:cs="Arial"/>
        </w:rPr>
        <w:t xml:space="preserve">rolls shrink, the infrastructure — </w:t>
      </w:r>
      <w:r w:rsidRPr="00A930CD">
        <w:rPr>
          <w:rFonts w:ascii="Arial" w:hAnsi="Arial" w:cs="Arial"/>
        </w:rPr>
        <w:t>schools, utilities, streets</w:t>
      </w:r>
      <w:r w:rsidR="00166136">
        <w:rPr>
          <w:rFonts w:ascii="Arial" w:hAnsi="Arial" w:cs="Arial"/>
        </w:rPr>
        <w:t xml:space="preserve"> — </w:t>
      </w:r>
      <w:r w:rsidRPr="00A930CD">
        <w:rPr>
          <w:rFonts w:ascii="Arial" w:hAnsi="Arial" w:cs="Arial"/>
        </w:rPr>
        <w:t>of the rural communities will be more difficult to maintain.</w:t>
      </w:r>
    </w:p>
    <w:p w:rsidR="00A930CD" w:rsidRPr="00A930CD" w:rsidRDefault="00A930CD" w:rsidP="00C05DB2">
      <w:pPr>
        <w:jc w:val="both"/>
        <w:rPr>
          <w:rFonts w:ascii="Arial" w:hAnsi="Arial" w:cs="Arial"/>
        </w:rPr>
      </w:pPr>
    </w:p>
    <w:p w:rsidR="00A930CD" w:rsidRDefault="00A930CD" w:rsidP="00C05DB2">
      <w:pPr>
        <w:jc w:val="both"/>
        <w:rPr>
          <w:rFonts w:ascii="Arial" w:hAnsi="Arial" w:cs="Arial"/>
        </w:rPr>
      </w:pPr>
      <w:r w:rsidRPr="00A930CD">
        <w:rPr>
          <w:rFonts w:ascii="Arial" w:hAnsi="Arial" w:cs="Arial"/>
        </w:rPr>
        <w:t xml:space="preserve">Increased non-bank competition has induced financial institutions to enter into riskier lines of business, purchase higher risk investments, and increase non-interest income to maintain satisfactory earnings levels. Commercial real estate lending has increased in </w:t>
      </w:r>
      <w:smartTag w:uri="urn:schemas-microsoft-com:office:smarttags" w:element="place">
        <w:smartTag w:uri="urn:schemas-microsoft-com:office:smarttags" w:element="State">
          <w:r w:rsidRPr="00A930CD">
            <w:rPr>
              <w:rFonts w:ascii="Arial" w:hAnsi="Arial" w:cs="Arial"/>
            </w:rPr>
            <w:t>Iowa</w:t>
          </w:r>
        </w:smartTag>
      </w:smartTag>
      <w:r w:rsidRPr="00A930CD">
        <w:rPr>
          <w:rFonts w:ascii="Arial" w:hAnsi="Arial" w:cs="Arial"/>
        </w:rPr>
        <w:t xml:space="preserve"> banks and could be more vulnerable to losses during an economic slowdown.  Non-interest income c</w:t>
      </w:r>
      <w:r w:rsidR="00C05DB2">
        <w:rPr>
          <w:rFonts w:ascii="Arial" w:hAnsi="Arial" w:cs="Arial"/>
        </w:rPr>
        <w:t>an be a volatile income source.</w:t>
      </w:r>
    </w:p>
    <w:p w:rsidR="00C05DB2" w:rsidRPr="00A930CD" w:rsidRDefault="00C05DB2" w:rsidP="00C05DB2">
      <w:pPr>
        <w:jc w:val="both"/>
        <w:rPr>
          <w:rFonts w:ascii="Arial" w:hAnsi="Arial" w:cs="Arial"/>
        </w:rPr>
      </w:pPr>
    </w:p>
    <w:p w:rsidR="00A930CD" w:rsidRDefault="00A930CD" w:rsidP="00C05DB2">
      <w:pPr>
        <w:jc w:val="both"/>
        <w:rPr>
          <w:rFonts w:ascii="Arial" w:hAnsi="Arial" w:cs="Arial"/>
        </w:rPr>
      </w:pPr>
      <w:r w:rsidRPr="00A930CD">
        <w:rPr>
          <w:rFonts w:ascii="Arial" w:hAnsi="Arial" w:cs="Arial"/>
        </w:rPr>
        <w:t>Challenges to the dual banking system will continue as the national bank system continues to gain more control of the nation’s assets and the Office of the Comptroller of the Currency continues to pree</w:t>
      </w:r>
      <w:r w:rsidR="00C05DB2">
        <w:rPr>
          <w:rFonts w:ascii="Arial" w:hAnsi="Arial" w:cs="Arial"/>
        </w:rPr>
        <w:t>mpt state laws and regulations.</w:t>
      </w:r>
    </w:p>
    <w:p w:rsidR="00C05DB2" w:rsidRPr="00A930CD" w:rsidRDefault="00C05DB2" w:rsidP="00C05DB2">
      <w:pPr>
        <w:jc w:val="both"/>
        <w:rPr>
          <w:rFonts w:ascii="Arial" w:hAnsi="Arial" w:cs="Arial"/>
        </w:rPr>
      </w:pPr>
    </w:p>
    <w:p w:rsidR="00A930CD" w:rsidRDefault="00A930CD" w:rsidP="00C05DB2">
      <w:pPr>
        <w:jc w:val="both"/>
        <w:rPr>
          <w:rFonts w:ascii="Arial" w:hAnsi="Arial" w:cs="Arial"/>
        </w:rPr>
      </w:pPr>
      <w:r w:rsidRPr="00A930CD">
        <w:rPr>
          <w:rFonts w:ascii="Arial" w:hAnsi="Arial" w:cs="Arial"/>
        </w:rPr>
        <w:t>The IDOB continually monitors changes in the financial services industry. As necessary, the IDOB seeks regulatory or statutory amendments or develops improved procedures to respond to these industry changes.</w:t>
      </w:r>
    </w:p>
    <w:p w:rsidR="0062524A" w:rsidRPr="00A930CD" w:rsidRDefault="0062524A" w:rsidP="00C05DB2">
      <w:pPr>
        <w:jc w:val="both"/>
        <w:rPr>
          <w:rFonts w:ascii="Arial" w:hAnsi="Arial" w:cs="Arial"/>
        </w:rPr>
      </w:pPr>
    </w:p>
    <w:p w:rsidR="0062524A" w:rsidRPr="00A930CD" w:rsidRDefault="0062524A" w:rsidP="0062524A">
      <w:pPr>
        <w:pStyle w:val="PlainText"/>
        <w:jc w:val="both"/>
        <w:rPr>
          <w:rFonts w:ascii="Arial" w:hAnsi="Arial" w:cs="Arial"/>
          <w:b/>
          <w:sz w:val="24"/>
          <w:szCs w:val="24"/>
          <w:u w:val="single"/>
        </w:rPr>
      </w:pPr>
      <w:r>
        <w:rPr>
          <w:rFonts w:ascii="Arial" w:hAnsi="Arial" w:cs="Arial"/>
          <w:b/>
          <w:sz w:val="24"/>
          <w:szCs w:val="24"/>
          <w:u w:val="single"/>
        </w:rPr>
        <w:t>Workforce Issues</w:t>
      </w:r>
    </w:p>
    <w:p w:rsidR="00A930CD" w:rsidRDefault="00A930CD" w:rsidP="00A930CD">
      <w:pPr>
        <w:jc w:val="both"/>
        <w:rPr>
          <w:rFonts w:ascii="Arial" w:hAnsi="Arial" w:cs="Arial"/>
        </w:rPr>
      </w:pPr>
      <w:r w:rsidRPr="00A930CD">
        <w:rPr>
          <w:rFonts w:ascii="Arial" w:hAnsi="Arial" w:cs="Arial"/>
        </w:rPr>
        <w:t>The IDOB is confronting the same human capital issues as many government agencies.  Currently, over 63 percent of the IDOB workforce has over 15 years of regulatory experience.  As a result, many of the IDOB's most experienced managers and technical experts will be eligible to retire over the next 10 years. The IDOB must ensure that it continues to have the managerial and technical resources to effectively fulfill its mission and goals as those employees elect to retire. In order to ensure that its workforce has the necessary experience and qualifications to assume these responsibilities, the IDOB will:</w:t>
      </w:r>
    </w:p>
    <w:p w:rsidR="00166136" w:rsidRPr="00A930CD" w:rsidRDefault="00166136" w:rsidP="00A930CD">
      <w:pPr>
        <w:jc w:val="both"/>
        <w:rPr>
          <w:rFonts w:ascii="Arial" w:hAnsi="Arial" w:cs="Arial"/>
        </w:rPr>
      </w:pPr>
    </w:p>
    <w:p w:rsidR="00A930CD" w:rsidRDefault="00A930CD" w:rsidP="00166136">
      <w:pPr>
        <w:numPr>
          <w:ilvl w:val="0"/>
          <w:numId w:val="4"/>
        </w:numPr>
        <w:jc w:val="both"/>
        <w:rPr>
          <w:rFonts w:ascii="Arial" w:hAnsi="Arial" w:cs="Arial"/>
        </w:rPr>
      </w:pPr>
      <w:r w:rsidRPr="00A930CD">
        <w:rPr>
          <w:rFonts w:ascii="Arial" w:hAnsi="Arial" w:cs="Arial"/>
        </w:rPr>
        <w:t>Place increased emphasis on recruiting well qualified new employees.  These employees must possess the following values:  high integrity, work cooperatively with internal and external customers, readily adapt to change in the work place and financial institutions’ industry, work in a cost-efficient manner, and treat all customers fairly.</w:t>
      </w:r>
    </w:p>
    <w:p w:rsidR="00166136" w:rsidRPr="00A930CD" w:rsidRDefault="00166136" w:rsidP="00166136">
      <w:pPr>
        <w:jc w:val="both"/>
        <w:rPr>
          <w:rFonts w:ascii="Arial" w:hAnsi="Arial" w:cs="Arial"/>
        </w:rPr>
      </w:pPr>
    </w:p>
    <w:p w:rsidR="00166136" w:rsidRDefault="00A930CD" w:rsidP="00166136">
      <w:pPr>
        <w:numPr>
          <w:ilvl w:val="0"/>
          <w:numId w:val="5"/>
        </w:numPr>
        <w:jc w:val="both"/>
        <w:rPr>
          <w:rFonts w:ascii="Arial" w:hAnsi="Arial" w:cs="Arial"/>
        </w:rPr>
      </w:pPr>
      <w:r w:rsidRPr="00A930CD">
        <w:rPr>
          <w:rFonts w:ascii="Arial" w:hAnsi="Arial" w:cs="Arial"/>
        </w:rPr>
        <w:t>Invest in training and development activities that will maintain a highly skilled workforce capable of handling anticipated workload and responding to u</w:t>
      </w:r>
      <w:r w:rsidR="00166136">
        <w:rPr>
          <w:rFonts w:ascii="Arial" w:hAnsi="Arial" w:cs="Arial"/>
        </w:rPr>
        <w:t>nforeseen workload; and</w:t>
      </w:r>
    </w:p>
    <w:p w:rsidR="00166136" w:rsidRDefault="00166136" w:rsidP="00166136">
      <w:pPr>
        <w:jc w:val="both"/>
        <w:rPr>
          <w:rFonts w:ascii="Arial" w:hAnsi="Arial" w:cs="Arial"/>
        </w:rPr>
      </w:pPr>
    </w:p>
    <w:p w:rsidR="00166136" w:rsidRPr="00A930CD" w:rsidRDefault="00166136" w:rsidP="00166136">
      <w:pPr>
        <w:numPr>
          <w:ilvl w:val="0"/>
          <w:numId w:val="5"/>
        </w:numPr>
        <w:jc w:val="both"/>
        <w:rPr>
          <w:rFonts w:ascii="Arial" w:hAnsi="Arial" w:cs="Arial"/>
        </w:rPr>
      </w:pPr>
      <w:r w:rsidRPr="00A930CD">
        <w:rPr>
          <w:rFonts w:ascii="Arial" w:hAnsi="Arial" w:cs="Arial"/>
        </w:rPr>
        <w:t>Implement programs that will make the IDOB an employer of choice</w:t>
      </w:r>
      <w:r>
        <w:rPr>
          <w:rFonts w:ascii="Arial" w:hAnsi="Arial" w:cs="Arial"/>
        </w:rPr>
        <w:t>.</w:t>
      </w:r>
    </w:p>
    <w:p w:rsidR="00DE1036" w:rsidRDefault="00DE1036" w:rsidP="00A930CD">
      <w:pPr>
        <w:rPr>
          <w:rFonts w:ascii="Arial" w:hAnsi="Arial" w:cs="Arial"/>
        </w:rPr>
        <w:sectPr w:rsidR="00DE1036" w:rsidSect="000C6068">
          <w:pgSz w:w="12240" w:h="15840" w:code="1"/>
          <w:pgMar w:top="864" w:right="1080" w:bottom="1440" w:left="1080" w:header="720" w:footer="663" w:gutter="0"/>
          <w:cols w:space="720"/>
          <w:noEndnote/>
        </w:sectPr>
      </w:pPr>
    </w:p>
    <w:p w:rsidR="00234E74" w:rsidRDefault="00234E74" w:rsidP="00234E74">
      <w:pPr>
        <w:ind w:left="-540"/>
        <w:jc w:val="center"/>
        <w:rPr>
          <w:rFonts w:ascii="Arial" w:hAnsi="Arial" w:cs="Arial"/>
          <w:sz w:val="28"/>
        </w:rPr>
      </w:pPr>
      <w:r>
        <w:rPr>
          <w:rFonts w:ascii="Arial Black" w:hAnsi="Arial Black"/>
          <w:sz w:val="28"/>
        </w:rPr>
        <w:lastRenderedPageBreak/>
        <w:t>KEY RESULT TEMPLATE</w:t>
      </w:r>
    </w:p>
    <w:p w:rsidR="00234E74" w:rsidRDefault="00234E74" w:rsidP="00234E74">
      <w:pPr>
        <w:rPr>
          <w:rFonts w:ascii="Arial" w:hAnsi="Arial" w:cs="Arial"/>
        </w:rPr>
      </w:pPr>
    </w:p>
    <w:p w:rsidR="00234E74" w:rsidRPr="007024EB" w:rsidRDefault="00234E74" w:rsidP="00AE3192">
      <w:pPr>
        <w:ind w:left="-540"/>
        <w:jc w:val="center"/>
        <w:rPr>
          <w:rFonts w:ascii="Arial" w:hAnsi="Arial" w:cs="Arial"/>
          <w:bCs/>
        </w:rPr>
      </w:pPr>
      <w:r w:rsidRPr="007024EB">
        <w:rPr>
          <w:rFonts w:ascii="Arial" w:hAnsi="Arial" w:cs="Arial"/>
          <w:b/>
        </w:rPr>
        <w:t>CORE FUNCTION</w:t>
      </w:r>
    </w:p>
    <w:p w:rsidR="00234E74" w:rsidRPr="007024EB" w:rsidRDefault="00234E74" w:rsidP="007024EB">
      <w:pPr>
        <w:jc w:val="both"/>
        <w:rPr>
          <w:rFonts w:ascii="Arial" w:hAnsi="Arial" w:cs="Arial"/>
        </w:rPr>
      </w:pPr>
    </w:p>
    <w:p w:rsidR="00234E74" w:rsidRPr="00D866A4" w:rsidRDefault="00234E74" w:rsidP="007024EB">
      <w:pPr>
        <w:jc w:val="both"/>
        <w:rPr>
          <w:rFonts w:ascii="Arial" w:hAnsi="Arial" w:cs="Arial"/>
          <w:bCs/>
        </w:rPr>
      </w:pPr>
      <w:r w:rsidRPr="00B83FFA">
        <w:rPr>
          <w:rFonts w:ascii="Arial" w:hAnsi="Arial" w:cs="Arial"/>
          <w:b/>
          <w:bCs/>
        </w:rPr>
        <w:t xml:space="preserve">Name: </w:t>
      </w:r>
      <w:r w:rsidR="008B3A74" w:rsidRPr="00D866A4">
        <w:rPr>
          <w:rFonts w:ascii="Arial" w:hAnsi="Arial" w:cs="Arial"/>
          <w:bCs/>
        </w:rPr>
        <w:t>Regulation &amp; Compliance</w:t>
      </w:r>
    </w:p>
    <w:p w:rsidR="00234E74" w:rsidRPr="00B83FFA" w:rsidRDefault="00234E74" w:rsidP="007024EB">
      <w:pPr>
        <w:jc w:val="both"/>
        <w:rPr>
          <w:rFonts w:ascii="Arial" w:hAnsi="Arial" w:cs="Arial"/>
        </w:rPr>
      </w:pPr>
    </w:p>
    <w:p w:rsidR="00234E74" w:rsidRPr="00D866A4" w:rsidRDefault="00234E74" w:rsidP="007024EB">
      <w:pPr>
        <w:jc w:val="both"/>
        <w:rPr>
          <w:rFonts w:ascii="Arial" w:hAnsi="Arial" w:cs="Arial"/>
          <w:bCs/>
        </w:rPr>
      </w:pPr>
      <w:r w:rsidRPr="00B83FFA">
        <w:rPr>
          <w:rFonts w:ascii="Arial" w:hAnsi="Arial" w:cs="Arial"/>
          <w:b/>
          <w:bCs/>
        </w:rPr>
        <w:t xml:space="preserve">Description: </w:t>
      </w:r>
      <w:r w:rsidR="008B3A74" w:rsidRPr="00D866A4">
        <w:rPr>
          <w:rFonts w:ascii="Arial" w:hAnsi="Arial" w:cs="Arial"/>
          <w:bCs/>
        </w:rPr>
        <w:t>All financial institutions chartered and licensed by the Iowa Division of Banking are operated in a safe and sound manner and in compliance with applicable laws and regulations.</w:t>
      </w:r>
    </w:p>
    <w:p w:rsidR="00234E74" w:rsidRPr="00B83FFA" w:rsidRDefault="00234E74" w:rsidP="007024EB">
      <w:pPr>
        <w:jc w:val="both"/>
        <w:rPr>
          <w:rFonts w:ascii="Arial" w:hAnsi="Arial" w:cs="Arial"/>
        </w:rPr>
      </w:pPr>
    </w:p>
    <w:p w:rsidR="00234E74" w:rsidRPr="007024EB" w:rsidRDefault="00234E74" w:rsidP="007024EB">
      <w:pPr>
        <w:jc w:val="both"/>
        <w:rPr>
          <w:rFonts w:ascii="Arial" w:hAnsi="Arial" w:cs="Arial"/>
        </w:rPr>
      </w:pPr>
      <w:r w:rsidRPr="00B83FFA">
        <w:rPr>
          <w:rFonts w:ascii="Arial" w:hAnsi="Arial" w:cs="Arial"/>
          <w:b/>
          <w:bCs/>
        </w:rPr>
        <w:t>Why we are doing this</w:t>
      </w:r>
      <w:r w:rsidR="000473D8">
        <w:rPr>
          <w:rFonts w:ascii="Arial" w:hAnsi="Arial" w:cs="Arial"/>
          <w:b/>
          <w:bCs/>
        </w:rPr>
        <w:t xml:space="preserve">:  </w:t>
      </w:r>
      <w:r w:rsidR="000473D8" w:rsidRPr="00D866A4">
        <w:rPr>
          <w:rFonts w:ascii="Arial" w:hAnsi="Arial" w:cs="Arial"/>
          <w:bCs/>
        </w:rPr>
        <w:t xml:space="preserve">A key product of a bank exam is a supervisory rating of the bank’s overall condition, commonly referred to as a CAMELS rating.  This rating system is used by state banking regulators and the federal banking supervisors to provide a convenient summary of bank conditions at the time of the exam.  The CAMELS rating system is based upon an evaluation of six critical elements of a bank’s operations:  </w:t>
      </w:r>
      <w:r w:rsidR="000473D8" w:rsidRPr="00D866A4">
        <w:rPr>
          <w:rFonts w:ascii="Arial" w:hAnsi="Arial" w:cs="Arial"/>
          <w:bCs/>
          <w:u w:val="single"/>
        </w:rPr>
        <w:t>C</w:t>
      </w:r>
      <w:r w:rsidR="000473D8" w:rsidRPr="00D866A4">
        <w:rPr>
          <w:rFonts w:ascii="Arial" w:hAnsi="Arial" w:cs="Arial"/>
          <w:bCs/>
        </w:rPr>
        <w:t xml:space="preserve">apital Adequacy, </w:t>
      </w:r>
      <w:r w:rsidR="000473D8" w:rsidRPr="00D866A4">
        <w:rPr>
          <w:rFonts w:ascii="Arial" w:hAnsi="Arial" w:cs="Arial"/>
          <w:bCs/>
          <w:u w:val="single"/>
        </w:rPr>
        <w:t>A</w:t>
      </w:r>
      <w:r w:rsidR="000473D8" w:rsidRPr="00D866A4">
        <w:rPr>
          <w:rFonts w:ascii="Arial" w:hAnsi="Arial" w:cs="Arial"/>
          <w:bCs/>
        </w:rPr>
        <w:t xml:space="preserve">sset Quality, </w:t>
      </w:r>
      <w:r w:rsidR="000473D8" w:rsidRPr="00D866A4">
        <w:rPr>
          <w:rFonts w:ascii="Arial" w:hAnsi="Arial" w:cs="Arial"/>
          <w:bCs/>
          <w:u w:val="single"/>
        </w:rPr>
        <w:t>M</w:t>
      </w:r>
      <w:r w:rsidR="000473D8" w:rsidRPr="00D866A4">
        <w:rPr>
          <w:rFonts w:ascii="Arial" w:hAnsi="Arial" w:cs="Arial"/>
          <w:bCs/>
        </w:rPr>
        <w:t xml:space="preserve">anagement, </w:t>
      </w:r>
      <w:r w:rsidR="000473D8" w:rsidRPr="00D866A4">
        <w:rPr>
          <w:rFonts w:ascii="Arial" w:hAnsi="Arial" w:cs="Arial"/>
          <w:bCs/>
          <w:u w:val="single"/>
        </w:rPr>
        <w:t>E</w:t>
      </w:r>
      <w:r w:rsidR="000473D8" w:rsidRPr="00D866A4">
        <w:rPr>
          <w:rFonts w:ascii="Arial" w:hAnsi="Arial" w:cs="Arial"/>
          <w:bCs/>
        </w:rPr>
        <w:t xml:space="preserve">arnings, </w:t>
      </w:r>
      <w:r w:rsidR="000473D8" w:rsidRPr="00D866A4">
        <w:rPr>
          <w:rFonts w:ascii="Arial" w:hAnsi="Arial" w:cs="Arial"/>
          <w:bCs/>
          <w:u w:val="single"/>
        </w:rPr>
        <w:t>L</w:t>
      </w:r>
      <w:r w:rsidR="000473D8" w:rsidRPr="00D866A4">
        <w:rPr>
          <w:rFonts w:ascii="Arial" w:hAnsi="Arial" w:cs="Arial"/>
          <w:bCs/>
        </w:rPr>
        <w:t xml:space="preserve">iquidity, and Interest Rate </w:t>
      </w:r>
      <w:r w:rsidR="000473D8" w:rsidRPr="00D866A4">
        <w:rPr>
          <w:rFonts w:ascii="Arial" w:hAnsi="Arial" w:cs="Arial"/>
          <w:bCs/>
          <w:u w:val="single"/>
        </w:rPr>
        <w:t>S</w:t>
      </w:r>
      <w:r w:rsidR="000473D8" w:rsidRPr="00D866A4">
        <w:rPr>
          <w:rFonts w:ascii="Arial" w:hAnsi="Arial" w:cs="Arial"/>
          <w:bCs/>
        </w:rPr>
        <w:t>ensitivity.  This rating system is designed to take into account and reflect all significant financial and operational factors examiners assess in their evaluation of a bank’s performance.  The ratings are assigned on a s</w:t>
      </w:r>
      <w:r w:rsidR="007024EB">
        <w:rPr>
          <w:rFonts w:ascii="Arial" w:hAnsi="Arial" w:cs="Arial"/>
          <w:bCs/>
        </w:rPr>
        <w:t>c</w:t>
      </w:r>
      <w:r w:rsidR="000473D8" w:rsidRPr="00D866A4">
        <w:rPr>
          <w:rFonts w:ascii="Arial" w:hAnsi="Arial" w:cs="Arial"/>
          <w:bCs/>
        </w:rPr>
        <w:t>ale from 1 to 5.  Banks with ratings of 1 or 2 are considered to present few, if any, supervisory concerns.  Banks with ratings of 3, 4, or 5 present increasing levels of supervisory concerns.</w:t>
      </w:r>
    </w:p>
    <w:p w:rsidR="00234E74" w:rsidRPr="00B83FFA" w:rsidRDefault="00234E74" w:rsidP="007024EB">
      <w:pPr>
        <w:jc w:val="both"/>
        <w:rPr>
          <w:rFonts w:ascii="Arial" w:hAnsi="Arial" w:cs="Arial"/>
        </w:rPr>
      </w:pPr>
    </w:p>
    <w:p w:rsidR="00234E74" w:rsidRPr="00E53230" w:rsidRDefault="00234E74" w:rsidP="007024EB">
      <w:pPr>
        <w:jc w:val="both"/>
        <w:rPr>
          <w:rFonts w:ascii="Arial" w:hAnsi="Arial" w:cs="Arial"/>
        </w:rPr>
      </w:pPr>
      <w:r w:rsidRPr="00B83FFA">
        <w:rPr>
          <w:rFonts w:ascii="Arial" w:hAnsi="Arial" w:cs="Arial"/>
          <w:b/>
          <w:bCs/>
        </w:rPr>
        <w:t>What we're doing to achieve results:</w:t>
      </w:r>
      <w:r w:rsidR="008B3A74">
        <w:rPr>
          <w:rFonts w:ascii="Arial" w:hAnsi="Arial" w:cs="Arial"/>
          <w:b/>
          <w:bCs/>
        </w:rPr>
        <w:t xml:space="preserve">  </w:t>
      </w:r>
      <w:r w:rsidR="00E53230">
        <w:rPr>
          <w:rFonts w:ascii="Arial" w:hAnsi="Arial" w:cs="Arial"/>
          <w:bCs/>
        </w:rPr>
        <w:t>All financial institutions chartered and licensed by the Iowa Division of Banking are examined within statutory timelines and assigned a CAMEL</w:t>
      </w:r>
      <w:r w:rsidR="007024EB">
        <w:rPr>
          <w:rFonts w:ascii="Arial" w:hAnsi="Arial" w:cs="Arial"/>
          <w:bCs/>
        </w:rPr>
        <w:t>S</w:t>
      </w:r>
      <w:r w:rsidR="00E53230">
        <w:rPr>
          <w:rFonts w:ascii="Arial" w:hAnsi="Arial" w:cs="Arial"/>
          <w:bCs/>
        </w:rPr>
        <w:t xml:space="preserve"> rating.</w:t>
      </w:r>
    </w:p>
    <w:p w:rsidR="00234E74" w:rsidRDefault="00234E74" w:rsidP="00234E74">
      <w:pPr>
        <w:jc w:val="both"/>
        <w:rPr>
          <w:rFonts w:ascii="Arial" w:hAnsi="Arial" w:cs="Arial"/>
        </w:rPr>
      </w:pPr>
      <w:r>
        <w:rPr>
          <w:rFonts w:ascii="Arial" w:hAnsi="Arial" w:cs="Arial"/>
        </w:rPr>
        <w:t xml:space="preserve"> </w:t>
      </w:r>
    </w:p>
    <w:tbl>
      <w:tblPr>
        <w:tblW w:w="10395" w:type="dxa"/>
        <w:jc w:val="center"/>
        <w:tblCellSpacing w:w="0" w:type="dxa"/>
        <w:tblInd w:w="563" w:type="dxa"/>
        <w:tblLayout w:type="fixed"/>
        <w:tblCellMar>
          <w:left w:w="0" w:type="dxa"/>
          <w:right w:w="0" w:type="dxa"/>
        </w:tblCellMar>
        <w:tblLook w:val="0000"/>
      </w:tblPr>
      <w:tblGrid>
        <w:gridCol w:w="10395"/>
      </w:tblGrid>
      <w:tr w:rsidR="00234E74">
        <w:trPr>
          <w:tblCellSpacing w:w="0" w:type="dxa"/>
          <w:jc w:val="center"/>
        </w:trPr>
        <w:tc>
          <w:tcPr>
            <w:tcW w:w="10395" w:type="dxa"/>
            <w:shd w:val="clear" w:color="auto" w:fill="FFFFFF"/>
          </w:tcPr>
          <w:p w:rsidR="00234E74" w:rsidRDefault="00234E74" w:rsidP="007024EB">
            <w:pPr>
              <w:shd w:val="clear" w:color="auto" w:fill="E6E6E6"/>
              <w:spacing w:line="320" w:lineRule="atLeast"/>
              <w:ind w:left="160" w:right="160"/>
              <w:jc w:val="center"/>
              <w:rPr>
                <w:rFonts w:ascii="Arial" w:hAnsi="Arial" w:cs="Arial"/>
                <w:b/>
                <w:bCs/>
                <w:i/>
                <w:iCs/>
                <w:color w:val="000000"/>
                <w:sz w:val="22"/>
                <w:szCs w:val="22"/>
              </w:rPr>
            </w:pPr>
            <w:r>
              <w:rPr>
                <w:rFonts w:ascii="Arial" w:hAnsi="Arial" w:cs="Arial"/>
                <w:b/>
                <w:bCs/>
                <w:i/>
                <w:iCs/>
                <w:color w:val="000000"/>
                <w:sz w:val="22"/>
                <w:szCs w:val="22"/>
              </w:rPr>
              <w:t>Results</w:t>
            </w:r>
          </w:p>
          <w:tbl>
            <w:tblPr>
              <w:tblW w:w="10657" w:type="dxa"/>
              <w:jc w:val="center"/>
              <w:tblCellSpacing w:w="0" w:type="dxa"/>
              <w:tblLayout w:type="fixed"/>
              <w:tblCellMar>
                <w:left w:w="0" w:type="dxa"/>
                <w:right w:w="0" w:type="dxa"/>
              </w:tblCellMar>
              <w:tblLook w:val="0000"/>
            </w:tblPr>
            <w:tblGrid>
              <w:gridCol w:w="4249"/>
              <w:gridCol w:w="6408"/>
            </w:tblGrid>
            <w:tr w:rsidR="00234E74">
              <w:trPr>
                <w:tblCellSpacing w:w="0" w:type="dxa"/>
                <w:jc w:val="center"/>
              </w:trPr>
              <w:tc>
                <w:tcPr>
                  <w:tcW w:w="4249" w:type="dxa"/>
                  <w:tcBorders>
                    <w:right w:val="dotted" w:sz="8" w:space="0" w:color="333333"/>
                  </w:tcBorders>
                  <w:tcMar>
                    <w:top w:w="200" w:type="dxa"/>
                    <w:left w:w="200" w:type="dxa"/>
                    <w:bottom w:w="200" w:type="dxa"/>
                    <w:right w:w="200" w:type="dxa"/>
                  </w:tcMar>
                </w:tcPr>
                <w:p w:rsidR="00234E74" w:rsidRDefault="00234E74" w:rsidP="00411D02">
                  <w:pPr>
                    <w:spacing w:line="320" w:lineRule="atLeast"/>
                    <w:rPr>
                      <w:rFonts w:ascii="Arial" w:hAnsi="Arial" w:cs="Arial"/>
                      <w:color w:val="000000"/>
                      <w:sz w:val="22"/>
                      <w:szCs w:val="22"/>
                    </w:rPr>
                  </w:pPr>
                  <w:r>
                    <w:rPr>
                      <w:rFonts w:ascii="Arial" w:hAnsi="Arial" w:cs="Arial"/>
                      <w:b/>
                      <w:bCs/>
                      <w:i/>
                      <w:iCs/>
                      <w:color w:val="000000"/>
                      <w:sz w:val="22"/>
                      <w:szCs w:val="22"/>
                    </w:rPr>
                    <w:t>Performance Measure</w:t>
                  </w:r>
                  <w:r>
                    <w:rPr>
                      <w:rFonts w:ascii="Arial" w:hAnsi="Arial" w:cs="Arial"/>
                      <w:i/>
                      <w:iCs/>
                      <w:color w:val="000000"/>
                      <w:sz w:val="22"/>
                      <w:szCs w:val="22"/>
                    </w:rPr>
                    <w:t>:</w:t>
                  </w:r>
                  <w:r>
                    <w:rPr>
                      <w:rFonts w:ascii="Arial" w:hAnsi="Arial" w:cs="Arial"/>
                      <w:color w:val="000000"/>
                      <w:sz w:val="22"/>
                      <w:szCs w:val="22"/>
                    </w:rPr>
                    <w:br/>
                  </w:r>
                  <w:r w:rsidR="003F5C53">
                    <w:rPr>
                      <w:rFonts w:ascii="Arial" w:hAnsi="Arial" w:cs="Arial"/>
                      <w:color w:val="000000"/>
                      <w:sz w:val="18"/>
                      <w:szCs w:val="18"/>
                    </w:rPr>
                    <w:t xml:space="preserve">Number </w:t>
                  </w:r>
                  <w:r w:rsidR="008B3A74">
                    <w:rPr>
                      <w:rFonts w:ascii="Arial" w:hAnsi="Arial" w:cs="Arial"/>
                      <w:color w:val="000000"/>
                      <w:sz w:val="18"/>
                      <w:szCs w:val="18"/>
                    </w:rPr>
                    <w:t>of chartered and licensed financial institutions operated in a safe and sound manner and in compliance with applicable laws and regulations based on risk profiles and statutory examination results.</w:t>
                  </w:r>
                  <w:r>
                    <w:rPr>
                      <w:rFonts w:ascii="Arial" w:hAnsi="Arial" w:cs="Arial"/>
                      <w:color w:val="000000"/>
                      <w:sz w:val="22"/>
                      <w:szCs w:val="22"/>
                    </w:rPr>
                    <w:br/>
                  </w:r>
                </w:p>
                <w:p w:rsidR="00234E74" w:rsidRDefault="00234E74" w:rsidP="00411D02">
                  <w:pPr>
                    <w:spacing w:line="320" w:lineRule="atLeast"/>
                    <w:rPr>
                      <w:rFonts w:ascii="Arial" w:hAnsi="Arial" w:cs="Arial"/>
                      <w:i/>
                      <w:iCs/>
                      <w:color w:val="000000"/>
                      <w:sz w:val="22"/>
                      <w:szCs w:val="22"/>
                    </w:rPr>
                  </w:pPr>
                  <w:r>
                    <w:rPr>
                      <w:rFonts w:ascii="Arial" w:hAnsi="Arial" w:cs="Arial"/>
                      <w:b/>
                      <w:bCs/>
                      <w:i/>
                      <w:iCs/>
                      <w:color w:val="000000"/>
                      <w:sz w:val="22"/>
                      <w:szCs w:val="22"/>
                    </w:rPr>
                    <w:t>Performance Goal/Target</w:t>
                  </w:r>
                  <w:r>
                    <w:rPr>
                      <w:rFonts w:ascii="Arial" w:hAnsi="Arial" w:cs="Arial"/>
                      <w:i/>
                      <w:iCs/>
                      <w:color w:val="000000"/>
                      <w:sz w:val="22"/>
                      <w:szCs w:val="22"/>
                    </w:rPr>
                    <w:t>:</w:t>
                  </w:r>
                </w:p>
                <w:p w:rsidR="00234E74" w:rsidRDefault="001A60B7" w:rsidP="00411D02">
                  <w:pPr>
                    <w:spacing w:line="320" w:lineRule="atLeast"/>
                    <w:rPr>
                      <w:rFonts w:ascii="Arial" w:hAnsi="Arial" w:cs="Arial"/>
                      <w:color w:val="000000"/>
                      <w:sz w:val="22"/>
                      <w:szCs w:val="22"/>
                    </w:rPr>
                  </w:pPr>
                  <w:r>
                    <w:rPr>
                      <w:rFonts w:ascii="Arial" w:hAnsi="Arial" w:cs="Arial"/>
                      <w:color w:val="000000"/>
                      <w:sz w:val="18"/>
                      <w:szCs w:val="18"/>
                    </w:rPr>
                    <w:t>100% of chartered and licensed financial institutions are operated in a safe and sound manner and in compliance with applicable laws and regulations.</w:t>
                  </w:r>
                  <w:r w:rsidR="00234E74">
                    <w:rPr>
                      <w:rFonts w:ascii="Arial" w:hAnsi="Arial" w:cs="Arial"/>
                      <w:color w:val="000000"/>
                      <w:sz w:val="22"/>
                      <w:szCs w:val="22"/>
                    </w:rPr>
                    <w:br/>
                  </w:r>
                </w:p>
                <w:p w:rsidR="00234E74" w:rsidRPr="007024EB" w:rsidRDefault="00234E74" w:rsidP="00411D02">
                  <w:pPr>
                    <w:spacing w:line="320" w:lineRule="atLeast"/>
                    <w:rPr>
                      <w:rFonts w:ascii="Arial" w:hAnsi="Arial" w:cs="Arial"/>
                      <w:iCs/>
                      <w:color w:val="000000"/>
                      <w:sz w:val="22"/>
                      <w:szCs w:val="22"/>
                    </w:rPr>
                  </w:pPr>
                </w:p>
                <w:p w:rsidR="00234E74" w:rsidRDefault="00234E74" w:rsidP="00411D02">
                  <w:pPr>
                    <w:spacing w:line="320" w:lineRule="atLeast"/>
                    <w:rPr>
                      <w:rFonts w:ascii="Arial" w:eastAsia="Arial Unicode MS" w:hAnsi="Arial" w:cs="Arial"/>
                      <w:color w:val="000000"/>
                      <w:sz w:val="22"/>
                      <w:szCs w:val="22"/>
                    </w:rPr>
                  </w:pPr>
                </w:p>
              </w:tc>
              <w:tc>
                <w:tcPr>
                  <w:tcW w:w="6408" w:type="dxa"/>
                  <w:tcMar>
                    <w:top w:w="200" w:type="dxa"/>
                    <w:left w:w="200" w:type="dxa"/>
                    <w:bottom w:w="200" w:type="dxa"/>
                    <w:right w:w="200" w:type="dxa"/>
                  </w:tcMar>
                </w:tcPr>
                <w:p w:rsidR="00234E74" w:rsidRPr="000473D8" w:rsidRDefault="00DB6DD6" w:rsidP="00411D02">
                  <w:pPr>
                    <w:spacing w:line="320" w:lineRule="atLeast"/>
                    <w:rPr>
                      <w:rFonts w:ascii="Arial" w:eastAsia="Arial Unicode MS" w:hAnsi="Arial" w:cs="Arial"/>
                      <w:color w:val="000000"/>
                      <w:sz w:val="22"/>
                      <w:szCs w:val="22"/>
                    </w:rPr>
                  </w:pPr>
                  <w:r>
                    <w:rPr>
                      <w:rFonts w:ascii="Arial" w:eastAsia="Arial Unicode MS" w:hAnsi="Arial" w:cs="Arial"/>
                      <w:noProof/>
                      <w:color w:val="000000"/>
                      <w:sz w:val="22"/>
                      <w:szCs w:val="22"/>
                    </w:rPr>
                    <w:drawing>
                      <wp:inline distT="0" distB="0" distL="0" distR="0">
                        <wp:extent cx="3819525" cy="2581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3819525" cy="2581275"/>
                                </a:xfrm>
                                <a:prstGeom prst="rect">
                                  <a:avLst/>
                                </a:prstGeom>
                                <a:noFill/>
                                <a:ln w="9525">
                                  <a:noFill/>
                                  <a:miter lim="800000"/>
                                  <a:headEnd/>
                                  <a:tailEnd/>
                                </a:ln>
                              </pic:spPr>
                            </pic:pic>
                          </a:graphicData>
                        </a:graphic>
                      </wp:inline>
                    </w:drawing>
                  </w:r>
                </w:p>
              </w:tc>
            </w:tr>
          </w:tbl>
          <w:p w:rsidR="00234E74" w:rsidRDefault="00234E74" w:rsidP="00411D02">
            <w:pPr>
              <w:shd w:val="clear" w:color="auto" w:fill="E6E6E6"/>
              <w:spacing w:line="320" w:lineRule="atLeast"/>
              <w:ind w:left="160" w:right="160"/>
              <w:rPr>
                <w:rFonts w:ascii="Arial" w:eastAsia="Arial Unicode MS" w:hAnsi="Arial" w:cs="Arial"/>
                <w:color w:val="000000"/>
                <w:sz w:val="22"/>
                <w:szCs w:val="22"/>
              </w:rPr>
            </w:pPr>
          </w:p>
        </w:tc>
      </w:tr>
      <w:tr w:rsidR="00234E74">
        <w:trPr>
          <w:tblCellSpacing w:w="0" w:type="dxa"/>
          <w:jc w:val="center"/>
        </w:trPr>
        <w:tc>
          <w:tcPr>
            <w:tcW w:w="10395" w:type="dxa"/>
            <w:shd w:val="clear" w:color="auto" w:fill="FFFFFF"/>
          </w:tcPr>
          <w:p w:rsidR="00234E74" w:rsidRPr="00D866A4" w:rsidRDefault="00234E74" w:rsidP="007024EB">
            <w:pPr>
              <w:pStyle w:val="NormalWeb"/>
              <w:ind w:left="113" w:right="157" w:hanging="18"/>
              <w:jc w:val="both"/>
              <w:rPr>
                <w:rFonts w:ascii="Arial" w:hAnsi="Arial" w:cs="Arial"/>
                <w:bCs/>
              </w:rPr>
            </w:pPr>
            <w:r>
              <w:rPr>
                <w:rFonts w:ascii="Arial" w:hAnsi="Arial" w:cs="Arial"/>
                <w:b/>
                <w:bCs/>
              </w:rPr>
              <w:t xml:space="preserve">What was achieved: </w:t>
            </w:r>
            <w:r w:rsidR="00D866A4">
              <w:rPr>
                <w:rFonts w:ascii="Arial" w:hAnsi="Arial" w:cs="Arial"/>
                <w:bCs/>
              </w:rPr>
              <w:t>100% of chartered and licensed financial institutions are operated in a safe and sound manner and in compliance with applicable laws and regulations.</w:t>
            </w:r>
          </w:p>
          <w:p w:rsidR="00234E74" w:rsidRDefault="00234E74" w:rsidP="00411D02">
            <w:pPr>
              <w:pStyle w:val="NormalWeb"/>
              <w:rPr>
                <w:rFonts w:ascii="Arial" w:hAnsi="Arial" w:cs="Arial"/>
                <w:b/>
                <w:bCs/>
              </w:rPr>
            </w:pPr>
          </w:p>
        </w:tc>
      </w:tr>
      <w:tr w:rsidR="00234E74">
        <w:trPr>
          <w:tblCellSpacing w:w="0" w:type="dxa"/>
          <w:jc w:val="center"/>
        </w:trPr>
        <w:tc>
          <w:tcPr>
            <w:tcW w:w="10395" w:type="dxa"/>
            <w:shd w:val="clear" w:color="auto" w:fill="FFFFFF"/>
          </w:tcPr>
          <w:p w:rsidR="00234E74" w:rsidRPr="001931DB" w:rsidRDefault="00234E74" w:rsidP="007024EB">
            <w:pPr>
              <w:pStyle w:val="NormalWeb"/>
              <w:ind w:left="68" w:right="157"/>
              <w:rPr>
                <w:rFonts w:ascii="Arial" w:hAnsi="Arial" w:cs="Arial"/>
                <w:b/>
                <w:bCs/>
                <w:sz w:val="18"/>
                <w:szCs w:val="18"/>
              </w:rPr>
            </w:pPr>
            <w:r>
              <w:rPr>
                <w:rFonts w:ascii="Arial" w:hAnsi="Arial" w:cs="Arial"/>
                <w:b/>
                <w:bCs/>
              </w:rPr>
              <w:lastRenderedPageBreak/>
              <w:t>Data Sources:</w:t>
            </w:r>
            <w:r w:rsidR="001931DB">
              <w:rPr>
                <w:rFonts w:ascii="Arial" w:hAnsi="Arial" w:cs="Arial"/>
                <w:b/>
                <w:bCs/>
              </w:rPr>
              <w:t xml:space="preserve">  </w:t>
            </w:r>
            <w:r w:rsidR="001931DB" w:rsidRPr="003F5C53">
              <w:rPr>
                <w:rFonts w:ascii="Arial" w:hAnsi="Arial" w:cs="Arial"/>
                <w:bCs/>
              </w:rPr>
              <w:t>Internal data base.</w:t>
            </w:r>
          </w:p>
        </w:tc>
      </w:tr>
      <w:tr w:rsidR="00234E74">
        <w:trPr>
          <w:tblCellSpacing w:w="0" w:type="dxa"/>
          <w:jc w:val="center"/>
        </w:trPr>
        <w:tc>
          <w:tcPr>
            <w:tcW w:w="10395" w:type="dxa"/>
            <w:shd w:val="clear" w:color="auto" w:fill="FFFFFF"/>
          </w:tcPr>
          <w:p w:rsidR="00234E74" w:rsidRPr="00C82D7B" w:rsidRDefault="00234E74" w:rsidP="007024EB">
            <w:pPr>
              <w:pStyle w:val="NormalWeb"/>
              <w:ind w:left="95" w:right="157"/>
              <w:jc w:val="both"/>
              <w:rPr>
                <w:rFonts w:ascii="Arial" w:hAnsi="Arial" w:cs="Arial"/>
                <w:b/>
                <w:bCs/>
                <w:sz w:val="18"/>
                <w:szCs w:val="18"/>
              </w:rPr>
            </w:pPr>
            <w:r>
              <w:rPr>
                <w:rFonts w:ascii="Arial" w:hAnsi="Arial" w:cs="Arial"/>
                <w:b/>
                <w:bCs/>
              </w:rPr>
              <w:t>Resources:</w:t>
            </w:r>
            <w:r w:rsidR="00C82D7B">
              <w:rPr>
                <w:rFonts w:ascii="Arial" w:hAnsi="Arial" w:cs="Arial"/>
                <w:b/>
                <w:bCs/>
              </w:rPr>
              <w:t xml:space="preserve">  </w:t>
            </w:r>
            <w:r w:rsidR="00C82D7B" w:rsidRPr="003F5C53">
              <w:rPr>
                <w:rFonts w:ascii="Arial" w:hAnsi="Arial" w:cs="Arial"/>
                <w:bCs/>
              </w:rPr>
              <w:t>These activities are funded through an initial general fund appropriation which is repaid by the financial services industry on a quarterly basis.  The Iowa Division of Banking is no cost to the general fund.  Total funding for these services is $6,364,545 and 65.0 ftes.</w:t>
            </w:r>
          </w:p>
        </w:tc>
      </w:tr>
    </w:tbl>
    <w:p w:rsidR="00234E74" w:rsidRDefault="00234E74" w:rsidP="00234E74">
      <w:pPr>
        <w:jc w:val="both"/>
        <w:rPr>
          <w:rFonts w:ascii="Arial" w:hAnsi="Arial" w:cs="Arial"/>
        </w:rPr>
      </w:pPr>
    </w:p>
    <w:p w:rsidR="00DE1036" w:rsidRDefault="00DE1036" w:rsidP="00234E74">
      <w:pPr>
        <w:jc w:val="both"/>
        <w:rPr>
          <w:rFonts w:ascii="Arial" w:hAnsi="Arial" w:cs="Arial"/>
        </w:rPr>
        <w:sectPr w:rsidR="00DE1036" w:rsidSect="000C6068">
          <w:pgSz w:w="12240" w:h="15840" w:code="1"/>
          <w:pgMar w:top="864" w:right="1080" w:bottom="1440" w:left="1080" w:header="720" w:footer="663" w:gutter="0"/>
          <w:cols w:space="720"/>
          <w:noEndnote/>
        </w:sectPr>
      </w:pPr>
    </w:p>
    <w:p w:rsidR="00234E74" w:rsidRDefault="00234E74" w:rsidP="00234E74">
      <w:pPr>
        <w:jc w:val="both"/>
        <w:rPr>
          <w:rFonts w:ascii="Arial" w:hAnsi="Arial" w:cs="Arial"/>
        </w:rPr>
      </w:pPr>
    </w:p>
    <w:p w:rsidR="00234E74" w:rsidRPr="00503C3B" w:rsidRDefault="00234E74" w:rsidP="00234E74">
      <w:pPr>
        <w:pStyle w:val="Title"/>
      </w:pPr>
      <w:r w:rsidRPr="00503C3B">
        <w:t>AGENCY PERFORMANCE PLAN RESULTS</w:t>
      </w:r>
    </w:p>
    <w:p w:rsidR="00234E74" w:rsidRPr="00503C3B" w:rsidRDefault="00234E74" w:rsidP="00234E74">
      <w:pPr>
        <w:jc w:val="center"/>
        <w:rPr>
          <w:rFonts w:ascii="Arial" w:hAnsi="Arial" w:cs="Arial"/>
          <w:b/>
          <w:bCs/>
          <w:sz w:val="28"/>
        </w:rPr>
      </w:pPr>
      <w:r w:rsidRPr="00503C3B">
        <w:rPr>
          <w:rFonts w:ascii="Arial" w:hAnsi="Arial" w:cs="Arial"/>
          <w:b/>
          <w:bCs/>
          <w:sz w:val="28"/>
        </w:rPr>
        <w:t>FY 2005</w:t>
      </w:r>
    </w:p>
    <w:p w:rsidR="00234E74" w:rsidRPr="00503C3B" w:rsidRDefault="00234E74" w:rsidP="00234E74">
      <w:pPr>
        <w:jc w:val="center"/>
        <w:rPr>
          <w:rFonts w:ascii="Arial" w:hAnsi="Arial" w:cs="Arial"/>
          <w:b/>
          <w:bCs/>
        </w:rPr>
      </w:pPr>
    </w:p>
    <w:tbl>
      <w:tblPr>
        <w:tblW w:w="13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2358"/>
        <w:gridCol w:w="1620"/>
        <w:gridCol w:w="6264"/>
      </w:tblGrid>
      <w:tr w:rsidR="00234E74" w:rsidRPr="00503C3B">
        <w:tblPrEx>
          <w:tblCellMar>
            <w:top w:w="0" w:type="dxa"/>
            <w:bottom w:w="0" w:type="dxa"/>
          </w:tblCellMar>
        </w:tblPrEx>
        <w:trPr>
          <w:cantSplit/>
        </w:trPr>
        <w:tc>
          <w:tcPr>
            <w:tcW w:w="13752" w:type="dxa"/>
            <w:gridSpan w:val="4"/>
          </w:tcPr>
          <w:p w:rsidR="00234E74" w:rsidRPr="00503C3B" w:rsidRDefault="00234E74" w:rsidP="00411D02">
            <w:pPr>
              <w:rPr>
                <w:rFonts w:ascii="Arial" w:hAnsi="Arial" w:cs="Arial"/>
                <w:b/>
                <w:bCs/>
                <w:sz w:val="20"/>
              </w:rPr>
            </w:pPr>
            <w:r w:rsidRPr="00503C3B">
              <w:rPr>
                <w:rFonts w:ascii="Arial" w:hAnsi="Arial" w:cs="Arial"/>
                <w:b/>
                <w:bCs/>
                <w:sz w:val="20"/>
              </w:rPr>
              <w:t xml:space="preserve">Name of Agency: </w:t>
            </w:r>
            <w:r w:rsidR="007024EB">
              <w:rPr>
                <w:rFonts w:ascii="Arial" w:hAnsi="Arial" w:cs="Arial"/>
                <w:b/>
                <w:bCs/>
                <w:sz w:val="20"/>
              </w:rPr>
              <w:t xml:space="preserve"> </w:t>
            </w:r>
            <w:r w:rsidR="001931DB">
              <w:rPr>
                <w:rFonts w:ascii="Arial" w:hAnsi="Arial" w:cs="Arial"/>
                <w:b/>
                <w:bCs/>
                <w:sz w:val="20"/>
              </w:rPr>
              <w:t>DEPARTMENT OF COMMERCE – BANKING DIVISION</w:t>
            </w:r>
          </w:p>
        </w:tc>
      </w:tr>
      <w:tr w:rsidR="00234E74" w:rsidRPr="00503C3B">
        <w:tblPrEx>
          <w:tblCellMar>
            <w:top w:w="0" w:type="dxa"/>
            <w:bottom w:w="0" w:type="dxa"/>
          </w:tblCellMar>
        </w:tblPrEx>
        <w:trPr>
          <w:cantSplit/>
        </w:trPr>
        <w:tc>
          <w:tcPr>
            <w:tcW w:w="13752" w:type="dxa"/>
            <w:gridSpan w:val="4"/>
          </w:tcPr>
          <w:p w:rsidR="00234E74" w:rsidRPr="00503C3B" w:rsidRDefault="00234E74" w:rsidP="00411D02">
            <w:pPr>
              <w:rPr>
                <w:rFonts w:ascii="Arial" w:hAnsi="Arial" w:cs="Arial"/>
                <w:b/>
                <w:bCs/>
                <w:sz w:val="20"/>
              </w:rPr>
            </w:pPr>
          </w:p>
        </w:tc>
      </w:tr>
      <w:tr w:rsidR="00234E74" w:rsidRPr="00503C3B">
        <w:tblPrEx>
          <w:tblCellMar>
            <w:top w:w="0" w:type="dxa"/>
            <w:bottom w:w="0" w:type="dxa"/>
          </w:tblCellMar>
        </w:tblPrEx>
        <w:trPr>
          <w:cantSplit/>
        </w:trPr>
        <w:tc>
          <w:tcPr>
            <w:tcW w:w="13752" w:type="dxa"/>
            <w:gridSpan w:val="4"/>
          </w:tcPr>
          <w:p w:rsidR="00234E74" w:rsidRPr="00503C3B" w:rsidRDefault="00234E74" w:rsidP="00411D02">
            <w:pPr>
              <w:rPr>
                <w:rFonts w:ascii="Arial" w:hAnsi="Arial" w:cs="Arial"/>
                <w:b/>
                <w:bCs/>
                <w:sz w:val="20"/>
              </w:rPr>
            </w:pPr>
            <w:r w:rsidRPr="00503C3B">
              <w:rPr>
                <w:rFonts w:ascii="Arial" w:hAnsi="Arial" w:cs="Arial"/>
                <w:b/>
                <w:bCs/>
                <w:sz w:val="20"/>
              </w:rPr>
              <w:t xml:space="preserve">Agency </w:t>
            </w:r>
            <w:smartTag w:uri="urn:schemas-microsoft-com:office:smarttags" w:element="City">
              <w:r w:rsidRPr="00503C3B">
                <w:rPr>
                  <w:rFonts w:ascii="Arial" w:hAnsi="Arial" w:cs="Arial"/>
                  <w:b/>
                  <w:bCs/>
                  <w:sz w:val="20"/>
                </w:rPr>
                <w:t>Mission</w:t>
              </w:r>
            </w:smartTag>
            <w:r w:rsidRPr="00503C3B">
              <w:rPr>
                <w:rFonts w:ascii="Arial" w:hAnsi="Arial" w:cs="Arial"/>
                <w:b/>
                <w:bCs/>
                <w:sz w:val="20"/>
              </w:rPr>
              <w:t>:</w:t>
            </w:r>
            <w:r w:rsidR="001931DB">
              <w:rPr>
                <w:rFonts w:ascii="Arial" w:hAnsi="Arial" w:cs="Arial"/>
                <w:b/>
                <w:bCs/>
                <w:sz w:val="20"/>
              </w:rPr>
              <w:t xml:space="preserve">  Protect the interests of those doing business with banks and other financial services providers by ensuring safety, soundness</w:t>
            </w:r>
            <w:r w:rsidR="007024EB">
              <w:rPr>
                <w:rFonts w:ascii="Arial" w:hAnsi="Arial" w:cs="Arial"/>
                <w:b/>
                <w:bCs/>
                <w:sz w:val="20"/>
              </w:rPr>
              <w:t>,</w:t>
            </w:r>
            <w:r w:rsidR="001931DB">
              <w:rPr>
                <w:rFonts w:ascii="Arial" w:hAnsi="Arial" w:cs="Arial"/>
                <w:b/>
                <w:bCs/>
                <w:sz w:val="20"/>
              </w:rPr>
              <w:t xml:space="preserve"> and adherence to the laws and regulations of </w:t>
            </w:r>
            <w:smartTag w:uri="urn:schemas-microsoft-com:office:smarttags" w:element="place">
              <w:smartTag w:uri="urn:schemas-microsoft-com:office:smarttags" w:element="State">
                <w:r w:rsidR="001931DB">
                  <w:rPr>
                    <w:rFonts w:ascii="Arial" w:hAnsi="Arial" w:cs="Arial"/>
                    <w:b/>
                    <w:bCs/>
                    <w:sz w:val="20"/>
                  </w:rPr>
                  <w:t>Iowa</w:t>
                </w:r>
              </w:smartTag>
            </w:smartTag>
            <w:r w:rsidR="001931DB">
              <w:rPr>
                <w:rFonts w:ascii="Arial" w:hAnsi="Arial" w:cs="Arial"/>
                <w:b/>
                <w:bCs/>
                <w:sz w:val="20"/>
              </w:rPr>
              <w:t>.</w:t>
            </w:r>
          </w:p>
        </w:tc>
      </w:tr>
      <w:tr w:rsidR="00234E74" w:rsidRPr="00503C3B">
        <w:tblPrEx>
          <w:tblCellMar>
            <w:top w:w="0" w:type="dxa"/>
            <w:bottom w:w="0" w:type="dxa"/>
          </w:tblCellMar>
        </w:tblPrEx>
        <w:trPr>
          <w:cantSplit/>
        </w:trPr>
        <w:tc>
          <w:tcPr>
            <w:tcW w:w="13752" w:type="dxa"/>
            <w:gridSpan w:val="4"/>
            <w:tcBorders>
              <w:bottom w:val="single" w:sz="4" w:space="0" w:color="auto"/>
            </w:tcBorders>
          </w:tcPr>
          <w:p w:rsidR="00234E74" w:rsidRPr="00503C3B" w:rsidRDefault="00234E74" w:rsidP="00411D02">
            <w:pPr>
              <w:rPr>
                <w:rFonts w:ascii="Arial" w:hAnsi="Arial" w:cs="Arial"/>
                <w:b/>
                <w:bCs/>
                <w:sz w:val="20"/>
              </w:rPr>
            </w:pPr>
            <w:r w:rsidRPr="00503C3B">
              <w:rPr>
                <w:rFonts w:ascii="Arial" w:hAnsi="Arial" w:cs="Arial"/>
                <w:b/>
                <w:bCs/>
                <w:sz w:val="20"/>
              </w:rPr>
              <w:t>Core Function:</w:t>
            </w:r>
            <w:r w:rsidR="001931DB">
              <w:rPr>
                <w:rFonts w:ascii="Arial" w:hAnsi="Arial" w:cs="Arial"/>
                <w:b/>
                <w:bCs/>
                <w:sz w:val="20"/>
              </w:rPr>
              <w:t xml:space="preserve">  Regulation &amp; Compliance</w:t>
            </w:r>
          </w:p>
        </w:tc>
      </w:tr>
      <w:tr w:rsidR="00234E74" w:rsidRPr="00503C3B">
        <w:tblPrEx>
          <w:tblCellMar>
            <w:top w:w="0" w:type="dxa"/>
            <w:bottom w:w="0" w:type="dxa"/>
          </w:tblCellMar>
        </w:tblPrEx>
        <w:tc>
          <w:tcPr>
            <w:tcW w:w="3510" w:type="dxa"/>
            <w:shd w:val="pct20" w:color="auto" w:fill="auto"/>
          </w:tcPr>
          <w:p w:rsidR="00234E74" w:rsidRPr="00503C3B" w:rsidRDefault="00234E74" w:rsidP="00411D02">
            <w:pPr>
              <w:jc w:val="center"/>
              <w:rPr>
                <w:rFonts w:ascii="Arial" w:hAnsi="Arial" w:cs="Arial"/>
                <w:b/>
                <w:bCs/>
                <w:sz w:val="20"/>
              </w:rPr>
            </w:pPr>
            <w:r w:rsidRPr="00503C3B">
              <w:rPr>
                <w:rFonts w:ascii="Arial" w:hAnsi="Arial" w:cs="Arial"/>
                <w:b/>
                <w:bCs/>
                <w:sz w:val="20"/>
              </w:rPr>
              <w:t>Performance Measure (</w:t>
            </w:r>
            <w:r w:rsidRPr="00503C3B">
              <w:rPr>
                <w:rFonts w:ascii="Arial" w:hAnsi="Arial" w:cs="Arial"/>
                <w:b/>
                <w:bCs/>
                <w:sz w:val="16"/>
              </w:rPr>
              <w:t>Outcome)</w:t>
            </w:r>
          </w:p>
        </w:tc>
        <w:tc>
          <w:tcPr>
            <w:tcW w:w="2358" w:type="dxa"/>
            <w:shd w:val="pct20" w:color="auto" w:fill="auto"/>
          </w:tcPr>
          <w:p w:rsidR="00234E74" w:rsidRPr="00503C3B" w:rsidRDefault="00234E74" w:rsidP="00411D02">
            <w:pPr>
              <w:jc w:val="center"/>
              <w:rPr>
                <w:rFonts w:ascii="Arial" w:hAnsi="Arial" w:cs="Arial"/>
                <w:b/>
                <w:bCs/>
                <w:sz w:val="20"/>
              </w:rPr>
            </w:pPr>
            <w:r w:rsidRPr="00503C3B">
              <w:rPr>
                <w:rFonts w:ascii="Arial" w:hAnsi="Arial" w:cs="Arial"/>
                <w:b/>
                <w:bCs/>
                <w:sz w:val="20"/>
              </w:rPr>
              <w:t>Performance Target</w:t>
            </w:r>
          </w:p>
        </w:tc>
        <w:tc>
          <w:tcPr>
            <w:tcW w:w="1620" w:type="dxa"/>
            <w:shd w:val="pct20" w:color="auto" w:fill="auto"/>
          </w:tcPr>
          <w:p w:rsidR="00234E74" w:rsidRPr="00503C3B" w:rsidRDefault="00234E74" w:rsidP="00411D02">
            <w:pPr>
              <w:jc w:val="center"/>
              <w:rPr>
                <w:rFonts w:ascii="Arial" w:hAnsi="Arial" w:cs="Arial"/>
                <w:b/>
                <w:bCs/>
                <w:sz w:val="20"/>
              </w:rPr>
            </w:pPr>
            <w:r w:rsidRPr="00503C3B">
              <w:rPr>
                <w:rFonts w:ascii="Arial" w:hAnsi="Arial" w:cs="Arial"/>
                <w:b/>
                <w:bCs/>
                <w:sz w:val="20"/>
              </w:rPr>
              <w:t>Performance Actual</w:t>
            </w:r>
          </w:p>
        </w:tc>
        <w:tc>
          <w:tcPr>
            <w:tcW w:w="6264" w:type="dxa"/>
            <w:shd w:val="pct20" w:color="auto" w:fill="auto"/>
          </w:tcPr>
          <w:p w:rsidR="00234E74" w:rsidRPr="00503C3B" w:rsidRDefault="00234E74" w:rsidP="00411D02">
            <w:pPr>
              <w:jc w:val="center"/>
              <w:rPr>
                <w:rFonts w:ascii="Arial" w:hAnsi="Arial" w:cs="Arial"/>
                <w:b/>
                <w:bCs/>
                <w:sz w:val="20"/>
              </w:rPr>
            </w:pPr>
            <w:r w:rsidRPr="00503C3B">
              <w:rPr>
                <w:rFonts w:ascii="Arial" w:hAnsi="Arial" w:cs="Arial"/>
                <w:b/>
                <w:bCs/>
                <w:sz w:val="20"/>
              </w:rPr>
              <w:t>Performance Comments &amp; Analysis</w:t>
            </w:r>
          </w:p>
        </w:tc>
      </w:tr>
      <w:tr w:rsidR="00234E74" w:rsidRPr="00503C3B">
        <w:tblPrEx>
          <w:tblCellMar>
            <w:top w:w="0" w:type="dxa"/>
            <w:bottom w:w="0" w:type="dxa"/>
          </w:tblCellMar>
        </w:tblPrEx>
        <w:tc>
          <w:tcPr>
            <w:tcW w:w="3510" w:type="dxa"/>
          </w:tcPr>
          <w:p w:rsidR="00234E74" w:rsidRPr="00503C3B" w:rsidRDefault="001931DB" w:rsidP="00411D02">
            <w:pPr>
              <w:rPr>
                <w:rFonts w:ascii="Arial" w:hAnsi="Arial" w:cs="Arial"/>
                <w:b/>
                <w:bCs/>
                <w:sz w:val="20"/>
              </w:rPr>
            </w:pPr>
            <w:r>
              <w:rPr>
                <w:rFonts w:ascii="Arial" w:hAnsi="Arial" w:cs="Arial"/>
                <w:b/>
                <w:bCs/>
                <w:sz w:val="20"/>
              </w:rPr>
              <w:t xml:space="preserve">All financial institutions chartered and licensed by the </w:t>
            </w:r>
            <w:smartTag w:uri="urn:schemas-microsoft-com:office:smarttags" w:element="place">
              <w:smartTag w:uri="urn:schemas-microsoft-com:office:smarttags" w:element="State">
                <w:r>
                  <w:rPr>
                    <w:rFonts w:ascii="Arial" w:hAnsi="Arial" w:cs="Arial"/>
                    <w:b/>
                    <w:bCs/>
                    <w:sz w:val="20"/>
                  </w:rPr>
                  <w:t>Iowa</w:t>
                </w:r>
              </w:smartTag>
            </w:smartTag>
            <w:r>
              <w:rPr>
                <w:rFonts w:ascii="Arial" w:hAnsi="Arial" w:cs="Arial"/>
                <w:b/>
                <w:bCs/>
                <w:sz w:val="20"/>
              </w:rPr>
              <w:t xml:space="preserve"> Division of Banking are operated in a safe and sound manner and in compliance with applicable laws and regulations.</w:t>
            </w:r>
          </w:p>
        </w:tc>
        <w:tc>
          <w:tcPr>
            <w:tcW w:w="2358" w:type="dxa"/>
          </w:tcPr>
          <w:p w:rsidR="00234E74" w:rsidRPr="00503C3B" w:rsidRDefault="001931DB" w:rsidP="00411D02">
            <w:pPr>
              <w:rPr>
                <w:rFonts w:ascii="Arial" w:hAnsi="Arial" w:cs="Arial"/>
                <w:b/>
                <w:bCs/>
                <w:sz w:val="20"/>
              </w:rPr>
            </w:pPr>
            <w:r>
              <w:rPr>
                <w:rFonts w:ascii="Arial" w:hAnsi="Arial" w:cs="Arial"/>
                <w:b/>
                <w:bCs/>
                <w:sz w:val="20"/>
              </w:rPr>
              <w:t>100%</w:t>
            </w:r>
          </w:p>
        </w:tc>
        <w:tc>
          <w:tcPr>
            <w:tcW w:w="1620" w:type="dxa"/>
          </w:tcPr>
          <w:p w:rsidR="00234E74" w:rsidRPr="00503C3B" w:rsidRDefault="001931DB" w:rsidP="00411D02">
            <w:pPr>
              <w:rPr>
                <w:rFonts w:ascii="Arial" w:hAnsi="Arial" w:cs="Arial"/>
                <w:b/>
                <w:bCs/>
                <w:sz w:val="20"/>
              </w:rPr>
            </w:pPr>
            <w:r>
              <w:rPr>
                <w:rFonts w:ascii="Arial" w:hAnsi="Arial" w:cs="Arial"/>
                <w:b/>
                <w:bCs/>
                <w:sz w:val="20"/>
              </w:rPr>
              <w:t>100%</w:t>
            </w:r>
          </w:p>
        </w:tc>
        <w:tc>
          <w:tcPr>
            <w:tcW w:w="6264" w:type="dxa"/>
          </w:tcPr>
          <w:p w:rsidR="00234E74" w:rsidRPr="00503C3B" w:rsidRDefault="00234E74" w:rsidP="00411D02">
            <w:pPr>
              <w:rPr>
                <w:rFonts w:ascii="Arial" w:hAnsi="Arial" w:cs="Arial"/>
                <w:b/>
                <w:bCs/>
                <w:sz w:val="20"/>
              </w:rPr>
            </w:pPr>
            <w:r w:rsidRPr="00503C3B">
              <w:rPr>
                <w:rFonts w:ascii="Arial" w:hAnsi="Arial" w:cs="Arial"/>
                <w:b/>
                <w:bCs/>
                <w:sz w:val="20"/>
              </w:rPr>
              <w:t>What Occurred:</w:t>
            </w:r>
            <w:r w:rsidR="001931DB">
              <w:rPr>
                <w:rFonts w:ascii="Arial" w:hAnsi="Arial" w:cs="Arial"/>
                <w:b/>
                <w:bCs/>
                <w:sz w:val="20"/>
              </w:rPr>
              <w:t xml:space="preserve">  100% of chartered and licensed financial institutions are operated in a safe and sound manner in compliance with applicable laws and regulations protecting the citizens of </w:t>
            </w:r>
            <w:smartTag w:uri="urn:schemas-microsoft-com:office:smarttags" w:element="place">
              <w:smartTag w:uri="urn:schemas-microsoft-com:office:smarttags" w:element="State">
                <w:r w:rsidR="001931DB">
                  <w:rPr>
                    <w:rFonts w:ascii="Arial" w:hAnsi="Arial" w:cs="Arial"/>
                    <w:b/>
                    <w:bCs/>
                    <w:sz w:val="20"/>
                  </w:rPr>
                  <w:t>Iowa</w:t>
                </w:r>
              </w:smartTag>
            </w:smartTag>
            <w:r w:rsidR="001931DB">
              <w:rPr>
                <w:rFonts w:ascii="Arial" w:hAnsi="Arial" w:cs="Arial"/>
                <w:b/>
                <w:bCs/>
                <w:sz w:val="20"/>
              </w:rPr>
              <w:t>.</w:t>
            </w:r>
          </w:p>
          <w:p w:rsidR="00234E74" w:rsidRPr="00503C3B" w:rsidRDefault="00234E74" w:rsidP="00411D02">
            <w:pPr>
              <w:rPr>
                <w:rFonts w:ascii="Arial" w:hAnsi="Arial" w:cs="Arial"/>
                <w:b/>
                <w:bCs/>
                <w:sz w:val="20"/>
              </w:rPr>
            </w:pPr>
          </w:p>
          <w:p w:rsidR="00234E74" w:rsidRPr="00503C3B" w:rsidRDefault="00234E74" w:rsidP="00411D02">
            <w:pPr>
              <w:rPr>
                <w:rFonts w:ascii="Arial" w:hAnsi="Arial" w:cs="Arial"/>
                <w:b/>
                <w:bCs/>
                <w:sz w:val="20"/>
              </w:rPr>
            </w:pPr>
            <w:r w:rsidRPr="00503C3B">
              <w:rPr>
                <w:rFonts w:ascii="Arial" w:hAnsi="Arial" w:cs="Arial"/>
                <w:b/>
                <w:bCs/>
                <w:sz w:val="20"/>
              </w:rPr>
              <w:t>Data Source:</w:t>
            </w:r>
            <w:r w:rsidR="009853C2">
              <w:rPr>
                <w:rFonts w:ascii="Arial" w:hAnsi="Arial" w:cs="Arial"/>
                <w:b/>
                <w:bCs/>
                <w:sz w:val="20"/>
              </w:rPr>
              <w:t xml:space="preserve">  Internal d</w:t>
            </w:r>
            <w:r w:rsidR="001931DB">
              <w:rPr>
                <w:rFonts w:ascii="Arial" w:hAnsi="Arial" w:cs="Arial"/>
                <w:b/>
                <w:bCs/>
                <w:sz w:val="20"/>
              </w:rPr>
              <w:t>atabase</w:t>
            </w:r>
          </w:p>
        </w:tc>
      </w:tr>
      <w:tr w:rsidR="00234E74" w:rsidRPr="00503C3B">
        <w:tblPrEx>
          <w:tblCellMar>
            <w:top w:w="0" w:type="dxa"/>
            <w:bottom w:w="0" w:type="dxa"/>
          </w:tblCellMar>
        </w:tblPrEx>
        <w:trPr>
          <w:cantSplit/>
        </w:trPr>
        <w:tc>
          <w:tcPr>
            <w:tcW w:w="13752" w:type="dxa"/>
            <w:gridSpan w:val="4"/>
            <w:tcBorders>
              <w:bottom w:val="single" w:sz="4" w:space="0" w:color="auto"/>
            </w:tcBorders>
          </w:tcPr>
          <w:p w:rsidR="00234E74" w:rsidRPr="00503C3B" w:rsidRDefault="00234E74" w:rsidP="00411D02">
            <w:pPr>
              <w:rPr>
                <w:rFonts w:ascii="Arial" w:hAnsi="Arial" w:cs="Arial"/>
                <w:b/>
                <w:bCs/>
                <w:sz w:val="20"/>
              </w:rPr>
            </w:pPr>
            <w:r w:rsidRPr="00503C3B">
              <w:rPr>
                <w:rFonts w:ascii="Arial" w:hAnsi="Arial" w:cs="Arial"/>
                <w:b/>
                <w:bCs/>
                <w:sz w:val="20"/>
              </w:rPr>
              <w:t>Service, Product or Activity:</w:t>
            </w:r>
            <w:r w:rsidR="009853C2">
              <w:rPr>
                <w:rFonts w:ascii="Arial" w:hAnsi="Arial" w:cs="Arial"/>
                <w:b/>
                <w:bCs/>
                <w:sz w:val="20"/>
              </w:rPr>
              <w:t xml:space="preserve">  Regulation of state</w:t>
            </w:r>
            <w:r w:rsidR="007024EB">
              <w:rPr>
                <w:rFonts w:ascii="Arial" w:hAnsi="Arial" w:cs="Arial"/>
                <w:b/>
                <w:bCs/>
                <w:sz w:val="20"/>
              </w:rPr>
              <w:t>-</w:t>
            </w:r>
            <w:r w:rsidR="009853C2">
              <w:rPr>
                <w:rFonts w:ascii="Arial" w:hAnsi="Arial" w:cs="Arial"/>
                <w:b/>
                <w:bCs/>
                <w:sz w:val="20"/>
              </w:rPr>
              <w:t>chartered banks</w:t>
            </w:r>
          </w:p>
        </w:tc>
      </w:tr>
      <w:tr w:rsidR="00234E74" w:rsidRPr="00503C3B">
        <w:tblPrEx>
          <w:tblCellMar>
            <w:top w:w="0" w:type="dxa"/>
            <w:bottom w:w="0" w:type="dxa"/>
          </w:tblCellMar>
        </w:tblPrEx>
        <w:tc>
          <w:tcPr>
            <w:tcW w:w="3510" w:type="dxa"/>
            <w:shd w:val="pct20" w:color="auto" w:fill="auto"/>
          </w:tcPr>
          <w:p w:rsidR="00234E74" w:rsidRPr="00503C3B" w:rsidRDefault="00234E74" w:rsidP="00411D02">
            <w:pPr>
              <w:jc w:val="center"/>
              <w:rPr>
                <w:rFonts w:ascii="Arial" w:hAnsi="Arial" w:cs="Arial"/>
                <w:b/>
                <w:bCs/>
                <w:sz w:val="20"/>
              </w:rPr>
            </w:pPr>
            <w:r w:rsidRPr="00503C3B">
              <w:rPr>
                <w:rFonts w:ascii="Arial" w:hAnsi="Arial" w:cs="Arial"/>
                <w:b/>
                <w:bCs/>
                <w:sz w:val="20"/>
              </w:rPr>
              <w:t>Performance Measure</w:t>
            </w:r>
          </w:p>
        </w:tc>
        <w:tc>
          <w:tcPr>
            <w:tcW w:w="2358" w:type="dxa"/>
            <w:shd w:val="pct20" w:color="auto" w:fill="auto"/>
          </w:tcPr>
          <w:p w:rsidR="00234E74" w:rsidRPr="00503C3B" w:rsidRDefault="00234E74" w:rsidP="00411D02">
            <w:pPr>
              <w:jc w:val="center"/>
              <w:rPr>
                <w:rFonts w:ascii="Arial" w:hAnsi="Arial" w:cs="Arial"/>
                <w:b/>
                <w:bCs/>
                <w:sz w:val="20"/>
              </w:rPr>
            </w:pPr>
            <w:r w:rsidRPr="00503C3B">
              <w:rPr>
                <w:rFonts w:ascii="Arial" w:hAnsi="Arial" w:cs="Arial"/>
                <w:b/>
                <w:bCs/>
                <w:sz w:val="20"/>
              </w:rPr>
              <w:t>Performance Target</w:t>
            </w:r>
          </w:p>
        </w:tc>
        <w:tc>
          <w:tcPr>
            <w:tcW w:w="1620" w:type="dxa"/>
            <w:shd w:val="pct20" w:color="auto" w:fill="auto"/>
          </w:tcPr>
          <w:p w:rsidR="00234E74" w:rsidRPr="00503C3B" w:rsidRDefault="00234E74" w:rsidP="00411D02">
            <w:pPr>
              <w:jc w:val="center"/>
              <w:rPr>
                <w:rFonts w:ascii="Arial" w:hAnsi="Arial" w:cs="Arial"/>
                <w:b/>
                <w:bCs/>
                <w:sz w:val="20"/>
              </w:rPr>
            </w:pPr>
            <w:r w:rsidRPr="00503C3B">
              <w:rPr>
                <w:rFonts w:ascii="Arial" w:hAnsi="Arial" w:cs="Arial"/>
                <w:b/>
                <w:bCs/>
                <w:sz w:val="20"/>
              </w:rPr>
              <w:t>Performance Actual</w:t>
            </w:r>
          </w:p>
        </w:tc>
        <w:tc>
          <w:tcPr>
            <w:tcW w:w="6264" w:type="dxa"/>
            <w:shd w:val="pct20" w:color="auto" w:fill="auto"/>
          </w:tcPr>
          <w:p w:rsidR="00234E74" w:rsidRPr="00503C3B" w:rsidRDefault="00234E74" w:rsidP="00411D02">
            <w:pPr>
              <w:jc w:val="center"/>
              <w:rPr>
                <w:rFonts w:ascii="Arial" w:hAnsi="Arial" w:cs="Arial"/>
                <w:b/>
                <w:bCs/>
                <w:sz w:val="20"/>
              </w:rPr>
            </w:pPr>
            <w:r w:rsidRPr="00503C3B">
              <w:rPr>
                <w:rFonts w:ascii="Arial" w:hAnsi="Arial" w:cs="Arial"/>
                <w:b/>
                <w:bCs/>
                <w:sz w:val="20"/>
              </w:rPr>
              <w:t>Performance Comments &amp; Analysis</w:t>
            </w:r>
          </w:p>
        </w:tc>
      </w:tr>
      <w:tr w:rsidR="00234E74" w:rsidRPr="00503C3B">
        <w:tblPrEx>
          <w:tblCellMar>
            <w:top w:w="0" w:type="dxa"/>
            <w:bottom w:w="0" w:type="dxa"/>
          </w:tblCellMar>
        </w:tblPrEx>
        <w:tc>
          <w:tcPr>
            <w:tcW w:w="3510" w:type="dxa"/>
          </w:tcPr>
          <w:p w:rsidR="00234E74" w:rsidRPr="00503C3B" w:rsidRDefault="00234E74" w:rsidP="00411D02">
            <w:pPr>
              <w:tabs>
                <w:tab w:val="left" w:pos="240"/>
              </w:tabs>
              <w:rPr>
                <w:rFonts w:ascii="Arial" w:hAnsi="Arial" w:cs="Arial"/>
                <w:b/>
                <w:bCs/>
                <w:sz w:val="20"/>
              </w:rPr>
            </w:pPr>
            <w:r w:rsidRPr="00503C3B">
              <w:rPr>
                <w:rFonts w:ascii="Arial" w:hAnsi="Arial" w:cs="Arial"/>
                <w:b/>
                <w:bCs/>
                <w:sz w:val="20"/>
              </w:rPr>
              <w:t xml:space="preserve">1.  </w:t>
            </w:r>
            <w:r w:rsidR="009853C2">
              <w:rPr>
                <w:rFonts w:ascii="Arial" w:hAnsi="Arial" w:cs="Arial"/>
                <w:b/>
                <w:bCs/>
                <w:sz w:val="20"/>
              </w:rPr>
              <w:t>Percent of state</w:t>
            </w:r>
            <w:r w:rsidR="007024EB">
              <w:rPr>
                <w:rFonts w:ascii="Arial" w:hAnsi="Arial" w:cs="Arial"/>
                <w:b/>
                <w:bCs/>
                <w:sz w:val="20"/>
              </w:rPr>
              <w:t>-</w:t>
            </w:r>
            <w:r w:rsidR="009853C2">
              <w:rPr>
                <w:rFonts w:ascii="Arial" w:hAnsi="Arial" w:cs="Arial"/>
                <w:b/>
                <w:bCs/>
                <w:sz w:val="20"/>
              </w:rPr>
              <w:t>chartered banks examined.</w:t>
            </w:r>
          </w:p>
        </w:tc>
        <w:tc>
          <w:tcPr>
            <w:tcW w:w="2358" w:type="dxa"/>
          </w:tcPr>
          <w:p w:rsidR="00234E74" w:rsidRPr="00503C3B" w:rsidRDefault="009853C2" w:rsidP="00411D02">
            <w:pPr>
              <w:rPr>
                <w:rFonts w:ascii="Arial" w:hAnsi="Arial" w:cs="Arial"/>
                <w:b/>
                <w:bCs/>
                <w:sz w:val="20"/>
              </w:rPr>
            </w:pPr>
            <w:r>
              <w:rPr>
                <w:rFonts w:ascii="Arial" w:hAnsi="Arial" w:cs="Arial"/>
                <w:b/>
                <w:bCs/>
                <w:sz w:val="20"/>
              </w:rPr>
              <w:t>100%</w:t>
            </w:r>
          </w:p>
        </w:tc>
        <w:tc>
          <w:tcPr>
            <w:tcW w:w="1620" w:type="dxa"/>
          </w:tcPr>
          <w:p w:rsidR="00234E74" w:rsidRPr="00503C3B" w:rsidRDefault="009853C2" w:rsidP="00411D02">
            <w:pPr>
              <w:rPr>
                <w:rFonts w:ascii="Arial" w:hAnsi="Arial" w:cs="Arial"/>
                <w:b/>
                <w:bCs/>
                <w:sz w:val="20"/>
              </w:rPr>
            </w:pPr>
            <w:r>
              <w:rPr>
                <w:rFonts w:ascii="Arial" w:hAnsi="Arial" w:cs="Arial"/>
                <w:b/>
                <w:bCs/>
                <w:sz w:val="20"/>
              </w:rPr>
              <w:t>100%</w:t>
            </w:r>
          </w:p>
        </w:tc>
        <w:tc>
          <w:tcPr>
            <w:tcW w:w="6264" w:type="dxa"/>
          </w:tcPr>
          <w:p w:rsidR="00234E74" w:rsidRPr="00503C3B" w:rsidRDefault="00234E74" w:rsidP="00411D02">
            <w:pPr>
              <w:rPr>
                <w:rFonts w:ascii="Arial" w:hAnsi="Arial" w:cs="Arial"/>
                <w:b/>
                <w:bCs/>
                <w:sz w:val="20"/>
              </w:rPr>
            </w:pPr>
            <w:r w:rsidRPr="00503C3B">
              <w:rPr>
                <w:rFonts w:ascii="Arial" w:hAnsi="Arial" w:cs="Arial"/>
                <w:b/>
                <w:bCs/>
                <w:sz w:val="20"/>
              </w:rPr>
              <w:t>What Occurred:</w:t>
            </w:r>
            <w:r w:rsidR="009853C2">
              <w:rPr>
                <w:rFonts w:ascii="Arial" w:hAnsi="Arial" w:cs="Arial"/>
                <w:b/>
                <w:bCs/>
                <w:sz w:val="20"/>
              </w:rPr>
              <w:t xml:space="preserve">  100% of state</w:t>
            </w:r>
            <w:r w:rsidR="007024EB">
              <w:rPr>
                <w:rFonts w:ascii="Arial" w:hAnsi="Arial" w:cs="Arial"/>
                <w:b/>
                <w:bCs/>
                <w:sz w:val="20"/>
              </w:rPr>
              <w:t>-</w:t>
            </w:r>
            <w:r w:rsidR="009853C2">
              <w:rPr>
                <w:rFonts w:ascii="Arial" w:hAnsi="Arial" w:cs="Arial"/>
                <w:b/>
                <w:bCs/>
                <w:sz w:val="20"/>
              </w:rPr>
              <w:t>chartered banks were examined within statutory time limitations.</w:t>
            </w:r>
          </w:p>
          <w:p w:rsidR="00234E74" w:rsidRPr="00503C3B" w:rsidRDefault="00234E74" w:rsidP="00411D02">
            <w:pPr>
              <w:rPr>
                <w:rFonts w:ascii="Arial" w:hAnsi="Arial" w:cs="Arial"/>
                <w:b/>
                <w:bCs/>
                <w:sz w:val="20"/>
              </w:rPr>
            </w:pPr>
          </w:p>
          <w:p w:rsidR="00234E74" w:rsidRPr="00503C3B" w:rsidRDefault="00234E74" w:rsidP="00411D02">
            <w:pPr>
              <w:rPr>
                <w:rFonts w:ascii="Arial" w:hAnsi="Arial" w:cs="Arial"/>
                <w:b/>
                <w:bCs/>
                <w:sz w:val="20"/>
              </w:rPr>
            </w:pPr>
            <w:r w:rsidRPr="00503C3B">
              <w:rPr>
                <w:rFonts w:ascii="Arial" w:hAnsi="Arial" w:cs="Arial"/>
                <w:b/>
                <w:bCs/>
                <w:sz w:val="20"/>
              </w:rPr>
              <w:t>Data Source:</w:t>
            </w:r>
            <w:r w:rsidR="009853C2">
              <w:rPr>
                <w:rFonts w:ascii="Arial" w:hAnsi="Arial" w:cs="Arial"/>
                <w:b/>
                <w:bCs/>
                <w:sz w:val="20"/>
              </w:rPr>
              <w:t xml:space="preserve">  Internal database</w:t>
            </w:r>
          </w:p>
        </w:tc>
      </w:tr>
      <w:tr w:rsidR="00234E74" w:rsidRPr="00503C3B">
        <w:tblPrEx>
          <w:tblCellMar>
            <w:top w:w="0" w:type="dxa"/>
            <w:bottom w:w="0" w:type="dxa"/>
          </w:tblCellMar>
        </w:tblPrEx>
        <w:trPr>
          <w:cantSplit/>
        </w:trPr>
        <w:tc>
          <w:tcPr>
            <w:tcW w:w="13752" w:type="dxa"/>
            <w:gridSpan w:val="4"/>
            <w:tcBorders>
              <w:bottom w:val="single" w:sz="4" w:space="0" w:color="auto"/>
            </w:tcBorders>
          </w:tcPr>
          <w:p w:rsidR="00234E74" w:rsidRPr="00503C3B" w:rsidRDefault="00234E74" w:rsidP="00411D02">
            <w:pPr>
              <w:rPr>
                <w:rFonts w:ascii="Arial" w:hAnsi="Arial" w:cs="Arial"/>
                <w:b/>
                <w:bCs/>
                <w:sz w:val="20"/>
              </w:rPr>
            </w:pPr>
            <w:r w:rsidRPr="00503C3B">
              <w:rPr>
                <w:rFonts w:ascii="Arial" w:hAnsi="Arial" w:cs="Arial"/>
                <w:b/>
                <w:bCs/>
                <w:sz w:val="20"/>
              </w:rPr>
              <w:t>Service, Product or Activity:</w:t>
            </w:r>
            <w:r w:rsidR="002032F0">
              <w:rPr>
                <w:rFonts w:ascii="Arial" w:hAnsi="Arial" w:cs="Arial"/>
                <w:b/>
                <w:bCs/>
                <w:sz w:val="20"/>
              </w:rPr>
              <w:t xml:space="preserve">  Regulation of financial institutions</w:t>
            </w:r>
          </w:p>
        </w:tc>
      </w:tr>
      <w:tr w:rsidR="00234E74" w:rsidRPr="00503C3B">
        <w:tblPrEx>
          <w:tblCellMar>
            <w:top w:w="0" w:type="dxa"/>
            <w:bottom w:w="0" w:type="dxa"/>
          </w:tblCellMar>
        </w:tblPrEx>
        <w:tc>
          <w:tcPr>
            <w:tcW w:w="3510" w:type="dxa"/>
            <w:shd w:val="pct20" w:color="auto" w:fill="auto"/>
          </w:tcPr>
          <w:p w:rsidR="00234E74" w:rsidRPr="00503C3B" w:rsidRDefault="00234E74" w:rsidP="00411D02">
            <w:pPr>
              <w:jc w:val="center"/>
              <w:rPr>
                <w:rFonts w:ascii="Arial" w:hAnsi="Arial" w:cs="Arial"/>
                <w:b/>
                <w:bCs/>
                <w:sz w:val="20"/>
              </w:rPr>
            </w:pPr>
            <w:r w:rsidRPr="00503C3B">
              <w:rPr>
                <w:rFonts w:ascii="Arial" w:hAnsi="Arial" w:cs="Arial"/>
                <w:b/>
                <w:bCs/>
                <w:sz w:val="20"/>
              </w:rPr>
              <w:t>Performance Measure</w:t>
            </w:r>
          </w:p>
        </w:tc>
        <w:tc>
          <w:tcPr>
            <w:tcW w:w="2358" w:type="dxa"/>
            <w:shd w:val="pct20" w:color="auto" w:fill="auto"/>
          </w:tcPr>
          <w:p w:rsidR="00234E74" w:rsidRPr="00503C3B" w:rsidRDefault="00234E74" w:rsidP="00411D02">
            <w:pPr>
              <w:jc w:val="center"/>
              <w:rPr>
                <w:rFonts w:ascii="Arial" w:hAnsi="Arial" w:cs="Arial"/>
                <w:b/>
                <w:bCs/>
                <w:sz w:val="20"/>
              </w:rPr>
            </w:pPr>
            <w:r w:rsidRPr="00503C3B">
              <w:rPr>
                <w:rFonts w:ascii="Arial" w:hAnsi="Arial" w:cs="Arial"/>
                <w:b/>
                <w:bCs/>
                <w:sz w:val="20"/>
              </w:rPr>
              <w:t>Performance Target</w:t>
            </w:r>
          </w:p>
        </w:tc>
        <w:tc>
          <w:tcPr>
            <w:tcW w:w="1620" w:type="dxa"/>
            <w:shd w:val="pct20" w:color="auto" w:fill="auto"/>
          </w:tcPr>
          <w:p w:rsidR="00234E74" w:rsidRPr="00503C3B" w:rsidRDefault="00234E74" w:rsidP="00411D02">
            <w:pPr>
              <w:jc w:val="center"/>
              <w:rPr>
                <w:rFonts w:ascii="Arial" w:hAnsi="Arial" w:cs="Arial"/>
                <w:b/>
                <w:bCs/>
                <w:sz w:val="20"/>
              </w:rPr>
            </w:pPr>
            <w:r w:rsidRPr="00503C3B">
              <w:rPr>
                <w:rFonts w:ascii="Arial" w:hAnsi="Arial" w:cs="Arial"/>
                <w:b/>
                <w:bCs/>
                <w:sz w:val="20"/>
              </w:rPr>
              <w:t>Performance Actual</w:t>
            </w:r>
          </w:p>
        </w:tc>
        <w:tc>
          <w:tcPr>
            <w:tcW w:w="6264" w:type="dxa"/>
            <w:shd w:val="pct20" w:color="auto" w:fill="auto"/>
          </w:tcPr>
          <w:p w:rsidR="00234E74" w:rsidRPr="00503C3B" w:rsidRDefault="00234E74" w:rsidP="00411D02">
            <w:pPr>
              <w:jc w:val="center"/>
              <w:rPr>
                <w:rFonts w:ascii="Arial" w:hAnsi="Arial" w:cs="Arial"/>
                <w:b/>
                <w:bCs/>
                <w:sz w:val="20"/>
              </w:rPr>
            </w:pPr>
            <w:r w:rsidRPr="00503C3B">
              <w:rPr>
                <w:rFonts w:ascii="Arial" w:hAnsi="Arial" w:cs="Arial"/>
                <w:b/>
                <w:bCs/>
                <w:sz w:val="20"/>
              </w:rPr>
              <w:t>Performance Comments &amp; Analysis</w:t>
            </w:r>
          </w:p>
        </w:tc>
      </w:tr>
      <w:tr w:rsidR="00234E74" w:rsidRPr="00503C3B">
        <w:tblPrEx>
          <w:tblCellMar>
            <w:top w:w="0" w:type="dxa"/>
            <w:bottom w:w="0" w:type="dxa"/>
          </w:tblCellMar>
        </w:tblPrEx>
        <w:tc>
          <w:tcPr>
            <w:tcW w:w="3510" w:type="dxa"/>
          </w:tcPr>
          <w:p w:rsidR="00234E74" w:rsidRPr="00503C3B" w:rsidRDefault="00234E74" w:rsidP="00411D02">
            <w:pPr>
              <w:tabs>
                <w:tab w:val="left" w:pos="240"/>
              </w:tabs>
              <w:rPr>
                <w:rFonts w:ascii="Arial" w:hAnsi="Arial" w:cs="Arial"/>
                <w:b/>
                <w:bCs/>
                <w:sz w:val="20"/>
              </w:rPr>
            </w:pPr>
            <w:r w:rsidRPr="00503C3B">
              <w:rPr>
                <w:rFonts w:ascii="Arial" w:hAnsi="Arial" w:cs="Arial"/>
                <w:b/>
                <w:bCs/>
                <w:sz w:val="20"/>
              </w:rPr>
              <w:t xml:space="preserve">1. </w:t>
            </w:r>
            <w:r w:rsidR="002032F0">
              <w:rPr>
                <w:rFonts w:ascii="Arial" w:hAnsi="Arial" w:cs="Arial"/>
                <w:b/>
                <w:bCs/>
                <w:sz w:val="20"/>
              </w:rPr>
              <w:t xml:space="preserve"> Percent of licensed financial institutions </w:t>
            </w:r>
            <w:r w:rsidR="002129F0">
              <w:rPr>
                <w:rFonts w:ascii="Arial" w:hAnsi="Arial" w:cs="Arial"/>
                <w:b/>
                <w:bCs/>
                <w:sz w:val="20"/>
              </w:rPr>
              <w:t xml:space="preserve">examined </w:t>
            </w:r>
            <w:r w:rsidR="002032F0">
              <w:rPr>
                <w:rFonts w:ascii="Arial" w:hAnsi="Arial" w:cs="Arial"/>
                <w:b/>
                <w:bCs/>
                <w:sz w:val="20"/>
              </w:rPr>
              <w:t xml:space="preserve">that are </w:t>
            </w:r>
            <w:r w:rsidR="002129F0">
              <w:rPr>
                <w:rFonts w:ascii="Arial" w:hAnsi="Arial" w:cs="Arial"/>
                <w:b/>
                <w:bCs/>
                <w:sz w:val="20"/>
              </w:rPr>
              <w:t xml:space="preserve">statutorily </w:t>
            </w:r>
            <w:r w:rsidR="002032F0">
              <w:rPr>
                <w:rFonts w:ascii="Arial" w:hAnsi="Arial" w:cs="Arial"/>
                <w:b/>
                <w:bCs/>
                <w:sz w:val="20"/>
              </w:rPr>
              <w:t>required to be examined</w:t>
            </w:r>
            <w:r w:rsidR="002129F0">
              <w:rPr>
                <w:rFonts w:ascii="Arial" w:hAnsi="Arial" w:cs="Arial"/>
                <w:b/>
                <w:bCs/>
                <w:sz w:val="20"/>
              </w:rPr>
              <w:t>.</w:t>
            </w:r>
          </w:p>
        </w:tc>
        <w:tc>
          <w:tcPr>
            <w:tcW w:w="2358" w:type="dxa"/>
          </w:tcPr>
          <w:p w:rsidR="00234E74" w:rsidRPr="00503C3B" w:rsidRDefault="002032F0" w:rsidP="00411D02">
            <w:pPr>
              <w:rPr>
                <w:rFonts w:ascii="Arial" w:hAnsi="Arial" w:cs="Arial"/>
                <w:b/>
                <w:bCs/>
                <w:sz w:val="20"/>
              </w:rPr>
            </w:pPr>
            <w:r>
              <w:rPr>
                <w:rFonts w:ascii="Arial" w:hAnsi="Arial" w:cs="Arial"/>
                <w:b/>
                <w:bCs/>
                <w:sz w:val="20"/>
              </w:rPr>
              <w:t>100%</w:t>
            </w:r>
          </w:p>
        </w:tc>
        <w:tc>
          <w:tcPr>
            <w:tcW w:w="1620" w:type="dxa"/>
          </w:tcPr>
          <w:p w:rsidR="00234E74" w:rsidRPr="00503C3B" w:rsidRDefault="002032F0" w:rsidP="00411D02">
            <w:pPr>
              <w:rPr>
                <w:rFonts w:ascii="Arial" w:hAnsi="Arial" w:cs="Arial"/>
                <w:b/>
                <w:bCs/>
                <w:sz w:val="20"/>
              </w:rPr>
            </w:pPr>
            <w:r>
              <w:rPr>
                <w:rFonts w:ascii="Arial" w:hAnsi="Arial" w:cs="Arial"/>
                <w:b/>
                <w:bCs/>
                <w:sz w:val="20"/>
              </w:rPr>
              <w:t>100%</w:t>
            </w:r>
          </w:p>
        </w:tc>
        <w:tc>
          <w:tcPr>
            <w:tcW w:w="6264" w:type="dxa"/>
          </w:tcPr>
          <w:p w:rsidR="00234E74" w:rsidRPr="00503C3B" w:rsidRDefault="00234E74" w:rsidP="00411D02">
            <w:pPr>
              <w:rPr>
                <w:rFonts w:ascii="Arial" w:hAnsi="Arial" w:cs="Arial"/>
                <w:b/>
                <w:bCs/>
                <w:sz w:val="20"/>
              </w:rPr>
            </w:pPr>
            <w:r w:rsidRPr="00503C3B">
              <w:rPr>
                <w:rFonts w:ascii="Arial" w:hAnsi="Arial" w:cs="Arial"/>
                <w:b/>
                <w:bCs/>
                <w:sz w:val="20"/>
              </w:rPr>
              <w:t>What Occurred:</w:t>
            </w:r>
            <w:r w:rsidR="002032F0">
              <w:rPr>
                <w:rFonts w:ascii="Arial" w:hAnsi="Arial" w:cs="Arial"/>
                <w:b/>
                <w:bCs/>
                <w:sz w:val="20"/>
              </w:rPr>
              <w:t xml:space="preserve">  100% of licensed financial institutions were examined within statutory time limitations.</w:t>
            </w:r>
          </w:p>
          <w:p w:rsidR="00234E74" w:rsidRPr="00503C3B" w:rsidRDefault="00234E74" w:rsidP="00411D02">
            <w:pPr>
              <w:rPr>
                <w:rFonts w:ascii="Arial" w:hAnsi="Arial" w:cs="Arial"/>
                <w:b/>
                <w:bCs/>
                <w:sz w:val="20"/>
              </w:rPr>
            </w:pPr>
          </w:p>
          <w:p w:rsidR="00234E74" w:rsidRPr="00503C3B" w:rsidRDefault="00234E74" w:rsidP="00411D02">
            <w:pPr>
              <w:rPr>
                <w:rFonts w:ascii="Arial" w:hAnsi="Arial" w:cs="Arial"/>
                <w:b/>
                <w:bCs/>
                <w:sz w:val="20"/>
              </w:rPr>
            </w:pPr>
            <w:r w:rsidRPr="00503C3B">
              <w:rPr>
                <w:rFonts w:ascii="Arial" w:hAnsi="Arial" w:cs="Arial"/>
                <w:b/>
                <w:bCs/>
                <w:sz w:val="20"/>
              </w:rPr>
              <w:t>Data Source:</w:t>
            </w:r>
            <w:r w:rsidR="002032F0">
              <w:rPr>
                <w:rFonts w:ascii="Arial" w:hAnsi="Arial" w:cs="Arial"/>
                <w:b/>
                <w:bCs/>
                <w:sz w:val="20"/>
              </w:rPr>
              <w:t xml:space="preserve">  Internal database</w:t>
            </w:r>
          </w:p>
        </w:tc>
      </w:tr>
      <w:tr w:rsidR="00234E74" w:rsidRPr="00503C3B">
        <w:tblPrEx>
          <w:tblCellMar>
            <w:top w:w="0" w:type="dxa"/>
            <w:bottom w:w="0" w:type="dxa"/>
          </w:tblCellMar>
        </w:tblPrEx>
        <w:tc>
          <w:tcPr>
            <w:tcW w:w="3510" w:type="dxa"/>
          </w:tcPr>
          <w:p w:rsidR="00234E74" w:rsidRPr="00503C3B" w:rsidRDefault="00234E74" w:rsidP="00411D02">
            <w:pPr>
              <w:tabs>
                <w:tab w:val="left" w:pos="240"/>
              </w:tabs>
              <w:rPr>
                <w:rFonts w:ascii="Arial" w:hAnsi="Arial" w:cs="Arial"/>
                <w:b/>
                <w:bCs/>
                <w:sz w:val="20"/>
              </w:rPr>
            </w:pPr>
            <w:r w:rsidRPr="00503C3B">
              <w:rPr>
                <w:rFonts w:ascii="Arial" w:hAnsi="Arial" w:cs="Arial"/>
                <w:b/>
                <w:bCs/>
                <w:sz w:val="20"/>
              </w:rPr>
              <w:t>2.</w:t>
            </w:r>
            <w:r w:rsidR="002032F0">
              <w:rPr>
                <w:rFonts w:ascii="Arial" w:hAnsi="Arial" w:cs="Arial"/>
                <w:b/>
                <w:bCs/>
                <w:sz w:val="20"/>
              </w:rPr>
              <w:t xml:space="preserve">  Percent of financial institution complaints resolved.</w:t>
            </w:r>
          </w:p>
        </w:tc>
        <w:tc>
          <w:tcPr>
            <w:tcW w:w="2358" w:type="dxa"/>
          </w:tcPr>
          <w:p w:rsidR="00234E74" w:rsidRPr="00503C3B" w:rsidRDefault="002032F0" w:rsidP="00411D02">
            <w:pPr>
              <w:rPr>
                <w:rFonts w:ascii="Arial" w:hAnsi="Arial" w:cs="Arial"/>
                <w:b/>
                <w:bCs/>
                <w:sz w:val="20"/>
              </w:rPr>
            </w:pPr>
            <w:r>
              <w:rPr>
                <w:rFonts w:ascii="Arial" w:hAnsi="Arial" w:cs="Arial"/>
                <w:b/>
                <w:bCs/>
                <w:sz w:val="20"/>
              </w:rPr>
              <w:t>90% responded to (or resolved) within 30 days of receipt.</w:t>
            </w:r>
          </w:p>
        </w:tc>
        <w:tc>
          <w:tcPr>
            <w:tcW w:w="1620" w:type="dxa"/>
          </w:tcPr>
          <w:p w:rsidR="00234E74" w:rsidRPr="00503C3B" w:rsidRDefault="00A46C04" w:rsidP="00411D02">
            <w:pPr>
              <w:rPr>
                <w:rFonts w:ascii="Arial" w:hAnsi="Arial" w:cs="Arial"/>
                <w:b/>
                <w:bCs/>
                <w:sz w:val="20"/>
              </w:rPr>
            </w:pPr>
            <w:r>
              <w:rPr>
                <w:rFonts w:ascii="Arial" w:hAnsi="Arial" w:cs="Arial"/>
                <w:b/>
                <w:bCs/>
                <w:sz w:val="20"/>
              </w:rPr>
              <w:t>63%</w:t>
            </w:r>
          </w:p>
        </w:tc>
        <w:tc>
          <w:tcPr>
            <w:tcW w:w="6264" w:type="dxa"/>
          </w:tcPr>
          <w:p w:rsidR="00234E74" w:rsidRPr="00503C3B" w:rsidRDefault="00234E74" w:rsidP="00411D02">
            <w:pPr>
              <w:rPr>
                <w:rFonts w:ascii="Arial" w:hAnsi="Arial" w:cs="Arial"/>
                <w:b/>
                <w:bCs/>
                <w:sz w:val="20"/>
              </w:rPr>
            </w:pPr>
            <w:r w:rsidRPr="00503C3B">
              <w:rPr>
                <w:rFonts w:ascii="Arial" w:hAnsi="Arial" w:cs="Arial"/>
                <w:b/>
                <w:bCs/>
                <w:sz w:val="20"/>
              </w:rPr>
              <w:t>What Occurred:</w:t>
            </w:r>
            <w:r w:rsidR="00A46C04">
              <w:rPr>
                <w:rFonts w:ascii="Arial" w:hAnsi="Arial" w:cs="Arial"/>
                <w:b/>
                <w:bCs/>
                <w:sz w:val="20"/>
              </w:rPr>
              <w:t xml:space="preserve">  63% of complaints were resolved within 30 days; 81% were resolved within 45 days.</w:t>
            </w:r>
          </w:p>
          <w:p w:rsidR="00234E74" w:rsidRPr="00503C3B" w:rsidRDefault="00234E74" w:rsidP="00411D02">
            <w:pPr>
              <w:rPr>
                <w:rFonts w:ascii="Arial" w:hAnsi="Arial" w:cs="Arial"/>
                <w:b/>
                <w:bCs/>
                <w:sz w:val="20"/>
              </w:rPr>
            </w:pPr>
          </w:p>
          <w:p w:rsidR="00234E74" w:rsidRPr="00503C3B" w:rsidRDefault="00234E74" w:rsidP="00411D02">
            <w:pPr>
              <w:rPr>
                <w:rFonts w:ascii="Arial" w:hAnsi="Arial" w:cs="Arial"/>
                <w:b/>
                <w:bCs/>
                <w:sz w:val="20"/>
              </w:rPr>
            </w:pPr>
            <w:r w:rsidRPr="00503C3B">
              <w:rPr>
                <w:rFonts w:ascii="Arial" w:hAnsi="Arial" w:cs="Arial"/>
                <w:b/>
                <w:bCs/>
                <w:sz w:val="20"/>
              </w:rPr>
              <w:t>Data Source:</w:t>
            </w:r>
            <w:r w:rsidR="00A46C04">
              <w:rPr>
                <w:rFonts w:ascii="Arial" w:hAnsi="Arial" w:cs="Arial"/>
                <w:b/>
                <w:bCs/>
                <w:sz w:val="20"/>
              </w:rPr>
              <w:t xml:space="preserve">  Internal database</w:t>
            </w:r>
          </w:p>
        </w:tc>
      </w:tr>
      <w:tr w:rsidR="00D81AA6" w:rsidRPr="00503C3B">
        <w:tblPrEx>
          <w:tblCellMar>
            <w:top w:w="0" w:type="dxa"/>
            <w:bottom w:w="0" w:type="dxa"/>
          </w:tblCellMar>
        </w:tblPrEx>
        <w:tc>
          <w:tcPr>
            <w:tcW w:w="3510" w:type="dxa"/>
          </w:tcPr>
          <w:p w:rsidR="00D81AA6" w:rsidRPr="00503C3B" w:rsidRDefault="00D81AA6" w:rsidP="00411D02">
            <w:pPr>
              <w:tabs>
                <w:tab w:val="left" w:pos="240"/>
              </w:tabs>
              <w:rPr>
                <w:rFonts w:ascii="Arial" w:hAnsi="Arial" w:cs="Arial"/>
                <w:b/>
                <w:bCs/>
                <w:sz w:val="20"/>
              </w:rPr>
            </w:pPr>
            <w:r>
              <w:rPr>
                <w:rFonts w:ascii="Arial" w:hAnsi="Arial" w:cs="Arial"/>
                <w:b/>
                <w:bCs/>
                <w:sz w:val="20"/>
              </w:rPr>
              <w:t>3.  Percent of license applications processed.</w:t>
            </w:r>
          </w:p>
        </w:tc>
        <w:tc>
          <w:tcPr>
            <w:tcW w:w="2358" w:type="dxa"/>
          </w:tcPr>
          <w:p w:rsidR="00D81AA6" w:rsidRPr="00503C3B" w:rsidRDefault="00D81AA6" w:rsidP="00411D02">
            <w:pPr>
              <w:rPr>
                <w:rFonts w:ascii="Arial" w:hAnsi="Arial" w:cs="Arial"/>
                <w:b/>
                <w:bCs/>
                <w:sz w:val="20"/>
              </w:rPr>
            </w:pPr>
            <w:r>
              <w:rPr>
                <w:rFonts w:ascii="Arial" w:hAnsi="Arial" w:cs="Arial"/>
                <w:b/>
                <w:bCs/>
                <w:sz w:val="20"/>
              </w:rPr>
              <w:t>The licensing decision will be communicated to 90% of the license applicants within 30 days of receipt of a completed application.</w:t>
            </w:r>
          </w:p>
        </w:tc>
        <w:tc>
          <w:tcPr>
            <w:tcW w:w="1620" w:type="dxa"/>
          </w:tcPr>
          <w:p w:rsidR="00D81AA6" w:rsidRPr="00503C3B" w:rsidRDefault="00D81AA6" w:rsidP="00411D02">
            <w:pPr>
              <w:rPr>
                <w:rFonts w:ascii="Arial" w:hAnsi="Arial" w:cs="Arial"/>
                <w:b/>
                <w:bCs/>
                <w:sz w:val="20"/>
              </w:rPr>
            </w:pPr>
            <w:r>
              <w:rPr>
                <w:rFonts w:ascii="Arial" w:hAnsi="Arial" w:cs="Arial"/>
                <w:b/>
                <w:bCs/>
                <w:sz w:val="20"/>
              </w:rPr>
              <w:t>68%</w:t>
            </w:r>
          </w:p>
        </w:tc>
        <w:tc>
          <w:tcPr>
            <w:tcW w:w="6264" w:type="dxa"/>
          </w:tcPr>
          <w:p w:rsidR="00D81AA6" w:rsidRPr="00503C3B" w:rsidRDefault="00D81AA6" w:rsidP="00411D02">
            <w:pPr>
              <w:rPr>
                <w:rFonts w:ascii="Arial" w:hAnsi="Arial" w:cs="Arial"/>
                <w:b/>
                <w:bCs/>
                <w:sz w:val="20"/>
              </w:rPr>
            </w:pPr>
            <w:r w:rsidRPr="00503C3B">
              <w:rPr>
                <w:rFonts w:ascii="Arial" w:hAnsi="Arial" w:cs="Arial"/>
                <w:b/>
                <w:bCs/>
                <w:sz w:val="20"/>
              </w:rPr>
              <w:t>What Occurred:</w:t>
            </w:r>
            <w:r>
              <w:rPr>
                <w:rFonts w:ascii="Arial" w:hAnsi="Arial" w:cs="Arial"/>
                <w:b/>
                <w:bCs/>
                <w:sz w:val="20"/>
              </w:rPr>
              <w:t xml:space="preserve">  68% of licensing decisions were communicated to license applicants within 30 days; 81% within 45 days.  101 applications were received.  Average days from receipt to issuance/denial were 21.28 days.</w:t>
            </w:r>
          </w:p>
          <w:p w:rsidR="00D81AA6" w:rsidRPr="00503C3B" w:rsidRDefault="00D81AA6" w:rsidP="00411D02">
            <w:pPr>
              <w:rPr>
                <w:rFonts w:ascii="Arial" w:hAnsi="Arial" w:cs="Arial"/>
                <w:b/>
                <w:bCs/>
                <w:sz w:val="20"/>
              </w:rPr>
            </w:pPr>
          </w:p>
          <w:p w:rsidR="00D81AA6" w:rsidRPr="00503C3B" w:rsidRDefault="00D81AA6" w:rsidP="00411D02">
            <w:pPr>
              <w:rPr>
                <w:rFonts w:ascii="Arial" w:hAnsi="Arial" w:cs="Arial"/>
                <w:b/>
                <w:bCs/>
                <w:sz w:val="20"/>
              </w:rPr>
            </w:pPr>
            <w:r w:rsidRPr="00503C3B">
              <w:rPr>
                <w:rFonts w:ascii="Arial" w:hAnsi="Arial" w:cs="Arial"/>
                <w:b/>
                <w:bCs/>
                <w:sz w:val="20"/>
              </w:rPr>
              <w:t>Data Source:</w:t>
            </w:r>
            <w:r>
              <w:rPr>
                <w:rFonts w:ascii="Arial" w:hAnsi="Arial" w:cs="Arial"/>
                <w:b/>
                <w:bCs/>
                <w:sz w:val="20"/>
              </w:rPr>
              <w:t xml:space="preserve">  Internal database</w:t>
            </w:r>
          </w:p>
        </w:tc>
      </w:tr>
      <w:tr w:rsidR="00D81AA6" w:rsidRPr="00503C3B">
        <w:tblPrEx>
          <w:tblCellMar>
            <w:top w:w="0" w:type="dxa"/>
            <w:bottom w:w="0" w:type="dxa"/>
          </w:tblCellMar>
        </w:tblPrEx>
        <w:trPr>
          <w:trHeight w:val="90"/>
        </w:trPr>
        <w:tc>
          <w:tcPr>
            <w:tcW w:w="3510" w:type="dxa"/>
          </w:tcPr>
          <w:p w:rsidR="00D81AA6" w:rsidRPr="00503C3B" w:rsidRDefault="00D81AA6" w:rsidP="00411D02">
            <w:pPr>
              <w:tabs>
                <w:tab w:val="left" w:pos="240"/>
              </w:tabs>
              <w:rPr>
                <w:rFonts w:ascii="Arial" w:hAnsi="Arial" w:cs="Arial"/>
                <w:b/>
                <w:bCs/>
                <w:sz w:val="20"/>
              </w:rPr>
            </w:pPr>
          </w:p>
        </w:tc>
        <w:tc>
          <w:tcPr>
            <w:tcW w:w="2358" w:type="dxa"/>
          </w:tcPr>
          <w:p w:rsidR="00D81AA6" w:rsidRPr="00503C3B" w:rsidRDefault="00D81AA6" w:rsidP="00411D02">
            <w:pPr>
              <w:rPr>
                <w:rFonts w:ascii="Arial" w:hAnsi="Arial" w:cs="Arial"/>
                <w:b/>
                <w:bCs/>
                <w:sz w:val="20"/>
              </w:rPr>
            </w:pPr>
          </w:p>
        </w:tc>
        <w:tc>
          <w:tcPr>
            <w:tcW w:w="1620" w:type="dxa"/>
          </w:tcPr>
          <w:p w:rsidR="00D81AA6" w:rsidRPr="00503C3B" w:rsidRDefault="00D81AA6" w:rsidP="00411D02">
            <w:pPr>
              <w:rPr>
                <w:rFonts w:ascii="Arial" w:hAnsi="Arial" w:cs="Arial"/>
                <w:b/>
                <w:bCs/>
                <w:sz w:val="20"/>
              </w:rPr>
            </w:pPr>
          </w:p>
        </w:tc>
        <w:tc>
          <w:tcPr>
            <w:tcW w:w="6264" w:type="dxa"/>
          </w:tcPr>
          <w:p w:rsidR="00D81AA6" w:rsidRPr="00503C3B" w:rsidRDefault="00D81AA6" w:rsidP="00411D02">
            <w:pPr>
              <w:rPr>
                <w:rFonts w:ascii="Arial" w:hAnsi="Arial" w:cs="Arial"/>
                <w:b/>
                <w:bCs/>
                <w:sz w:val="20"/>
              </w:rPr>
            </w:pPr>
          </w:p>
        </w:tc>
      </w:tr>
    </w:tbl>
    <w:p w:rsidR="00234E74" w:rsidRDefault="00234E74" w:rsidP="00234E74">
      <w:pPr>
        <w:rPr>
          <w:b/>
          <w:bCs/>
        </w:rPr>
        <w:sectPr w:rsidR="00234E74" w:rsidSect="001B3047">
          <w:pgSz w:w="15840" w:h="12240" w:orient="landscape" w:code="1"/>
          <w:pgMar w:top="720" w:right="864" w:bottom="720" w:left="1440" w:header="720" w:footer="288" w:gutter="0"/>
          <w:cols w:space="720"/>
          <w:noEndnote/>
        </w:sectPr>
      </w:pPr>
    </w:p>
    <w:p w:rsidR="0007478A" w:rsidRDefault="0007478A" w:rsidP="0007478A">
      <w:pPr>
        <w:jc w:val="center"/>
        <w:rPr>
          <w:rFonts w:ascii="Arial Black" w:hAnsi="Arial Black"/>
          <w:sz w:val="36"/>
        </w:rPr>
      </w:pPr>
      <w:r>
        <w:rPr>
          <w:rFonts w:ascii="Arial Black" w:hAnsi="Arial Black"/>
          <w:sz w:val="36"/>
        </w:rPr>
        <w:lastRenderedPageBreak/>
        <w:t xml:space="preserve">RESOURCE REALLOCATIONS </w:t>
      </w:r>
    </w:p>
    <w:p w:rsidR="00F02E1B" w:rsidRDefault="00F02E1B" w:rsidP="00604BFB"/>
    <w:p w:rsidR="0007478A" w:rsidRDefault="0007478A" w:rsidP="001B3047">
      <w:pPr>
        <w:jc w:val="both"/>
        <w:rPr>
          <w:rFonts w:ascii="Arial" w:hAnsi="Arial" w:cs="Arial"/>
        </w:rPr>
      </w:pPr>
      <w:r>
        <w:rPr>
          <w:rFonts w:ascii="Arial" w:hAnsi="Arial" w:cs="Arial"/>
        </w:rPr>
        <w:t>Because of the lack of funding for salary increases</w:t>
      </w:r>
      <w:r w:rsidR="00EC3506">
        <w:rPr>
          <w:rFonts w:ascii="Arial" w:hAnsi="Arial" w:cs="Arial"/>
        </w:rPr>
        <w:t xml:space="preserve"> provided in fiscal year 2005</w:t>
      </w:r>
      <w:r>
        <w:rPr>
          <w:rFonts w:ascii="Arial" w:hAnsi="Arial" w:cs="Arial"/>
        </w:rPr>
        <w:t>, the IDOB was unable to fill four examiner positions that became vacant.  Leaving these positions vacant created obstacles for maintaining a workforce of well-trained examiners.</w:t>
      </w:r>
      <w:r w:rsidR="00EC3506">
        <w:rPr>
          <w:rFonts w:ascii="Arial" w:hAnsi="Arial" w:cs="Arial"/>
        </w:rPr>
        <w:t xml:space="preserve">  </w:t>
      </w:r>
      <w:r w:rsidR="002B2FEB">
        <w:rPr>
          <w:rFonts w:ascii="Arial" w:hAnsi="Arial" w:cs="Arial"/>
        </w:rPr>
        <w:t>A newly hired examiner normally undergoes intense training for the first three years of his/her career.  In order to maintain a level of examiners with more than three years of experience/training, the IDOB continually recruits new examiners that can b</w:t>
      </w:r>
      <w:r w:rsidR="00EC3506">
        <w:rPr>
          <w:rFonts w:ascii="Arial" w:hAnsi="Arial" w:cs="Arial"/>
        </w:rPr>
        <w:t>egin the training process.</w:t>
      </w:r>
    </w:p>
    <w:p w:rsidR="005C471B" w:rsidRDefault="005C471B" w:rsidP="001B3047">
      <w:pPr>
        <w:jc w:val="both"/>
        <w:rPr>
          <w:rFonts w:ascii="Arial" w:hAnsi="Arial" w:cs="Arial"/>
        </w:rPr>
      </w:pPr>
    </w:p>
    <w:p w:rsidR="005C471B" w:rsidRDefault="005C471B" w:rsidP="005C471B">
      <w:pPr>
        <w:jc w:val="center"/>
        <w:rPr>
          <w:rFonts w:ascii="Arial Black" w:hAnsi="Arial Black"/>
          <w:sz w:val="36"/>
        </w:rPr>
      </w:pPr>
      <w:r>
        <w:rPr>
          <w:rFonts w:ascii="Arial Black" w:hAnsi="Arial Black"/>
          <w:sz w:val="36"/>
        </w:rPr>
        <w:t xml:space="preserve">AGENCY CONTACTS </w:t>
      </w:r>
    </w:p>
    <w:p w:rsidR="005C471B" w:rsidRDefault="005C471B" w:rsidP="005C471B"/>
    <w:p w:rsidR="005C471B" w:rsidRDefault="005C471B" w:rsidP="001B3047">
      <w:pPr>
        <w:jc w:val="both"/>
        <w:rPr>
          <w:rFonts w:ascii="Arial" w:hAnsi="Arial" w:cs="Arial"/>
        </w:rPr>
      </w:pPr>
      <w:r>
        <w:rPr>
          <w:rFonts w:ascii="Arial" w:hAnsi="Arial" w:cs="Arial"/>
        </w:rPr>
        <w:t>Copies of the Iowa Division of Banking’s Performance Re</w:t>
      </w:r>
      <w:r w:rsidR="001B3047">
        <w:rPr>
          <w:rFonts w:ascii="Arial" w:hAnsi="Arial" w:cs="Arial"/>
        </w:rPr>
        <w:t>port are available on the IDOB W</w:t>
      </w:r>
      <w:r>
        <w:rPr>
          <w:rFonts w:ascii="Arial" w:hAnsi="Arial" w:cs="Arial"/>
        </w:rPr>
        <w:t xml:space="preserve">eb site at </w:t>
      </w:r>
      <w:hyperlink r:id="rId11" w:history="1">
        <w:r w:rsidRPr="002B14D8">
          <w:rPr>
            <w:rStyle w:val="Hyperlink"/>
            <w:rFonts w:ascii="Arial" w:hAnsi="Arial" w:cs="Arial"/>
          </w:rPr>
          <w:t>www.idob.state.ia.us</w:t>
        </w:r>
      </w:hyperlink>
      <w:r>
        <w:rPr>
          <w:rFonts w:ascii="Arial" w:hAnsi="Arial" w:cs="Arial"/>
        </w:rPr>
        <w:t xml:space="preserve">.  Copies of the report can also be obtained by contacting </w:t>
      </w:r>
      <w:smartTag w:uri="urn:schemas-microsoft-com:office:smarttags" w:element="PersonName">
        <w:r>
          <w:rPr>
            <w:rFonts w:ascii="Arial" w:hAnsi="Arial" w:cs="Arial"/>
          </w:rPr>
          <w:t>Shari Fett</w:t>
        </w:r>
      </w:smartTag>
      <w:r>
        <w:rPr>
          <w:rFonts w:ascii="Arial" w:hAnsi="Arial" w:cs="Arial"/>
        </w:rPr>
        <w:t xml:space="preserve"> at 515/281-4014.</w:t>
      </w:r>
    </w:p>
    <w:p w:rsidR="005C471B" w:rsidRPr="0007478A" w:rsidRDefault="005C471B" w:rsidP="001B3047">
      <w:pPr>
        <w:jc w:val="both"/>
        <w:rPr>
          <w:rFonts w:ascii="Arial" w:hAnsi="Arial" w:cs="Arial"/>
        </w:rPr>
      </w:pPr>
    </w:p>
    <w:sectPr w:rsidR="005C471B" w:rsidRPr="0007478A" w:rsidSect="00265DDA">
      <w:pgSz w:w="12240" w:h="15840"/>
      <w:pgMar w:top="864"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6FDF" w:rsidRDefault="00DC6FDF">
      <w:r>
        <w:separator/>
      </w:r>
    </w:p>
  </w:endnote>
  <w:endnote w:type="continuationSeparator" w:id="1">
    <w:p w:rsidR="00DC6FDF" w:rsidRDefault="00DC6F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068" w:rsidRDefault="000C6068" w:rsidP="00DF75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C6068" w:rsidRDefault="000C606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068" w:rsidRPr="000C6068" w:rsidRDefault="000C6068" w:rsidP="00DF7580">
    <w:pPr>
      <w:pStyle w:val="Footer"/>
      <w:framePr w:wrap="around" w:vAnchor="text" w:hAnchor="margin" w:xAlign="center" w:y="1"/>
      <w:rPr>
        <w:rStyle w:val="PageNumber"/>
        <w:rFonts w:ascii="Arial" w:hAnsi="Arial" w:cs="Arial"/>
        <w:sz w:val="24"/>
        <w:szCs w:val="24"/>
      </w:rPr>
    </w:pPr>
    <w:r w:rsidRPr="000C6068">
      <w:rPr>
        <w:rStyle w:val="PageNumber"/>
        <w:rFonts w:ascii="Arial" w:hAnsi="Arial" w:cs="Arial"/>
        <w:sz w:val="24"/>
        <w:szCs w:val="24"/>
      </w:rPr>
      <w:fldChar w:fldCharType="begin"/>
    </w:r>
    <w:r w:rsidRPr="000C6068">
      <w:rPr>
        <w:rStyle w:val="PageNumber"/>
        <w:rFonts w:ascii="Arial" w:hAnsi="Arial" w:cs="Arial"/>
        <w:sz w:val="24"/>
        <w:szCs w:val="24"/>
      </w:rPr>
      <w:instrText xml:space="preserve">PAGE  </w:instrText>
    </w:r>
    <w:r w:rsidRPr="000C6068">
      <w:rPr>
        <w:rStyle w:val="PageNumber"/>
        <w:rFonts w:ascii="Arial" w:hAnsi="Arial" w:cs="Arial"/>
        <w:sz w:val="24"/>
        <w:szCs w:val="24"/>
      </w:rPr>
      <w:fldChar w:fldCharType="separate"/>
    </w:r>
    <w:r w:rsidR="00DB6DD6">
      <w:rPr>
        <w:rStyle w:val="PageNumber"/>
        <w:rFonts w:ascii="Arial" w:hAnsi="Arial" w:cs="Arial"/>
        <w:noProof/>
        <w:sz w:val="24"/>
        <w:szCs w:val="24"/>
      </w:rPr>
      <w:t>11</w:t>
    </w:r>
    <w:r w:rsidRPr="000C6068">
      <w:rPr>
        <w:rStyle w:val="PageNumber"/>
        <w:rFonts w:ascii="Arial" w:hAnsi="Arial" w:cs="Arial"/>
        <w:sz w:val="24"/>
        <w:szCs w:val="24"/>
      </w:rPr>
      <w:fldChar w:fldCharType="end"/>
    </w:r>
  </w:p>
  <w:p w:rsidR="00234E74" w:rsidRPr="008F4591" w:rsidRDefault="00234E74" w:rsidP="008F45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6FDF" w:rsidRDefault="00DC6FDF">
      <w:r>
        <w:separator/>
      </w:r>
    </w:p>
  </w:footnote>
  <w:footnote w:type="continuationSeparator" w:id="1">
    <w:p w:rsidR="00DC6FDF" w:rsidRDefault="00DC6F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80DAB"/>
    <w:multiLevelType w:val="hybridMultilevel"/>
    <w:tmpl w:val="D904163A"/>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D8C2AE1"/>
    <w:multiLevelType w:val="hybridMultilevel"/>
    <w:tmpl w:val="5F907FD0"/>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5C03DDD"/>
    <w:multiLevelType w:val="multilevel"/>
    <w:tmpl w:val="24763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C553876"/>
    <w:multiLevelType w:val="hybridMultilevel"/>
    <w:tmpl w:val="2236C97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156374F"/>
    <w:multiLevelType w:val="multilevel"/>
    <w:tmpl w:val="38381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604BFB"/>
    <w:rsid w:val="00033FA6"/>
    <w:rsid w:val="0004630E"/>
    <w:rsid w:val="000473D8"/>
    <w:rsid w:val="0005270C"/>
    <w:rsid w:val="000671BB"/>
    <w:rsid w:val="0007478A"/>
    <w:rsid w:val="00094792"/>
    <w:rsid w:val="000A0056"/>
    <w:rsid w:val="000C42E3"/>
    <w:rsid w:val="000C6068"/>
    <w:rsid w:val="000C6E0B"/>
    <w:rsid w:val="00166136"/>
    <w:rsid w:val="00191F9E"/>
    <w:rsid w:val="001931DB"/>
    <w:rsid w:val="001A60B7"/>
    <w:rsid w:val="001B3047"/>
    <w:rsid w:val="002032F0"/>
    <w:rsid w:val="002129F0"/>
    <w:rsid w:val="00234E74"/>
    <w:rsid w:val="00265DDA"/>
    <w:rsid w:val="002B2FEB"/>
    <w:rsid w:val="002D12DD"/>
    <w:rsid w:val="00391E78"/>
    <w:rsid w:val="003C2E16"/>
    <w:rsid w:val="003F5C53"/>
    <w:rsid w:val="00411D02"/>
    <w:rsid w:val="00457DF1"/>
    <w:rsid w:val="00484509"/>
    <w:rsid w:val="005C471B"/>
    <w:rsid w:val="005E15EC"/>
    <w:rsid w:val="006016A8"/>
    <w:rsid w:val="00604BFB"/>
    <w:rsid w:val="006053F0"/>
    <w:rsid w:val="0062524A"/>
    <w:rsid w:val="00670A07"/>
    <w:rsid w:val="00695029"/>
    <w:rsid w:val="006D4A83"/>
    <w:rsid w:val="007024EB"/>
    <w:rsid w:val="00711EBD"/>
    <w:rsid w:val="00773C9A"/>
    <w:rsid w:val="007B735B"/>
    <w:rsid w:val="007C53EB"/>
    <w:rsid w:val="0081601B"/>
    <w:rsid w:val="008773B8"/>
    <w:rsid w:val="00885AA5"/>
    <w:rsid w:val="008B3A74"/>
    <w:rsid w:val="008B3F76"/>
    <w:rsid w:val="008F4591"/>
    <w:rsid w:val="009853C2"/>
    <w:rsid w:val="009928D5"/>
    <w:rsid w:val="009C79E1"/>
    <w:rsid w:val="009F215D"/>
    <w:rsid w:val="00A46C04"/>
    <w:rsid w:val="00A63930"/>
    <w:rsid w:val="00A930CD"/>
    <w:rsid w:val="00AE3192"/>
    <w:rsid w:val="00AF7277"/>
    <w:rsid w:val="00B038D0"/>
    <w:rsid w:val="00C05DB2"/>
    <w:rsid w:val="00C82D7B"/>
    <w:rsid w:val="00CC7E05"/>
    <w:rsid w:val="00CE0AE7"/>
    <w:rsid w:val="00CE555F"/>
    <w:rsid w:val="00D81AA6"/>
    <w:rsid w:val="00D866A4"/>
    <w:rsid w:val="00DB6DD6"/>
    <w:rsid w:val="00DC6FDF"/>
    <w:rsid w:val="00DE1036"/>
    <w:rsid w:val="00DF7580"/>
    <w:rsid w:val="00E1720B"/>
    <w:rsid w:val="00E27C6C"/>
    <w:rsid w:val="00E53230"/>
    <w:rsid w:val="00EC3506"/>
    <w:rsid w:val="00F02E1B"/>
    <w:rsid w:val="00F6418F"/>
    <w:rsid w:val="00FF71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address"/>
  <w:smartTagType w:namespaceuri="urn:schemas-microsoft-com:office:smarttags" w:name="date"/>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PostalCode"/>
  <w:smartTagType w:namespaceuri="urn:schemas-microsoft-com:office:smarttags" w:name="Street"/>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4BFB"/>
    <w:rPr>
      <w:sz w:val="24"/>
      <w:szCs w:val="24"/>
    </w:rPr>
  </w:style>
  <w:style w:type="paragraph" w:styleId="Heading1">
    <w:name w:val="heading 1"/>
    <w:basedOn w:val="Normal"/>
    <w:next w:val="Normal"/>
    <w:qFormat/>
    <w:rsid w:val="00604BFB"/>
    <w:pPr>
      <w:keepNext/>
      <w:outlineLvl w:val="0"/>
    </w:pPr>
    <w:rPr>
      <w:b/>
      <w:bCs/>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rsid w:val="00604BFB"/>
    <w:pPr>
      <w:jc w:val="center"/>
    </w:pPr>
    <w:rPr>
      <w:rFonts w:ascii="Arial" w:hAnsi="Arial" w:cs="Arial"/>
      <w:b/>
      <w:bCs/>
      <w:sz w:val="28"/>
    </w:rPr>
  </w:style>
  <w:style w:type="paragraph" w:styleId="Footer">
    <w:name w:val="footer"/>
    <w:basedOn w:val="Normal"/>
    <w:rsid w:val="00604BFB"/>
    <w:pPr>
      <w:tabs>
        <w:tab w:val="center" w:pos="4320"/>
        <w:tab w:val="right" w:pos="8640"/>
      </w:tabs>
    </w:pPr>
    <w:rPr>
      <w:rFonts w:ascii="CG Times (W1)" w:hAnsi="CG Times (W1)"/>
      <w:sz w:val="20"/>
      <w:szCs w:val="20"/>
    </w:rPr>
  </w:style>
  <w:style w:type="paragraph" w:styleId="NormalWeb">
    <w:name w:val="Normal (Web)"/>
    <w:basedOn w:val="Normal"/>
    <w:rsid w:val="00234E74"/>
    <w:pPr>
      <w:spacing w:before="100" w:beforeAutospacing="1" w:after="100" w:afterAutospacing="1"/>
    </w:pPr>
    <w:rPr>
      <w:color w:val="000000"/>
    </w:rPr>
  </w:style>
  <w:style w:type="character" w:styleId="Hyperlink">
    <w:name w:val="Hyperlink"/>
    <w:basedOn w:val="DefaultParagraphFont"/>
    <w:rsid w:val="005C471B"/>
    <w:rPr>
      <w:color w:val="0000FF"/>
      <w:u w:val="single"/>
    </w:rPr>
  </w:style>
  <w:style w:type="paragraph" w:styleId="Header">
    <w:name w:val="header"/>
    <w:basedOn w:val="Normal"/>
    <w:rsid w:val="007B735B"/>
    <w:pPr>
      <w:tabs>
        <w:tab w:val="center" w:pos="4320"/>
        <w:tab w:val="right" w:pos="8640"/>
      </w:tabs>
    </w:pPr>
  </w:style>
  <w:style w:type="paragraph" w:styleId="PlainText">
    <w:name w:val="Plain Text"/>
    <w:basedOn w:val="Normal"/>
    <w:rsid w:val="00A930CD"/>
    <w:rPr>
      <w:rFonts w:ascii="Courier New" w:hAnsi="Courier New" w:cs="Courier New"/>
      <w:sz w:val="20"/>
      <w:szCs w:val="20"/>
    </w:rPr>
  </w:style>
  <w:style w:type="character" w:styleId="PageNumber">
    <w:name w:val="page number"/>
    <w:basedOn w:val="DefaultParagraphFont"/>
    <w:rsid w:val="008F459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dob.state.ia.us" TargetMode="External"/><Relationship Id="rId5" Type="http://schemas.openxmlformats.org/officeDocument/2006/relationships/footnotes" Target="footnotes.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yperlink" Target="http://www.idob.state.i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3606</Words>
  <Characters>20559</Characters>
  <Application>Microsoft Office Word</Application>
  <DocSecurity>4</DocSecurity>
  <Lines>171</Lines>
  <Paragraphs>48</Paragraphs>
  <ScaleCrop>false</ScaleCrop>
  <HeadingPairs>
    <vt:vector size="2" baseType="variant">
      <vt:variant>
        <vt:lpstr>Title</vt:lpstr>
      </vt:variant>
      <vt:variant>
        <vt:i4>1</vt:i4>
      </vt:variant>
    </vt:vector>
  </HeadingPairs>
  <TitlesOfParts>
    <vt:vector size="1" baseType="lpstr">
      <vt:lpstr>DEPARTMENT OF COMMERCE</vt:lpstr>
    </vt:vector>
  </TitlesOfParts>
  <Company>IDOB</Company>
  <LinksUpToDate>false</LinksUpToDate>
  <CharactersWithSpaces>24117</CharactersWithSpaces>
  <SharedDoc>false</SharedDoc>
  <HLinks>
    <vt:vector size="12" baseType="variant">
      <vt:variant>
        <vt:i4>1441813</vt:i4>
      </vt:variant>
      <vt:variant>
        <vt:i4>3</vt:i4>
      </vt:variant>
      <vt:variant>
        <vt:i4>0</vt:i4>
      </vt:variant>
      <vt:variant>
        <vt:i4>5</vt:i4>
      </vt:variant>
      <vt:variant>
        <vt:lpwstr>http://www.idob.state.ia.us/</vt:lpwstr>
      </vt:variant>
      <vt:variant>
        <vt:lpwstr/>
      </vt:variant>
      <vt:variant>
        <vt:i4>1441813</vt:i4>
      </vt:variant>
      <vt:variant>
        <vt:i4>0</vt:i4>
      </vt:variant>
      <vt:variant>
        <vt:i4>0</vt:i4>
      </vt:variant>
      <vt:variant>
        <vt:i4>5</vt:i4>
      </vt:variant>
      <vt:variant>
        <vt:lpwstr>http://www.idob.state.ia.us/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COMMERCE</dc:title>
  <dc:subject/>
  <dc:creator>SFett</dc:creator>
  <cp:keywords/>
  <dc:description/>
  <cp:lastModifiedBy>Margaret Noon</cp:lastModifiedBy>
  <cp:revision>2</cp:revision>
  <dcterms:created xsi:type="dcterms:W3CDTF">2008-12-01T21:10:00Z</dcterms:created>
  <dcterms:modified xsi:type="dcterms:W3CDTF">2008-12-01T21:10:00Z</dcterms:modified>
</cp:coreProperties>
</file>