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4927A7" w:rsidRPr="00407C4F" w:rsidRDefault="004927A7" w:rsidP="00407C4F">
      <w:pPr>
        <w:spacing w:before="120"/>
        <w:jc w:val="both"/>
        <w:rPr>
          <w:rFonts w:ascii="Arial" w:eastAsia="Calibri" w:hAnsi="Arial" w:cs="Arial"/>
        </w:rPr>
      </w:pPr>
      <w:r w:rsidRPr="00407C4F">
        <w:rPr>
          <w:rFonts w:ascii="Arial" w:eastAsia="Calibri" w:hAnsi="Arial" w:cs="Arial"/>
        </w:rPr>
        <w:t>Establishments in the Ames area seasonally decreased by 700 jobs in July, lowering total nonfarm employment to 50,000 jobs. This decline was slightly larger than expected and follows another unusually large drop last month. Government shed 800 at the state and local levels. Alternatively, private services added 100 jobs.</w:t>
      </w:r>
    </w:p>
    <w:p w:rsidR="00EB4786" w:rsidRPr="00407C4F" w:rsidRDefault="004927A7" w:rsidP="00407C4F">
      <w:pPr>
        <w:spacing w:before="120"/>
        <w:jc w:val="both"/>
        <w:rPr>
          <w:rFonts w:ascii="Arial" w:eastAsia="Calibri" w:hAnsi="Arial" w:cs="Arial"/>
        </w:rPr>
      </w:pPr>
      <w:r w:rsidRPr="00407C4F">
        <w:rPr>
          <w:rFonts w:ascii="Arial" w:eastAsia="Calibri" w:hAnsi="Arial" w:cs="Arial"/>
        </w:rPr>
        <w:t>Since July of last year, total nonfarm employment in Ames has advanced by 1,000 jobs. Private services have been responsible for most of the advancement, although goods-producing industries have grown by 200. Government is down slightly at the local level (-200).</w:t>
      </w:r>
    </w:p>
    <w:p w:rsidR="004927A7" w:rsidRDefault="004927A7"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407C4F" w:rsidRPr="00407C4F" w:rsidRDefault="00407C4F" w:rsidP="00407C4F">
      <w:pPr>
        <w:spacing w:before="120"/>
        <w:jc w:val="both"/>
        <w:rPr>
          <w:rFonts w:ascii="Arial" w:eastAsia="Calibri" w:hAnsi="Arial" w:cs="Arial"/>
        </w:rPr>
      </w:pPr>
      <w:r w:rsidRPr="00407C4F">
        <w:rPr>
          <w:rFonts w:ascii="Arial" w:eastAsia="Calibri" w:hAnsi="Arial" w:cs="Arial"/>
        </w:rPr>
        <w:t xml:space="preserve">The Cedar Rapids metropolitan statistical area pared 1,800 jobs in July with largely seasonal losses in local government (-1,900) and educational and health services (-200). Manufacturing also pared jobs, shedding 200 jobs in durable goods manufacturing and 100 overall. </w:t>
      </w:r>
    </w:p>
    <w:p w:rsidR="00407C4F" w:rsidRPr="00407C4F" w:rsidRDefault="00407C4F" w:rsidP="00407C4F">
      <w:pPr>
        <w:spacing w:before="120"/>
        <w:jc w:val="both"/>
        <w:rPr>
          <w:rFonts w:ascii="Arial" w:eastAsia="Calibri" w:hAnsi="Arial" w:cs="Arial"/>
        </w:rPr>
      </w:pPr>
      <w:r w:rsidRPr="00407C4F">
        <w:rPr>
          <w:rFonts w:ascii="Arial" w:eastAsia="Calibri" w:hAnsi="Arial" w:cs="Arial"/>
        </w:rPr>
        <w:t xml:space="preserve">Professional and business services added a significant number of jobs for the second time this year (+500), however the industry remains unchanged from one year ago. Natural resources and construction is the only other industry with a jobs gain, adding 100 jobs. </w:t>
      </w:r>
    </w:p>
    <w:p w:rsidR="00836F3F" w:rsidRDefault="00407C4F" w:rsidP="00407C4F">
      <w:pPr>
        <w:spacing w:before="120"/>
        <w:jc w:val="both"/>
        <w:rPr>
          <w:rFonts w:ascii="Arial" w:eastAsia="Calibri" w:hAnsi="Arial" w:cs="Arial"/>
        </w:rPr>
      </w:pPr>
      <w:r w:rsidRPr="00407C4F">
        <w:rPr>
          <w:rFonts w:ascii="Arial" w:eastAsia="Calibri" w:hAnsi="Arial" w:cs="Arial"/>
        </w:rPr>
        <w:t>Over the year, area employment is down 600 jobs, and stands at 143,700 jobs. Local government is down 600 jobs from July 2018. Information has trimmed 400 jobs (-10.26%), followed closely by trade, transportation and warehousing (-300). Retail trade is the greatest contributor to the overall loss in the trade, transportation and warehousing, with 700 fewer jobs. Natural resources and construction leads all sectors with a gain of 600 jobs.</w:t>
      </w:r>
    </w:p>
    <w:p w:rsidR="00407C4F" w:rsidRDefault="00407C4F" w:rsidP="00407C4F">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407C4F" w:rsidRPr="00407C4F" w:rsidRDefault="00407C4F" w:rsidP="00407C4F">
      <w:pPr>
        <w:spacing w:before="120"/>
        <w:jc w:val="both"/>
        <w:rPr>
          <w:rFonts w:ascii="Arial" w:eastAsia="Calibri" w:hAnsi="Arial" w:cs="Arial"/>
        </w:rPr>
      </w:pPr>
      <w:bookmarkStart w:id="1" w:name="OLE_LINK1"/>
      <w:bookmarkStart w:id="2" w:name="OLE_LINK2"/>
      <w:r w:rsidRPr="00407C4F">
        <w:rPr>
          <w:rFonts w:ascii="Arial" w:eastAsia="Calibri" w:hAnsi="Arial" w:cs="Arial"/>
        </w:rPr>
        <w:t>The Des Moines metro area seasonally shed 3,300 jobs in July, lowering total nonfarm employment to 382,000. Jobs are typically shed this time of year as schools take a break for the summer and this month’s gain is average given the past ten years. Compared to all other metro areas, the capitol city has gained more jobs by volume (+10,000) and percentage (+2.7 percent).</w:t>
      </w:r>
    </w:p>
    <w:p w:rsidR="00407C4F" w:rsidRPr="00407C4F" w:rsidRDefault="00407C4F" w:rsidP="00407C4F">
      <w:pPr>
        <w:spacing w:before="120"/>
        <w:jc w:val="both"/>
        <w:rPr>
          <w:rFonts w:ascii="Arial" w:eastAsia="Calibri" w:hAnsi="Arial" w:cs="Arial"/>
        </w:rPr>
      </w:pPr>
      <w:r w:rsidRPr="00407C4F">
        <w:rPr>
          <w:rFonts w:ascii="Arial" w:eastAsia="Calibri" w:hAnsi="Arial" w:cs="Arial"/>
        </w:rPr>
        <w:t>Local government pared 3,400 jobs due to schools breaking for the summer and government combined shedding 3,500 jobs. These losses generally get added back in the fall. Professional and business services shed 600 jobs and was influenced by a loss of 400 in administrative support and waste management industries. Retail shed 300 jobs which was not unusual this time of year. Few sectors advanced this month, but they included mining, logging, and construction (+500), leisure and hospitality (+300), and education and health services (+100).</w:t>
      </w:r>
    </w:p>
    <w:p w:rsidR="00EB4786" w:rsidRPr="00836F3F" w:rsidRDefault="00407C4F" w:rsidP="00407C4F">
      <w:pPr>
        <w:spacing w:before="120"/>
        <w:jc w:val="both"/>
        <w:rPr>
          <w:rFonts w:ascii="Arial" w:eastAsia="Calibri" w:hAnsi="Arial" w:cs="Arial"/>
        </w:rPr>
      </w:pPr>
      <w:r w:rsidRPr="00407C4F">
        <w:rPr>
          <w:rFonts w:ascii="Arial" w:eastAsia="Calibri" w:hAnsi="Arial" w:cs="Arial"/>
        </w:rPr>
        <w:t>Over the past twelve months most industries in the Des Moines area have added jobs. Leisure and hospitality alone has been responsible for 4,900 jobs added. Many of these jobs gained are in seasonal industries and this number is expected to taper down as the fall and winter months arrive. Education and health care and social assistance has gained 2,700 jobs and trade, transportation, and utilities are up 1,700 jobs. Government is the only major super sector down versus last year (-1,100).</w:t>
      </w:r>
    </w:p>
    <w:p w:rsidR="00836F3F" w:rsidRDefault="00836F3F" w:rsidP="00EB4786">
      <w:pPr>
        <w:pStyle w:val="Heading1"/>
        <w:rPr>
          <w:rFonts w:ascii="Arial" w:hAnsi="Arial" w:cs="Arial"/>
        </w:rPr>
      </w:pPr>
    </w:p>
    <w:p w:rsidR="002C0ABA" w:rsidRPr="008655E5" w:rsidRDefault="002C0ABA" w:rsidP="00EB4786">
      <w:pPr>
        <w:pStyle w:val="Heading1"/>
        <w:rPr>
          <w:rFonts w:ascii="Arial" w:hAnsi="Arial" w:cs="Arial"/>
        </w:rPr>
      </w:pPr>
      <w:r w:rsidRPr="008655E5">
        <w:rPr>
          <w:rFonts w:ascii="Arial" w:hAnsi="Arial" w:cs="Arial"/>
        </w:rPr>
        <w:t>Dubuque</w:t>
      </w:r>
    </w:p>
    <w:bookmarkEnd w:id="1"/>
    <w:bookmarkEnd w:id="2"/>
    <w:p w:rsidR="004927A7" w:rsidRPr="004927A7" w:rsidRDefault="004927A7" w:rsidP="00407C4F">
      <w:pPr>
        <w:spacing w:before="120"/>
        <w:jc w:val="both"/>
        <w:rPr>
          <w:rFonts w:ascii="Arial" w:eastAsia="Calibri" w:hAnsi="Arial" w:cs="Arial"/>
        </w:rPr>
      </w:pPr>
      <w:r w:rsidRPr="004927A7">
        <w:rPr>
          <w:rFonts w:ascii="Arial" w:eastAsia="Calibri" w:hAnsi="Arial" w:cs="Arial"/>
        </w:rPr>
        <w:t>Total nonfarm employment seasonally dropped 600 jobs in July. This decline was small given this time of year and mostly the result of local government education breaking for the summer. Overall, government seasonally pared 500 jobs and private services dropped 100 jobs. Goods-producing services were unchanged versus June.</w:t>
      </w:r>
    </w:p>
    <w:p w:rsidR="00A8034E" w:rsidRPr="00407C4F" w:rsidRDefault="004927A7" w:rsidP="00407C4F">
      <w:pPr>
        <w:spacing w:before="120"/>
        <w:jc w:val="both"/>
        <w:rPr>
          <w:rFonts w:ascii="Arial" w:eastAsia="Calibri" w:hAnsi="Arial" w:cs="Arial"/>
        </w:rPr>
      </w:pPr>
      <w:r w:rsidRPr="004927A7">
        <w:rPr>
          <w:rFonts w:ascii="Arial" w:eastAsia="Calibri" w:hAnsi="Arial" w:cs="Arial"/>
        </w:rPr>
        <w:t>Compared to last year, Dubuque has added 1,000 jobs with private service gaining 500 despite lingering declines in retail trade. Goods-producing industries have added 300 jobs and government supplying 200 at the local level.</w:t>
      </w:r>
    </w:p>
    <w:p w:rsidR="00C116C2" w:rsidRDefault="00C116C2" w:rsidP="00AE4E39">
      <w:pPr>
        <w:rPr>
          <w:rFonts w:ascii="Arial" w:hAnsi="Arial" w:cs="Arial"/>
          <w:b/>
        </w:rPr>
      </w:pPr>
    </w:p>
    <w:p w:rsidR="00C116C2" w:rsidRDefault="00C116C2"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407C4F" w:rsidRPr="00407C4F" w:rsidRDefault="00407C4F" w:rsidP="00407C4F">
      <w:pPr>
        <w:spacing w:before="120"/>
        <w:jc w:val="both"/>
        <w:rPr>
          <w:rFonts w:ascii="Arial" w:eastAsia="Calibri" w:hAnsi="Arial" w:cs="Arial"/>
        </w:rPr>
      </w:pPr>
      <w:r w:rsidRPr="00407C4F">
        <w:rPr>
          <w:rFonts w:ascii="Arial" w:eastAsia="Calibri" w:hAnsi="Arial" w:cs="Arial"/>
        </w:rPr>
        <w:t xml:space="preserve">Employment in the Iowa City metropolitan statistical area decreased 600 jobs from last month. The loss was entirely in the service-providing industries as employment in goods producing industries remained steady. Professional and business services and state government partially offset the losses with gains of 100 and 400, respectively. </w:t>
      </w:r>
    </w:p>
    <w:p w:rsidR="00C116C2" w:rsidRPr="00836F3F" w:rsidRDefault="00407C4F" w:rsidP="00407C4F">
      <w:pPr>
        <w:spacing w:before="120"/>
        <w:jc w:val="both"/>
        <w:rPr>
          <w:rFonts w:ascii="Arial" w:eastAsia="Calibri" w:hAnsi="Arial" w:cs="Arial"/>
        </w:rPr>
      </w:pPr>
      <w:r w:rsidRPr="00407C4F">
        <w:rPr>
          <w:rFonts w:ascii="Arial" w:eastAsia="Calibri" w:hAnsi="Arial" w:cs="Arial"/>
        </w:rPr>
        <w:t>The metro area has pared 500 jobs from one year ago, although there were some notable gains. Namely, leisure and hospitality which added 400 jobs over the year and professional and business services which increased employment by 200.</w:t>
      </w:r>
    </w:p>
    <w:p w:rsidR="00836F3F" w:rsidRDefault="00836F3F"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407C4F" w:rsidRPr="00407C4F" w:rsidRDefault="00407C4F" w:rsidP="00407C4F">
      <w:pPr>
        <w:spacing w:before="120"/>
        <w:jc w:val="both"/>
        <w:rPr>
          <w:rFonts w:ascii="Arial" w:eastAsia="Calibri" w:hAnsi="Arial" w:cs="Arial"/>
        </w:rPr>
      </w:pPr>
      <w:r w:rsidRPr="00407C4F">
        <w:rPr>
          <w:rFonts w:ascii="Arial" w:eastAsia="Calibri" w:hAnsi="Arial" w:cs="Arial"/>
        </w:rPr>
        <w:t>Employment in the Sioux City MSA is down 1,400 jobs from June, with only one sector, professional and business services (+100), experiencing an employment gain over the month. Local government pared 1,200 jobs which is very near the average June to July change for the sector. The only other notable change occurred in trade, transportation and warehousing where 400 jobs were trimmed.</w:t>
      </w:r>
    </w:p>
    <w:p w:rsidR="00836F3F" w:rsidRPr="00407C4F" w:rsidRDefault="00407C4F" w:rsidP="00407C4F">
      <w:pPr>
        <w:spacing w:before="120"/>
        <w:jc w:val="both"/>
        <w:rPr>
          <w:rFonts w:ascii="Arial" w:eastAsia="Calibri" w:hAnsi="Arial" w:cs="Arial"/>
        </w:rPr>
      </w:pPr>
      <w:r w:rsidRPr="00407C4F">
        <w:rPr>
          <w:rFonts w:ascii="Arial" w:eastAsia="Calibri" w:hAnsi="Arial" w:cs="Arial"/>
        </w:rPr>
        <w:t>Overall, area employment is 1,600 above one year ago. Manufacturing gets credit for the majority of the increase (+900) as employment continues to climb in the sector. The industry added 1,000 jobs in non-durable goods manufacturing, offset slightly by 100 jobs trimmed in other areas of the super sector. Trade, transportation, warehousing and utilities added 500 jobs. Leisure and hospitality added 400 jobs, government added 200 jobs and professional and business services has gained 100 jobs.</w:t>
      </w:r>
    </w:p>
    <w:p w:rsidR="00407C4F" w:rsidRPr="00407C4F" w:rsidRDefault="00407C4F" w:rsidP="00407C4F"/>
    <w:p w:rsidR="00AE4E39" w:rsidRDefault="00AE4E39" w:rsidP="00AC3F6D">
      <w:pPr>
        <w:pStyle w:val="Heading1"/>
        <w:rPr>
          <w:rFonts w:ascii="Arial" w:hAnsi="Arial" w:cs="Arial"/>
        </w:rPr>
      </w:pPr>
      <w:r w:rsidRPr="002C0ABA">
        <w:rPr>
          <w:rFonts w:ascii="Arial" w:hAnsi="Arial" w:cs="Arial"/>
        </w:rPr>
        <w:t>Waterloo/Cedar Falls</w:t>
      </w:r>
    </w:p>
    <w:p w:rsidR="00407C4F" w:rsidRPr="00407C4F" w:rsidRDefault="00407C4F" w:rsidP="00407C4F">
      <w:pPr>
        <w:spacing w:before="120"/>
        <w:jc w:val="both"/>
        <w:rPr>
          <w:rFonts w:ascii="Arial" w:eastAsia="Calibri" w:hAnsi="Arial" w:cs="Arial"/>
        </w:rPr>
      </w:pPr>
      <w:r w:rsidRPr="00407C4F">
        <w:rPr>
          <w:rFonts w:ascii="Arial" w:eastAsia="Calibri" w:hAnsi="Arial" w:cs="Arial"/>
        </w:rPr>
        <w:t>The Waterloo/Cedar Falls metropolitan statistical area’s total nonfarm employment pared 1,400 jobs from the previous month and stands at 90,200. Local government is responsible for the bulk of the loss with an expected seasonal change (-800). Manufacturing trimmed 300 jobs with a loss of 100 in durable goods manufacturing partially offsetting a gain of 400 in non-durable goods manufacturing. There are no super-sectors that added jobs this month. .</w:t>
      </w:r>
    </w:p>
    <w:p w:rsidR="00110E10" w:rsidRPr="00EB4786" w:rsidRDefault="00407C4F" w:rsidP="00407C4F">
      <w:pPr>
        <w:spacing w:before="120"/>
        <w:jc w:val="both"/>
        <w:rPr>
          <w:rFonts w:ascii="Arial" w:eastAsia="Calibri" w:hAnsi="Arial" w:cs="Arial"/>
        </w:rPr>
      </w:pPr>
      <w:r w:rsidRPr="00407C4F">
        <w:rPr>
          <w:rFonts w:ascii="Arial" w:eastAsia="Calibri" w:hAnsi="Arial" w:cs="Arial"/>
        </w:rPr>
        <w:t>Over the year, the area pared 100 jobs. Manufacturing employment is unchanged overall with durable goods manufacturing trimming 400 jobs and non-durable goods manufacturing adding 400 jobs. Trade, transportation and warehousing trimmed 500 jobs. Financial activities and leisure and hospitality are both unchanged.</w:t>
      </w:r>
    </w:p>
    <w:sectPr w:rsidR="00110E10" w:rsidRPr="00EB4786"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41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7E"/>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34499"/>
    <w:rsid w:val="0034087F"/>
    <w:rsid w:val="00343614"/>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E2281"/>
    <w:rsid w:val="003E4463"/>
    <w:rsid w:val="003F53E5"/>
    <w:rsid w:val="0040083A"/>
    <w:rsid w:val="00404DE8"/>
    <w:rsid w:val="0040611A"/>
    <w:rsid w:val="00407C4F"/>
    <w:rsid w:val="00416941"/>
    <w:rsid w:val="004171FD"/>
    <w:rsid w:val="00425E84"/>
    <w:rsid w:val="004415A8"/>
    <w:rsid w:val="00442011"/>
    <w:rsid w:val="00446A60"/>
    <w:rsid w:val="004575D5"/>
    <w:rsid w:val="004640F4"/>
    <w:rsid w:val="00465E70"/>
    <w:rsid w:val="00467319"/>
    <w:rsid w:val="00485D3C"/>
    <w:rsid w:val="00487F5A"/>
    <w:rsid w:val="00490F2C"/>
    <w:rsid w:val="004927A7"/>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445"/>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300B"/>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36F3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05020"/>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034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208BA"/>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116C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84A45"/>
    <w:rsid w:val="00D91D72"/>
    <w:rsid w:val="00D92A53"/>
    <w:rsid w:val="00D92DD0"/>
    <w:rsid w:val="00D95C11"/>
    <w:rsid w:val="00DA460A"/>
    <w:rsid w:val="00DB6D77"/>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874CE"/>
    <w:rsid w:val="00E92A83"/>
    <w:rsid w:val="00E93C7A"/>
    <w:rsid w:val="00E973E9"/>
    <w:rsid w:val="00EA4D37"/>
    <w:rsid w:val="00EB3FCC"/>
    <w:rsid w:val="00EB4786"/>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2</cp:revision>
  <cp:lastPrinted>2004-10-12T19:46:00Z</cp:lastPrinted>
  <dcterms:created xsi:type="dcterms:W3CDTF">2019-08-14T18:37:00Z</dcterms:created>
  <dcterms:modified xsi:type="dcterms:W3CDTF">2019-08-14T18:37:00Z</dcterms:modified>
</cp:coreProperties>
</file>