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16019">
      <w:pPr>
        <w:pStyle w:val="Footer"/>
        <w:tabs>
          <w:tab w:val="clear" w:pos="4320"/>
          <w:tab w:val="clear" w:pos="8640"/>
        </w:tabs>
        <w:rPr>
          <w:rFonts w:ascii="Arial" w:hAnsi="Arial"/>
          <w:noProof/>
        </w:rPr>
      </w:pPr>
      <w:r>
        <w:rPr>
          <w:rFonts w:ascii="Arial" w:hAnsi="Arial"/>
          <w:noProof/>
        </w:rPr>
        <w:pict>
          <v:rect id="_x0000_s1816" style="position:absolute;margin-left:-49.95pt;margin-top:-44.8pt;width:610.8pt;height:808.9pt;z-index:251483136;v-text-anchor:middle" fillcolor="#06c">
            <v:textbox>
              <w:txbxContent>
                <w:p w:rsidR="00000000" w:rsidRDefault="00216019">
                  <w:pPr>
                    <w:autoSpaceDE w:val="0"/>
                    <w:autoSpaceDN w:val="0"/>
                    <w:adjustRightInd w:val="0"/>
                    <w:jc w:val="center"/>
                    <w:rPr>
                      <w:color w:val="000000"/>
                      <w:sz w:val="48"/>
                      <w:szCs w:val="48"/>
                    </w:rPr>
                  </w:pPr>
                </w:p>
              </w:txbxContent>
            </v:textbox>
          </v:rect>
        </w:pict>
      </w:r>
      <w:r>
        <w:rPr>
          <w:rFonts w:ascii="Arial" w:hAnsi="Arial"/>
          <w:noProof/>
        </w:rPr>
        <w:pict>
          <v:shape id="_x0000_s1829" style="position:absolute;margin-left:348pt;margin-top:27pt;width:22.4pt;height:26.1pt;z-index:251496448;mso-position-horizontal:absolute;mso-position-vertical:absolute" coordsize="449,522" path="m69,383r62,102l212,522,338,497,419,383,449,278r,-89l417,107,348,29,274,,202,2,69,29,23,116,3,172,,241r15,77l69,383xe" fillcolor="yellow" strokecolor="navy" strokeweight="0">
            <v:path arrowok="t"/>
          </v:shape>
        </w:pict>
      </w:r>
      <w:r>
        <w:rPr>
          <w:rFonts w:ascii="Arial" w:hAnsi="Arial"/>
          <w:noProof/>
        </w:rPr>
        <w:pict>
          <v:shape id="_x0000_s1828" style="position:absolute;margin-left:312pt;margin-top:27pt;width:22.4pt;height:26.1pt;z-index:251495424;mso-position-horizontal:absolute;mso-position-vertical:absolute" coordsize="449,522" path="m69,383r62,102l212,522,338,497,419,383,449,278r,-89l417,107,348,29,274,,202,2,69,29,23,116,3,172,,241r15,77l69,383xe" fillcolor="yellow" strokecolor="navy" strokeweight="0">
            <v:path arrowok="t"/>
          </v:shape>
        </w:pict>
      </w:r>
      <w:r>
        <w:rPr>
          <w:rFonts w:ascii="Arial" w:hAnsi="Arial"/>
          <w:noProof/>
        </w:rPr>
        <w:pict>
          <v:shape id="_x0000_s1827" style="position:absolute;margin-left:270pt;margin-top:27pt;width:22.35pt;height:26.1pt;z-index:251494400;mso-position-horizontal:absolute;mso-position-vertical:absolute" coordsize="449,522" path="m69,383r62,102l212,522,338,497,419,383,449,278r,-89l417,107,348,29,274,,202,2,69,29,23,116,3,172,,241r15,77l69,383xe" fillcolor="yellow" strokecolor="navy" strokeweight="0">
            <v:path arrowok="t"/>
          </v:shape>
        </w:pict>
      </w:r>
      <w:r>
        <w:rPr>
          <w:rFonts w:ascii="Arial" w:hAnsi="Arial"/>
          <w:noProof/>
        </w:rPr>
        <w:pict>
          <v:shape id="_x0000_s1826" style="position:absolute;margin-left:18pt;margin-top:220.1pt;width:22.35pt;height:26.15pt;z-index:251493376;mso-position-horizontal:absolute;mso-position-vertical:absolute" coordsize="449,522" path="m69,383r62,102l212,522,338,497,419,383,449,278r,-89l417,107,348,29,274,,202,2,69,29,23,116,3,172,,241r15,77l69,383xe" fillcolor="yellow" strokecolor="navy" strokeweight="0">
            <v:path arrowok="t"/>
          </v:shape>
        </w:pict>
      </w:r>
      <w:r>
        <w:rPr>
          <w:rFonts w:ascii="Arial" w:hAnsi="Arial"/>
          <w:noProof/>
        </w:rPr>
        <w:pict>
          <v:shape id="_x0000_s1825" style="position:absolute;margin-left:390pt;margin-top:40.1pt;width:22.35pt;height:26.15pt;z-index:251492352;mso-position-horizontal:absolute;mso-position-vertical:absolute" coordsize="449,522" path="m69,383r62,102l212,522,338,497,419,383,449,278r,-89l417,107,348,29,274,,202,2,69,29,23,116,3,172,,241r15,77l69,383xe" fillcolor="yellow" strokecolor="navy" strokeweight="0">
            <v:path arrowok="t"/>
          </v:shape>
        </w:pict>
      </w:r>
      <w:r>
        <w:rPr>
          <w:rFonts w:ascii="Arial" w:hAnsi="Arial"/>
          <w:noProof/>
        </w:rPr>
        <w:pict>
          <v:shape id="_x0000_s1824" style="position:absolute;margin-left:414pt;margin-top:64.1pt;width:22.35pt;height:26.1pt;z-index:251491328;mso-position-horizontal:absolute;mso-position-vertical:absolute" coordsize="449,522" path="m69,383r62,102l212,522,338,497,419,383,449,278r,-89l417,107,348,29,274,,202,2,69,29,23,116,3,172,,241r15,77l69,383xe" fillcolor="yellow" strokecolor="navy" strokeweight="0">
            <v:path arrowok="t"/>
          </v:shape>
        </w:pict>
      </w:r>
      <w:r>
        <w:rPr>
          <w:rFonts w:ascii="Arial" w:hAnsi="Arial"/>
          <w:noProof/>
        </w:rPr>
        <w:pict>
          <v:shape id="_x0000_s1823" style="position:absolute;margin-left:438pt;margin-top:94.1pt;width:22.4pt;height:26.15pt;z-index:251490304;mso-position-horizontal:absolute;mso-position-vertical:absolute" coordsize="449,522" path="m69,383r62,102l212,522,338,497,419,383,449,278r,-89l417,107,348,29,274,,202,2,69,29,23,116,3,172,,241r15,77l69,383xe" fillcolor="yellow" strokecolor="navy" strokeweight="0">
            <v:path arrowok="t"/>
          </v:shape>
        </w:pict>
      </w:r>
      <w:r>
        <w:rPr>
          <w:rFonts w:ascii="Arial" w:hAnsi="Arial"/>
          <w:noProof/>
        </w:rPr>
        <w:pict>
          <v:shape id="_x0000_s1822" style="position:absolute;margin-left:12pt;margin-top:268.1pt;width:22.35pt;height:26.1pt;z-index:251489280;mso-position-horizontal:absolute;mso-position-vertical:absolute" coordsize="449,522" path="m69,383r62,102l212,522,338,497,419,383,449,278r,-89l417,107,348,29,274,,202,2,69,29,23,116,3,172,,241r15,77l69,383xe" fillcolor="yellow" strokecolor="navy" strokeweight="0">
            <v:path arrowok="t"/>
          </v:shape>
        </w:pict>
      </w:r>
      <w:r>
        <w:rPr>
          <w:rFonts w:ascii="Arial" w:hAnsi="Arial"/>
          <w:noProof/>
        </w:rPr>
        <w:pict>
          <v:shape id="_x0000_s1821" style="position:absolute;margin-left:18pt;margin-top:172.1pt;width:18pt;height:32.1pt;z-index:251488256;mso-position-horizontal:absolute;mso-position-vertical:absolute" coordsize="449,522" path="m69,383r62,102l212,522,338,497,419,383,449,278r,-89l417,107,348,29,274,,202,2,69,29,23,116,3,172,,241r15,77l69,383xe" fillcolor="yellow" strokecolor="navy" strokeweight="0">
            <v:path arrowok="t"/>
          </v:shape>
        </w:pict>
      </w:r>
      <w:r>
        <w:rPr>
          <w:rFonts w:ascii="Arial" w:hAnsi="Arial"/>
          <w:noProof/>
        </w:rPr>
        <w:pict>
          <v:shape id="_x0000_s1820" style="position:absolute;margin-left:30pt;margin-top:136.1pt;width:22.35pt;height:26.1pt;z-index:251487232;mso-position-horizontal:absolute;mso-position-vertical:absolute" coordsize="449,522" path="m69,383r62,102l212,522,338,497,419,383,449,278r,-89l417,107,348,29,274,,202,2,69,29,23,116,3,172,,241r15,77l69,383xe" fillcolor="yellow" strokecolor="navy" strokeweight="0">
            <v:path arrowok="t"/>
          </v:shape>
        </w:pict>
      </w:r>
      <w:r>
        <w:rPr>
          <w:rFonts w:ascii="Arial" w:hAnsi="Arial"/>
          <w:noProof/>
        </w:rPr>
        <w:drawing>
          <wp:anchor distT="0" distB="0" distL="114300" distR="114300" simplePos="0" relativeHeight="251484160" behindDoc="0" locked="0" layoutInCell="1" allowOverlap="1">
            <wp:simplePos x="0" y="0"/>
            <wp:positionH relativeFrom="column">
              <wp:posOffset>304800</wp:posOffset>
            </wp:positionH>
            <wp:positionV relativeFrom="paragraph">
              <wp:posOffset>4014470</wp:posOffset>
            </wp:positionV>
            <wp:extent cx="468630" cy="773430"/>
            <wp:effectExtent l="19050" t="0" r="7620" b="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7"/>
                    <a:srcRect/>
                    <a:stretch>
                      <a:fillRect/>
                    </a:stretch>
                  </pic:blipFill>
                  <pic:spPr bwMode="auto">
                    <a:xfrm>
                      <a:off x="0" y="0"/>
                      <a:ext cx="468630" cy="773430"/>
                    </a:xfrm>
                    <a:prstGeom prst="rect">
                      <a:avLst/>
                    </a:prstGeom>
                    <a:noFill/>
                  </pic:spPr>
                </pic:pic>
              </a:graphicData>
            </a:graphic>
          </wp:anchor>
        </w:drawing>
      </w:r>
      <w:r>
        <w:rPr>
          <w:rFonts w:ascii="Arial" w:hAnsi="Arial"/>
          <w:noProof/>
        </w:rPr>
        <w:pict>
          <v:rect id="_x0000_s1840" style="position:absolute;margin-left:-18pt;margin-top:520.1pt;width:540pt;height:172.75pt;z-index:251503616;mso-position-horizontal-relative:text;mso-position-vertical-relative:text" filled="f" fillcolor="#0c9" stroked="f">
            <v:textbox>
              <w:txbxContent>
                <w:p w:rsidR="00000000" w:rsidRDefault="00216019">
                  <w:pPr>
                    <w:autoSpaceDE w:val="0"/>
                    <w:autoSpaceDN w:val="0"/>
                    <w:adjustRightInd w:val="0"/>
                    <w:ind w:firstLine="720"/>
                    <w:jc w:val="right"/>
                    <w:rPr>
                      <w:color w:val="000000"/>
                    </w:rPr>
                  </w:pPr>
                  <w:r>
                    <w:rPr>
                      <w:rFonts w:ascii="Comic Sans MS"/>
                      <w:color w:val="FFFF00"/>
                      <w:sz w:val="44"/>
                      <w:szCs w:val="44"/>
                    </w:rPr>
                    <w:t xml:space="preserve">Annual Report of the </w:t>
                  </w:r>
                  <w:r>
                    <w:rPr>
                      <w:rFonts w:ascii="Comic Sans MS"/>
                      <w:b/>
                      <w:bCs/>
                      <w:i/>
                      <w:iCs/>
                      <w:color w:val="FFFF00"/>
                      <w:sz w:val="36"/>
                      <w:szCs w:val="36"/>
                    </w:rPr>
                    <w:t>hawk-</w:t>
                  </w:r>
                  <w:r>
                    <w:rPr>
                      <w:rFonts w:ascii="Comic Sans MS"/>
                      <w:b/>
                      <w:bCs/>
                      <w:i/>
                      <w:iCs/>
                      <w:color w:val="FFFF00"/>
                      <w:sz w:val="36"/>
                      <w:szCs w:val="36"/>
                    </w:rPr>
                    <w:t>i</w:t>
                  </w:r>
                  <w:r>
                    <w:rPr>
                      <w:rFonts w:ascii="Comic Sans MS"/>
                      <w:b/>
                      <w:bCs/>
                      <w:i/>
                      <w:iCs/>
                      <w:color w:val="FFFF00"/>
                      <w:sz w:val="52"/>
                      <w:szCs w:val="52"/>
                    </w:rPr>
                    <w:t xml:space="preserve"> </w:t>
                  </w:r>
                  <w:r>
                    <w:rPr>
                      <w:rFonts w:ascii="Comic Sans MS"/>
                      <w:color w:val="FFFF00"/>
                      <w:sz w:val="44"/>
                      <w:szCs w:val="44"/>
                    </w:rPr>
                    <w:t>Board</w:t>
                  </w:r>
                  <w:r>
                    <w:rPr>
                      <w:rFonts w:ascii="Comic Sans MS"/>
                      <w:color w:val="FFFF00"/>
                      <w:sz w:val="44"/>
                      <w:szCs w:val="44"/>
                    </w:rPr>
                    <w:tab/>
                  </w:r>
                </w:p>
                <w:p w:rsidR="00000000" w:rsidRDefault="00216019">
                  <w:pPr>
                    <w:autoSpaceDE w:val="0"/>
                    <w:autoSpaceDN w:val="0"/>
                    <w:adjustRightInd w:val="0"/>
                    <w:ind w:firstLine="720"/>
                    <w:jc w:val="right"/>
                    <w:rPr>
                      <w:color w:val="000000"/>
                    </w:rPr>
                  </w:pPr>
                  <w:r>
                    <w:rPr>
                      <w:rFonts w:ascii="Comic Sans MS"/>
                      <w:color w:val="FFFF00"/>
                      <w:sz w:val="44"/>
                      <w:szCs w:val="44"/>
                    </w:rPr>
                    <w:t>to the Governor, General Assembly</w:t>
                  </w:r>
                  <w:r>
                    <w:rPr>
                      <w:rFonts w:ascii="Comic Sans MS"/>
                      <w:color w:val="FFFF00"/>
                      <w:sz w:val="44"/>
                      <w:szCs w:val="44"/>
                    </w:rPr>
                    <w:tab/>
                  </w:r>
                </w:p>
                <w:p w:rsidR="00000000" w:rsidRDefault="00216019">
                  <w:pPr>
                    <w:autoSpaceDE w:val="0"/>
                    <w:autoSpaceDN w:val="0"/>
                    <w:adjustRightInd w:val="0"/>
                    <w:ind w:firstLine="720"/>
                    <w:jc w:val="right"/>
                    <w:rPr>
                      <w:color w:val="000000"/>
                    </w:rPr>
                  </w:pPr>
                  <w:r>
                    <w:rPr>
                      <w:rFonts w:ascii="Comic Sans MS"/>
                      <w:color w:val="FFFF00"/>
                      <w:sz w:val="44"/>
                      <w:szCs w:val="44"/>
                    </w:rPr>
                    <w:t xml:space="preserve">  and Council on Human Services</w:t>
                  </w:r>
                  <w:r>
                    <w:rPr>
                      <w:rFonts w:ascii="Comic Sans MS"/>
                      <w:color w:val="FFFF00"/>
                      <w:sz w:val="44"/>
                      <w:szCs w:val="44"/>
                    </w:rPr>
                    <w:tab/>
                    <w:t xml:space="preserve"> </w:t>
                  </w:r>
                </w:p>
                <w:p w:rsidR="00000000" w:rsidRDefault="00216019">
                  <w:pPr>
                    <w:autoSpaceDE w:val="0"/>
                    <w:autoSpaceDN w:val="0"/>
                    <w:adjustRightInd w:val="0"/>
                    <w:ind w:firstLine="720"/>
                    <w:rPr>
                      <w:color w:val="000000"/>
                    </w:rPr>
                  </w:pPr>
                  <w:r>
                    <w:rPr>
                      <w:rFonts w:ascii="Comic Sans MS"/>
                      <w:color w:val="FFFF00"/>
                      <w:sz w:val="44"/>
                      <w:szCs w:val="44"/>
                    </w:rPr>
                    <w:t> </w:t>
                  </w:r>
                </w:p>
                <w:p w:rsidR="00000000" w:rsidRDefault="00216019">
                  <w:pPr>
                    <w:autoSpaceDE w:val="0"/>
                    <w:autoSpaceDN w:val="0"/>
                    <w:adjustRightInd w:val="0"/>
                    <w:ind w:firstLine="720"/>
                    <w:jc w:val="right"/>
                    <w:rPr>
                      <w:color w:val="000000"/>
                    </w:rPr>
                  </w:pPr>
                  <w:r>
                    <w:rPr>
                      <w:rFonts w:ascii="Comic Sans MS"/>
                      <w:color w:val="FFFF00"/>
                      <w:sz w:val="44"/>
                      <w:szCs w:val="44"/>
                    </w:rPr>
                    <w:t xml:space="preserve">    Calendar Year 2003 </w:t>
                  </w:r>
                  <w:r>
                    <w:rPr>
                      <w:rFonts w:ascii="Comic Sans MS"/>
                      <w:color w:val="FFFF00"/>
                      <w:sz w:val="36"/>
                      <w:szCs w:val="36"/>
                    </w:rPr>
                    <w:tab/>
                  </w:r>
                </w:p>
                <w:p w:rsidR="00000000" w:rsidRDefault="00216019">
                  <w:pPr>
                    <w:autoSpaceDE w:val="0"/>
                    <w:autoSpaceDN w:val="0"/>
                    <w:adjustRightInd w:val="0"/>
                    <w:ind w:firstLine="720"/>
                    <w:rPr>
                      <w:color w:val="000000"/>
                      <w:sz w:val="48"/>
                      <w:szCs w:val="48"/>
                    </w:rPr>
                  </w:pPr>
                </w:p>
              </w:txbxContent>
            </v:textbox>
          </v:rect>
        </w:pict>
      </w:r>
    </w:p>
    <w:p w:rsidR="00000000" w:rsidRDefault="00216019">
      <w:r>
        <w:rPr>
          <w:noProof/>
          <w:sz w:val="20"/>
        </w:rPr>
        <w:pict>
          <v:shapetype id="_x0000_t202" coordsize="21600,21600" o:spt="202" path="m,l,21600r21600,l21600,xe">
            <v:stroke joinstyle="miter"/>
            <v:path gradientshapeok="t" o:connecttype="rect"/>
          </v:shapetype>
          <v:shape id="_x0000_s1839" type="#_x0000_t202" style="position:absolute;margin-left:54pt;margin-top:130.2pt;width:390pt;height:162pt;z-index:251502592" filled="f" fillcolor="#0c9" stroked="f">
            <v:textbox>
              <w:txbxContent>
                <w:p w:rsidR="00000000" w:rsidRDefault="00216019">
                  <w:pPr>
                    <w:autoSpaceDE w:val="0"/>
                    <w:autoSpaceDN w:val="0"/>
                    <w:adjustRightInd w:val="0"/>
                    <w:rPr>
                      <w:rFonts w:ascii="Comic Sans MS" w:hAnsi="Comic Sans MS"/>
                      <w:b/>
                      <w:bCs/>
                      <w:i/>
                      <w:iCs/>
                      <w:color w:val="FFFF00"/>
                      <w:sz w:val="160"/>
                      <w:szCs w:val="160"/>
                    </w:rPr>
                  </w:pPr>
                  <w:r>
                    <w:rPr>
                      <w:rFonts w:ascii="Comic Sans MS" w:hAnsi="Comic Sans MS"/>
                      <w:b/>
                      <w:bCs/>
                      <w:i/>
                      <w:iCs/>
                      <w:color w:val="FFFF00"/>
                      <w:sz w:val="160"/>
                      <w:szCs w:val="160"/>
                    </w:rPr>
                    <w:t>hawk-i</w:t>
                  </w:r>
                </w:p>
                <w:p w:rsidR="00000000" w:rsidRDefault="00216019">
                  <w:pPr>
                    <w:autoSpaceDE w:val="0"/>
                    <w:autoSpaceDN w:val="0"/>
                    <w:adjustRightInd w:val="0"/>
                    <w:rPr>
                      <w:rFonts w:ascii="Comic Sans MS" w:hAnsi="Comic Sans MS"/>
                      <w:b/>
                      <w:bCs/>
                      <w:i/>
                      <w:iCs/>
                      <w:color w:val="FFFF00"/>
                      <w:sz w:val="48"/>
                      <w:szCs w:val="48"/>
                    </w:rPr>
                  </w:pPr>
                  <w:r>
                    <w:rPr>
                      <w:rFonts w:ascii="Comic Sans MS" w:hAnsi="Comic Sans MS"/>
                      <w:b/>
                      <w:bCs/>
                      <w:i/>
                      <w:iCs/>
                      <w:color w:val="FFFF00"/>
                      <w:sz w:val="48"/>
                      <w:szCs w:val="48"/>
                    </w:rPr>
                    <w:t>(Healthy and Well Kids in Iowa)</w:t>
                  </w:r>
                </w:p>
              </w:txbxContent>
            </v:textbox>
          </v:shape>
        </w:pict>
      </w:r>
      <w:r>
        <w:rPr>
          <w:noProof/>
          <w:sz w:val="20"/>
        </w:rPr>
        <w:pict>
          <v:shape id="_x0000_s1831" style="position:absolute;margin-left:493.05pt;margin-top:247.2pt;width:22.35pt;height:26.1pt;z-index:251498496;mso-position-horizontal:absolute;mso-position-vertical:absolute" coordsize="449,522" path="m69,383r62,102l212,522,338,497,419,383,449,278r,-89l417,107,348,29,274,,202,2,69,29,23,116,3,172,,241r15,77l69,383xe" fillcolor="yellow" strokecolor="navy" strokeweight="0">
            <v:path arrowok="t"/>
          </v:shape>
        </w:pict>
      </w:r>
      <w:r>
        <w:rPr>
          <w:noProof/>
          <w:sz w:val="20"/>
        </w:rPr>
        <w:pict>
          <v:shape id="_x0000_s1830" style="position:absolute;margin-left:493.05pt;margin-top:202.2pt;width:22.4pt;height:26.1pt;z-index:251497472;mso-position-horizontal:absolute;mso-position-vertical:absolute" coordsize="449,522" path="m69,383r62,102l212,522,338,497,419,383,449,278r,-89l417,107,348,29,274,,202,2,69,29,23,116,3,172,,241r15,77l69,383xe" fillcolor="yellow" strokecolor="navy" strokeweight="0">
            <v:path arrowok="t"/>
          </v:shape>
        </w:pict>
      </w:r>
      <w:r>
        <w:rPr>
          <w:noProof/>
          <w:sz w:val="20"/>
        </w:rPr>
        <w:pict>
          <v:group id="_x0000_s1832" style="position:absolute;margin-left:458.85pt;margin-top:103.2pt;width:66pt;height:79.9pt;z-index:251499520" coordorigin="1942,1356" coordsize="1320,1596">
            <v:shape id="_x0000_s1833" style="position:absolute;left:1975;top:1380;width:1254;height:1538" coordsize="1254,1538" path="m896,l872,562r382,223l922,1008r-52,530l567,1164,,1243,327,766,168,185,550,377,896,xe" fillcolor="yellow" strokecolor="#f9c">
              <v:path arrowok="t"/>
            </v:shape>
            <v:shape id="_x0000_s1834" style="position:absolute;left:1942;top:1356;width:1320;height:1596" coordsize="1320,1596" path="m965,26l895,24,871,586r,l874,600r7,10l888,617r382,223l1287,809r-24,-24l1256,794r-3,15l1256,823r7,10l1268,780,936,1003r-5,5l924,1018r-2,12l869,1560r34,2l927,1538r-10,-7l903,1529r-15,2l879,1538r-8,10l929,1541,626,1166r-2,-2l614,1157r-14,-3l595,1154,28,1234r5,33l64,1282r3,-15l64,1253r-7,-10l48,1236r-15,-2l62,1286,389,809r2,-5l393,790r,-10l235,199r-34,10l187,240r14,2l216,240r9,-7l233,223r2,-14l187,240,569,432r,l583,434r15,-2l607,425r3,l955,48,905,,559,377r39,-7l583,367r-14,3l559,377r24,24l600,370,218,178r-2,l201,175r-14,3l177,185r-7,9l168,209r2,9l329,799r,-24l326,790r34,l333,770,7,1248r-5,5l,1267r2,15l9,1291r10,7l33,1301r5,l605,1222r-29,-10l586,1219r14,3l600,1188r-26,22l876,1584r3,2l888,1594r15,2l917,1594r10,-8l934,1577r2,-15l936,1567r53,-530l979,1056r8,-10l989,1032r-34,l975,1061,1306,838r5,-5l1318,823r2,-14l1318,794r-7,-9l1304,780,922,557r17,29l936,571r-7,-9l905,586r36,2l965,26xe" fillcolor="#e89959" strokecolor="#f9c">
              <v:path arrowok="t"/>
            </v:shape>
          </v:group>
        </w:pict>
      </w:r>
      <w:r>
        <w:rPr>
          <w:noProof/>
          <w:sz w:val="20"/>
        </w:rPr>
        <w:pict>
          <v:group id="_x0000_s1836" style="position:absolute;margin-left:57pt;margin-top:76.2pt;width:54pt;height:48pt;z-index:251501568" coordorigin="1896,1260" coordsize="1368,1596">
            <v:shape id="_x0000_s1837" style="position:absolute;left:2010;top:1260;width:1254;height:1538;mso-position-horizontal:absolute;mso-position-vertical:absolute" coordsize="1254,1538" path="m896,l872,562r382,223l922,1008r-52,530l567,1164,,1243,327,766,168,185,550,377,896,xe" fillcolor="#f90" strokecolor="#fc9">
              <v:path arrowok="t"/>
            </v:shape>
            <v:shape id="_x0000_s1838" style="position:absolute;left:1896;top:1260;width:1320;height:1596;mso-position-horizontal:absolute;mso-position-vertical:absolute" coordsize="1320,1596" path="m965,26l895,24,871,586r,l874,600r7,10l888,617r382,223l1287,809r-24,-24l1256,794r-3,15l1256,823r7,10l1268,780,936,1003r-5,5l924,1018r-2,12l869,1560r34,2l927,1538r-10,-7l903,1529r-15,2l879,1538r-8,10l929,1541,626,1166r-2,-2l614,1157r-14,-3l595,1154,28,1234r5,33l64,1282r3,-15l64,1253r-7,-10l48,1236r-15,-2l62,1286,389,809r2,-5l393,790r,-10l235,199r-34,10l187,240r14,2l216,240r9,-7l233,223r2,-14l187,240,569,432r,l583,434r15,-2l607,425r3,l955,48,905,,559,377r39,-7l583,367r-14,3l559,377r24,24l600,370,218,178r-2,l201,175r-14,3l177,185r-7,9l168,209r2,9l329,799r,-24l326,790r34,l333,770,7,1248r-5,5l,1267r2,15l9,1291r10,7l33,1301r5,l605,1222r-29,-10l586,1219r14,3l600,1188r-26,22l876,1584r3,2l888,1594r15,2l917,1594r10,-8l934,1577r2,-15l936,1567r53,-530l979,1056r8,-10l989,1032r-34,l975,1061,1306,838r5,-5l1318,823r2,-14l1318,794r-7,-9l1304,780,922,557r17,29l936,571r-7,-9l905,586r36,2l965,26xe" fillcolor="#f60" strokecolor="#fc9">
              <v:path arrowok="t"/>
            </v:shape>
          </v:group>
        </w:pict>
      </w:r>
      <w:r>
        <w:rPr>
          <w:noProof/>
          <w:sz w:val="20"/>
        </w:rPr>
        <w:pict>
          <v:shape id="_x0000_s1819" style="position:absolute;margin-left:116.85pt;margin-top:67.2pt;width:22.4pt;height:26.1pt;z-index:251486208;mso-position-horizontal:absolute;mso-position-vertical:absolute" coordsize="449,522" path="m69,383r62,102l212,522,338,497,419,383,449,278r,-89l417,107,348,29,274,,202,2,69,29,23,116,3,172,,241r15,77l69,383xe" fillcolor="yellow" strokecolor="navy" strokeweight="0">
            <v:path arrowok="t"/>
          </v:shape>
        </w:pict>
      </w:r>
      <w:r>
        <w:rPr>
          <w:noProof/>
          <w:sz w:val="20"/>
        </w:rPr>
        <w:pict>
          <v:shape id="_x0000_s1818" style="position:absolute;margin-left:151.05pt;margin-top:40.2pt;width:22.4pt;height:26.15pt;z-index:251485184;mso-position-horizontal:absolute;mso-position-vertical:absolute" coordsize="449,522" path="m69,383r62,102l212,522,338,497,419,383,449,278r,-89l417,107,348,29,274,,202,2,69,29,23,116,3,172,,241r15,77l69,383xe" fillcolor="yellow" strokecolor="navy" strokeweight="0">
            <v:path arrowok="t"/>
          </v:shape>
        </w:pict>
      </w:r>
      <w:r>
        <w:rPr>
          <w:noProof/>
          <w:sz w:val="20"/>
        </w:rPr>
        <w:pict>
          <v:shape id="_x0000_s1835" style="position:absolute;margin-left:193.8pt;margin-top:13.2pt;width:62.75pt;height:76.9pt;rotation:-180;z-index:251500544;mso-position-horizontal:absolute;mso-position-vertical:absolute" coordsize="1254,1538" path="m896,l872,562r382,223l922,1008r-52,530l567,1164,,1243,327,766,168,185,550,377,896,xe" fillcolor="#f90" strokecolor="#fc9">
            <v:path arrowok="t"/>
          </v:shape>
        </w:pict>
      </w:r>
    </w:p>
    <w:p w:rsidR="00000000" w:rsidRDefault="00216019">
      <w:pPr>
        <w:pStyle w:val="Header"/>
        <w:tabs>
          <w:tab w:val="clear" w:pos="4320"/>
          <w:tab w:val="clear" w:pos="8640"/>
        </w:tabs>
      </w:pPr>
      <w:r>
        <w:br w:type="page"/>
      </w:r>
    </w:p>
    <w:p w:rsidR="00000000" w:rsidRDefault="00216019"/>
    <w:p w:rsidR="00000000" w:rsidRDefault="00216019"/>
    <w:p w:rsidR="00000000" w:rsidRDefault="00216019"/>
    <w:p w:rsidR="00000000" w:rsidRDefault="00216019"/>
    <w:p w:rsidR="00000000" w:rsidRDefault="00216019"/>
    <w:p w:rsidR="00000000" w:rsidRDefault="00216019"/>
    <w:p w:rsidR="00000000" w:rsidRDefault="00216019"/>
    <w:p w:rsidR="00000000" w:rsidRDefault="00216019"/>
    <w:p w:rsidR="00000000" w:rsidRDefault="00216019"/>
    <w:p w:rsidR="00000000" w:rsidRDefault="00216019"/>
    <w:p w:rsidR="00000000" w:rsidRDefault="00216019"/>
    <w:p w:rsidR="00000000" w:rsidRDefault="00216019"/>
    <w:p w:rsidR="00000000" w:rsidRDefault="00216019"/>
    <w:p w:rsidR="00000000" w:rsidRDefault="00216019"/>
    <w:p w:rsidR="00000000" w:rsidRDefault="00216019"/>
    <w:p w:rsidR="00000000" w:rsidRDefault="00216019">
      <w:pPr>
        <w:jc w:val="center"/>
        <w:rPr>
          <w:b/>
          <w:i/>
          <w:sz w:val="48"/>
        </w:rPr>
      </w:pPr>
      <w:r>
        <w:rPr>
          <w:b/>
          <w:i/>
          <w:sz w:val="48"/>
        </w:rPr>
        <w:t>Healthy and Well Kids In Iowa</w:t>
      </w:r>
    </w:p>
    <w:p w:rsidR="00000000" w:rsidRDefault="00216019">
      <w:pPr>
        <w:jc w:val="center"/>
        <w:rPr>
          <w:sz w:val="48"/>
        </w:rPr>
      </w:pPr>
      <w:r>
        <w:rPr>
          <w:b/>
          <w:i/>
          <w:sz w:val="48"/>
        </w:rPr>
        <w:t>(hawk-i</w:t>
      </w:r>
      <w:r>
        <w:rPr>
          <w:sz w:val="48"/>
        </w:rPr>
        <w:t>)</w:t>
      </w:r>
    </w:p>
    <w:p w:rsidR="00000000" w:rsidRDefault="00216019">
      <w:pPr>
        <w:jc w:val="center"/>
        <w:rPr>
          <w:sz w:val="44"/>
        </w:rPr>
      </w:pPr>
    </w:p>
    <w:p w:rsidR="00000000" w:rsidRDefault="00216019">
      <w:pPr>
        <w:jc w:val="center"/>
        <w:rPr>
          <w:sz w:val="44"/>
        </w:rPr>
      </w:pPr>
    </w:p>
    <w:p w:rsidR="00000000" w:rsidRDefault="00216019">
      <w:pPr>
        <w:jc w:val="center"/>
      </w:pPr>
    </w:p>
    <w:p w:rsidR="00000000" w:rsidRDefault="00216019">
      <w:pPr>
        <w:jc w:val="center"/>
        <w:rPr>
          <w:b/>
          <w:sz w:val="40"/>
        </w:rPr>
      </w:pPr>
      <w:r>
        <w:rPr>
          <w:b/>
          <w:sz w:val="40"/>
        </w:rPr>
        <w:t xml:space="preserve">Annual Report of the </w:t>
      </w:r>
      <w:r>
        <w:rPr>
          <w:b/>
          <w:i/>
          <w:sz w:val="40"/>
        </w:rPr>
        <w:t>hawk-i</w:t>
      </w:r>
      <w:r>
        <w:rPr>
          <w:b/>
          <w:sz w:val="40"/>
        </w:rPr>
        <w:t xml:space="preserve"> Board to the Governor, General Assembly, and Council on Human Services</w:t>
      </w:r>
    </w:p>
    <w:p w:rsidR="00000000" w:rsidRDefault="00216019">
      <w:pPr>
        <w:jc w:val="center"/>
        <w:rPr>
          <w:b/>
          <w:sz w:val="40"/>
        </w:rPr>
      </w:pPr>
    </w:p>
    <w:p w:rsidR="00000000" w:rsidRDefault="00216019">
      <w:pPr>
        <w:jc w:val="center"/>
        <w:rPr>
          <w:b/>
          <w:sz w:val="40"/>
        </w:rPr>
      </w:pPr>
      <w:r>
        <w:rPr>
          <w:b/>
          <w:sz w:val="40"/>
        </w:rPr>
        <w:t>Calendar Year 2003</w:t>
      </w:r>
    </w:p>
    <w:p w:rsidR="00000000" w:rsidRDefault="00216019">
      <w:pPr>
        <w:rPr>
          <w:b/>
          <w:sz w:val="40"/>
        </w:rPr>
      </w:pPr>
    </w:p>
    <w:p w:rsidR="00000000" w:rsidRDefault="00216019">
      <w:pPr>
        <w:jc w:val="center"/>
        <w:rPr>
          <w:b/>
          <w:sz w:val="28"/>
        </w:rPr>
      </w:pPr>
      <w:r>
        <w:br w:type="page"/>
      </w:r>
      <w:r>
        <w:rPr>
          <w:b/>
          <w:noProof/>
          <w:sz w:val="28"/>
        </w:rPr>
        <w:lastRenderedPageBreak/>
        <w:pict>
          <v:rect id="_x0000_s1027" style="position:absolute;left:0;text-align:left;margin-left:-18pt;margin-top:-14.4pt;width:475.2pt;height:28.8pt;z-index:251482112" o:allowincell="f" strokeweight="4.5pt">
            <v:stroke linestyle="thinThick"/>
            <v:textbox>
              <w:txbxContent>
                <w:p w:rsidR="00000000" w:rsidRDefault="00216019">
                  <w:pPr>
                    <w:jc w:val="center"/>
                    <w:rPr>
                      <w:b/>
                      <w:sz w:val="32"/>
                    </w:rPr>
                  </w:pPr>
                  <w:r>
                    <w:rPr>
                      <w:b/>
                      <w:sz w:val="32"/>
                    </w:rPr>
                    <w:t>C O N T E N T S</w:t>
                  </w:r>
                </w:p>
              </w:txbxContent>
            </v:textbox>
          </v:rect>
        </w:pict>
      </w:r>
    </w:p>
    <w:p w:rsidR="00000000" w:rsidRDefault="00216019">
      <w:pPr>
        <w:jc w:val="center"/>
        <w:rPr>
          <w:b/>
          <w:sz w:val="28"/>
        </w:rPr>
      </w:pPr>
    </w:p>
    <w:p w:rsidR="00000000" w:rsidRDefault="00216019">
      <w:pPr>
        <w:jc w:val="center"/>
        <w:rPr>
          <w:b/>
          <w:sz w:val="28"/>
        </w:rPr>
      </w:pPr>
      <w:r>
        <w:rPr>
          <w:b/>
          <w:sz w:val="28"/>
        </w:rPr>
        <w:t xml:space="preserve">ANNUAL REPORT OF THE </w:t>
      </w:r>
      <w:r>
        <w:rPr>
          <w:b/>
          <w:i/>
          <w:sz w:val="28"/>
        </w:rPr>
        <w:t>hawk-i</w:t>
      </w:r>
      <w:r>
        <w:rPr>
          <w:b/>
          <w:sz w:val="28"/>
        </w:rPr>
        <w:t xml:space="preserve"> BOARD</w:t>
      </w:r>
    </w:p>
    <w:p w:rsidR="00000000" w:rsidRDefault="00216019">
      <w:pPr>
        <w:jc w:val="center"/>
        <w:rPr>
          <w:b/>
          <w:sz w:val="28"/>
          <w:u w:val="single"/>
        </w:rPr>
      </w:pPr>
      <w:r>
        <w:rPr>
          <w:b/>
          <w:sz w:val="28"/>
          <w:u w:val="single"/>
        </w:rPr>
        <w:t xml:space="preserve">JANUARY 1, 2003 </w:t>
      </w:r>
      <w:r>
        <w:rPr>
          <w:b/>
          <w:sz w:val="28"/>
          <w:u w:val="single"/>
        </w:rPr>
        <w:t>– DECEMBER 31, 2003</w:t>
      </w:r>
    </w:p>
    <w:p w:rsidR="00000000" w:rsidRDefault="00216019">
      <w:pPr>
        <w:jc w:val="center"/>
        <w:rPr>
          <w:b/>
          <w:sz w:val="28"/>
          <w:u w:val="single"/>
        </w:rPr>
      </w:pPr>
    </w:p>
    <w:p w:rsidR="00000000" w:rsidRDefault="00216019">
      <w:pPr>
        <w:tabs>
          <w:tab w:val="right" w:leader="dot" w:pos="8640"/>
        </w:tabs>
        <w:spacing w:line="360" w:lineRule="auto"/>
      </w:pPr>
      <w:r>
        <w:t>EXECUTIVE SUMMARY</w:t>
      </w:r>
      <w:r>
        <w:tab/>
        <w:t>i - vii</w:t>
      </w:r>
    </w:p>
    <w:p w:rsidR="00000000" w:rsidRDefault="00216019">
      <w:pPr>
        <w:tabs>
          <w:tab w:val="right" w:leader="dot" w:pos="8640"/>
        </w:tabs>
        <w:spacing w:line="360" w:lineRule="auto"/>
      </w:pPr>
      <w:r>
        <w:t xml:space="preserve">CHARGE </w:t>
      </w:r>
      <w:r>
        <w:tab/>
        <w:t>1</w:t>
      </w:r>
    </w:p>
    <w:p w:rsidR="00000000" w:rsidRDefault="00216019">
      <w:pPr>
        <w:tabs>
          <w:tab w:val="right" w:leader="dot" w:pos="8640"/>
        </w:tabs>
        <w:spacing w:line="360" w:lineRule="auto"/>
      </w:pPr>
      <w:r>
        <w:t>CLINICAL ADVISORY COMMITTEE</w:t>
      </w:r>
      <w:r>
        <w:tab/>
        <w:t>1 - 2</w:t>
      </w:r>
    </w:p>
    <w:p w:rsidR="00000000" w:rsidRDefault="00216019">
      <w:pPr>
        <w:tabs>
          <w:tab w:val="right" w:leader="dot" w:pos="8640"/>
        </w:tabs>
        <w:spacing w:line="360" w:lineRule="auto"/>
      </w:pPr>
      <w:r>
        <w:t>RECOMMENDATION TO THE LEGISLATLURE</w:t>
      </w:r>
      <w:r>
        <w:tab/>
        <w:t>2 - 3</w:t>
      </w:r>
    </w:p>
    <w:p w:rsidR="00000000" w:rsidRDefault="00216019">
      <w:pPr>
        <w:tabs>
          <w:tab w:val="right" w:leader="dot" w:pos="8640"/>
        </w:tabs>
        <w:spacing w:line="360" w:lineRule="auto"/>
      </w:pPr>
      <w:r>
        <w:t>BUDGET</w:t>
      </w:r>
      <w:r>
        <w:tab/>
        <w:t>3 - 4</w:t>
      </w:r>
    </w:p>
    <w:p w:rsidR="00000000" w:rsidRDefault="00216019">
      <w:pPr>
        <w:tabs>
          <w:tab w:val="right" w:leader="dot" w:pos="8640"/>
        </w:tabs>
        <w:spacing w:line="360" w:lineRule="auto"/>
      </w:pPr>
      <w:r>
        <w:t>OUTREACH</w:t>
      </w:r>
      <w:r>
        <w:tab/>
        <w:t>5 - 7</w:t>
      </w:r>
    </w:p>
    <w:p w:rsidR="00000000" w:rsidRDefault="00216019">
      <w:pPr>
        <w:tabs>
          <w:tab w:val="right" w:leader="dot" w:pos="8640"/>
        </w:tabs>
        <w:spacing w:line="360" w:lineRule="auto"/>
      </w:pPr>
      <w:r>
        <w:rPr>
          <w:b/>
          <w:i/>
        </w:rPr>
        <w:t>hawk-i</w:t>
      </w:r>
      <w:r>
        <w:t xml:space="preserve"> ENROLLMENT and REFERRALS TO MEDICAID</w:t>
      </w:r>
      <w:r>
        <w:tab/>
        <w:t>8 - 9</w:t>
      </w:r>
    </w:p>
    <w:p w:rsidR="00000000" w:rsidRDefault="00216019">
      <w:pPr>
        <w:tabs>
          <w:tab w:val="right" w:leader="dot" w:pos="8640"/>
        </w:tabs>
        <w:spacing w:line="360" w:lineRule="auto"/>
      </w:pPr>
      <w:r>
        <w:t>NEW ENROLLMENT INITIATIVES</w:t>
      </w:r>
      <w:r>
        <w:tab/>
        <w:t>9 - 10</w:t>
      </w:r>
    </w:p>
    <w:p w:rsidR="00000000" w:rsidRDefault="00216019">
      <w:pPr>
        <w:tabs>
          <w:tab w:val="right" w:leader="dot" w:pos="8640"/>
        </w:tabs>
        <w:spacing w:line="360" w:lineRule="auto"/>
      </w:pPr>
      <w:r>
        <w:t xml:space="preserve">EVALUATIONS </w:t>
      </w:r>
      <w:r>
        <w:t>and SURVEYS</w:t>
      </w:r>
      <w:r>
        <w:tab/>
        <w:t>10 - 15</w:t>
      </w:r>
    </w:p>
    <w:p w:rsidR="00000000" w:rsidRDefault="00216019">
      <w:pPr>
        <w:tabs>
          <w:tab w:val="right" w:leader="dot" w:pos="8640"/>
        </w:tabs>
        <w:spacing w:line="360" w:lineRule="auto"/>
      </w:pPr>
      <w:r>
        <w:t>CMS SITE VISIT REPORT</w:t>
      </w:r>
      <w:r>
        <w:tab/>
        <w:t>15 - 17</w:t>
      </w:r>
    </w:p>
    <w:p w:rsidR="00000000" w:rsidRDefault="00216019">
      <w:pPr>
        <w:tabs>
          <w:tab w:val="right" w:leader="dot" w:pos="8640"/>
        </w:tabs>
        <w:spacing w:line="360" w:lineRule="auto"/>
      </w:pPr>
      <w:r>
        <w:t>HEALTH PLANS</w:t>
      </w:r>
      <w:r>
        <w:tab/>
        <w:t>17</w:t>
      </w:r>
    </w:p>
    <w:p w:rsidR="00000000" w:rsidRDefault="00216019">
      <w:pPr>
        <w:tabs>
          <w:tab w:val="right" w:leader="dot" w:pos="8640"/>
        </w:tabs>
        <w:spacing w:line="360" w:lineRule="auto"/>
      </w:pPr>
      <w:r>
        <w:rPr>
          <w:b/>
          <w:i/>
        </w:rPr>
        <w:t>hawk-i</w:t>
      </w:r>
      <w:r>
        <w:t xml:space="preserve"> BOARD MEMBERSHIP</w:t>
      </w:r>
      <w:r>
        <w:tab/>
        <w:t>18</w:t>
      </w:r>
    </w:p>
    <w:p w:rsidR="00000000" w:rsidRDefault="00216019">
      <w:pPr>
        <w:tabs>
          <w:tab w:val="right" w:leader="dot" w:pos="8640"/>
        </w:tabs>
        <w:spacing w:line="360" w:lineRule="auto"/>
      </w:pPr>
      <w:r>
        <w:t>2003 BOARD ACTIVITIES and MILESTONES</w:t>
      </w:r>
      <w:r>
        <w:tab/>
        <w:t>18 - 21</w:t>
      </w:r>
    </w:p>
    <w:p w:rsidR="00000000" w:rsidRDefault="00216019">
      <w:pPr>
        <w:tabs>
          <w:tab w:val="right" w:leader="dot" w:pos="8640"/>
        </w:tabs>
        <w:spacing w:line="360" w:lineRule="auto"/>
      </w:pPr>
      <w:r>
        <w:t>ADMINISTRATIVE RULE AMENDMENTS</w:t>
      </w:r>
      <w:r>
        <w:tab/>
        <w:t>21 - 22</w:t>
      </w:r>
    </w:p>
    <w:p w:rsidR="00000000" w:rsidRDefault="00216019">
      <w:r>
        <w:rPr>
          <w:sz w:val="28"/>
        </w:rPr>
        <w:t>ATTACHMENTS:</w:t>
      </w:r>
    </w:p>
    <w:p w:rsidR="00000000" w:rsidRDefault="00216019">
      <w:pPr>
        <w:rPr>
          <w:sz w:val="22"/>
        </w:rPr>
      </w:pPr>
    </w:p>
    <w:p w:rsidR="00000000" w:rsidRDefault="00216019">
      <w:pPr>
        <w:tabs>
          <w:tab w:val="left" w:pos="1620"/>
        </w:tabs>
        <w:ind w:left="1627" w:hanging="1627"/>
      </w:pPr>
      <w:r>
        <w:rPr>
          <w:i/>
        </w:rPr>
        <w:t>Attachment 1:</w:t>
      </w:r>
      <w:r>
        <w:tab/>
        <w:t>Clinical Advisory Committee Benefit Recommendations</w:t>
      </w:r>
    </w:p>
    <w:p w:rsidR="00000000" w:rsidRDefault="00216019">
      <w:pPr>
        <w:tabs>
          <w:tab w:val="left" w:pos="1620"/>
        </w:tabs>
        <w:ind w:left="1627" w:hanging="1627"/>
      </w:pPr>
    </w:p>
    <w:p w:rsidR="00000000" w:rsidRDefault="00216019">
      <w:pPr>
        <w:tabs>
          <w:tab w:val="left" w:pos="1620"/>
        </w:tabs>
        <w:ind w:left="1627" w:hanging="1627"/>
        <w:rPr>
          <w:b/>
          <w:bCs/>
          <w:i/>
          <w:iCs/>
        </w:rPr>
      </w:pPr>
      <w:r>
        <w:rPr>
          <w:i/>
        </w:rPr>
        <w:t>Attachment 2:</w:t>
      </w:r>
      <w:r>
        <w:tab/>
        <w:t xml:space="preserve">Outcomes of Care for Children Enrolled in </w:t>
      </w:r>
      <w:r>
        <w:rPr>
          <w:b/>
          <w:i/>
        </w:rPr>
        <w:t xml:space="preserve">hawk-i </w:t>
      </w:r>
      <w:r>
        <w:rPr>
          <w:bCs/>
          <w:iCs/>
        </w:rPr>
        <w:t xml:space="preserve">and Attention Deficit Hyperactivity Disorder and Children in </w:t>
      </w:r>
      <w:r>
        <w:rPr>
          <w:b/>
          <w:bCs/>
          <w:i/>
          <w:iCs/>
        </w:rPr>
        <w:t xml:space="preserve">hawk-i </w:t>
      </w:r>
    </w:p>
    <w:p w:rsidR="00000000" w:rsidRDefault="00216019">
      <w:pPr>
        <w:tabs>
          <w:tab w:val="left" w:pos="1620"/>
        </w:tabs>
        <w:ind w:left="1627" w:hanging="1627"/>
      </w:pPr>
    </w:p>
    <w:p w:rsidR="00000000" w:rsidRDefault="00216019">
      <w:pPr>
        <w:tabs>
          <w:tab w:val="left" w:pos="1620"/>
        </w:tabs>
        <w:ind w:left="1627" w:hanging="1627"/>
      </w:pPr>
      <w:r>
        <w:rPr>
          <w:i/>
          <w:iCs/>
        </w:rPr>
        <w:t>Attachment 3:</w:t>
      </w:r>
      <w:r>
        <w:rPr>
          <w:i/>
          <w:iCs/>
        </w:rPr>
        <w:tab/>
      </w:r>
      <w:r>
        <w:t>Allotment Expenditure History, SFY '03 Expenditure Report, and SFY '04 Budget</w:t>
      </w:r>
    </w:p>
    <w:p w:rsidR="00000000" w:rsidRDefault="00216019">
      <w:pPr>
        <w:tabs>
          <w:tab w:val="left" w:pos="1620"/>
        </w:tabs>
        <w:ind w:left="1627" w:hanging="1627"/>
      </w:pPr>
    </w:p>
    <w:p w:rsidR="00000000" w:rsidRDefault="00216019">
      <w:pPr>
        <w:tabs>
          <w:tab w:val="left" w:pos="1620"/>
        </w:tabs>
        <w:ind w:left="1627" w:hanging="1627"/>
      </w:pPr>
      <w:r>
        <w:rPr>
          <w:i/>
        </w:rPr>
        <w:t>Attachment 4:</w:t>
      </w:r>
      <w:r>
        <w:tab/>
      </w:r>
      <w:r>
        <w:tab/>
        <w:t xml:space="preserve">Organization </w:t>
      </w:r>
      <w:r>
        <w:t xml:space="preserve">of the </w:t>
      </w:r>
      <w:r>
        <w:rPr>
          <w:b/>
          <w:i/>
        </w:rPr>
        <w:t>hawk-i</w:t>
      </w:r>
      <w:r>
        <w:rPr>
          <w:b/>
        </w:rPr>
        <w:t xml:space="preserve"> </w:t>
      </w:r>
      <w:r>
        <w:t>Program Chart, History of Participation of Children in Medicaid and</w:t>
      </w:r>
      <w:r>
        <w:rPr>
          <w:b/>
        </w:rPr>
        <w:t xml:space="preserve"> </w:t>
      </w:r>
      <w:r>
        <w:rPr>
          <w:b/>
          <w:i/>
        </w:rPr>
        <w:t>hawk-i</w:t>
      </w:r>
      <w:r>
        <w:rPr>
          <w:b/>
        </w:rPr>
        <w:t xml:space="preserve">, </w:t>
      </w:r>
      <w:r>
        <w:t xml:space="preserve">Iowa’s SCHIP Program Combination Medicaid Expansion and </w:t>
      </w:r>
      <w:r>
        <w:rPr>
          <w:b/>
          <w:i/>
        </w:rPr>
        <w:t>hawk-i</w:t>
      </w:r>
      <w:r>
        <w:t>, Demographic Summary by Federal Poverty Level, Enrollee Demographic Summary by Age, Enrollee Demographi</w:t>
      </w:r>
      <w:r>
        <w:t>c Summary by Gender</w:t>
      </w:r>
    </w:p>
    <w:p w:rsidR="00000000" w:rsidRDefault="00216019">
      <w:pPr>
        <w:tabs>
          <w:tab w:val="left" w:pos="1620"/>
        </w:tabs>
        <w:ind w:left="1627" w:hanging="1627"/>
      </w:pPr>
    </w:p>
    <w:p w:rsidR="00000000" w:rsidRDefault="00216019">
      <w:pPr>
        <w:tabs>
          <w:tab w:val="left" w:pos="1620"/>
        </w:tabs>
        <w:ind w:left="1627" w:hanging="1627"/>
      </w:pPr>
      <w:r>
        <w:rPr>
          <w:i/>
        </w:rPr>
        <w:t>Attachment 5:</w:t>
      </w:r>
      <w:r>
        <w:tab/>
        <w:t>County Health Plan Map and Enrollment by Health Plan Chart, Iowa’s Children’s Health Insurance Program Chart</w:t>
      </w:r>
    </w:p>
    <w:p w:rsidR="00000000" w:rsidRDefault="00216019">
      <w:pPr>
        <w:tabs>
          <w:tab w:val="left" w:pos="1620"/>
        </w:tabs>
        <w:ind w:left="1627" w:hanging="1627"/>
      </w:pPr>
    </w:p>
    <w:p w:rsidR="00000000" w:rsidRDefault="00216019">
      <w:pPr>
        <w:tabs>
          <w:tab w:val="left" w:pos="1620"/>
        </w:tabs>
        <w:ind w:left="1627" w:hanging="1627"/>
      </w:pPr>
      <w:r>
        <w:rPr>
          <w:i/>
        </w:rPr>
        <w:t>Attachment 6:</w:t>
      </w:r>
      <w:r>
        <w:tab/>
        <w:t>Healthy and Well Kids in Iowa</w:t>
      </w:r>
      <w:r>
        <w:rPr>
          <w:i/>
        </w:rPr>
        <w:t xml:space="preserve"> (</w:t>
      </w:r>
      <w:r>
        <w:rPr>
          <w:b/>
          <w:i/>
        </w:rPr>
        <w:t>hawk-i</w:t>
      </w:r>
      <w:r>
        <w:rPr>
          <w:i/>
        </w:rPr>
        <w:t xml:space="preserve">) </w:t>
      </w:r>
      <w:r>
        <w:t>Board Bylaws</w:t>
      </w:r>
    </w:p>
    <w:p w:rsidR="00000000" w:rsidRDefault="00216019">
      <w:pPr>
        <w:tabs>
          <w:tab w:val="left" w:pos="1620"/>
        </w:tabs>
        <w:sectPr w:rsidR="00000000">
          <w:pgSz w:w="12240" w:h="15840"/>
          <w:pgMar w:top="1440" w:right="1440" w:bottom="1440" w:left="1440" w:header="720" w:footer="720" w:gutter="0"/>
          <w:pgNumType w:fmt="lowerRoman" w:start="1"/>
          <w:cols w:space="720"/>
        </w:sectPr>
      </w:pPr>
    </w:p>
    <w:p w:rsidR="00000000" w:rsidRDefault="00216019">
      <w:pPr>
        <w:tabs>
          <w:tab w:val="left" w:pos="1620"/>
        </w:tabs>
        <w:jc w:val="center"/>
        <w:rPr>
          <w:b/>
          <w:sz w:val="28"/>
        </w:rPr>
      </w:pPr>
      <w:r>
        <w:rPr>
          <w:b/>
          <w:sz w:val="28"/>
        </w:rPr>
        <w:lastRenderedPageBreak/>
        <w:t>EXECUTIVE SUMMARY</w:t>
      </w:r>
    </w:p>
    <w:p w:rsidR="00000000" w:rsidRDefault="00216019">
      <w:pPr>
        <w:tabs>
          <w:tab w:val="left" w:pos="1620"/>
        </w:tabs>
        <w:ind w:left="1627" w:hanging="1627"/>
        <w:jc w:val="center"/>
        <w:rPr>
          <w:b/>
          <w:sz w:val="28"/>
        </w:rPr>
      </w:pPr>
    </w:p>
    <w:p w:rsidR="00000000" w:rsidRDefault="00216019">
      <w:pPr>
        <w:tabs>
          <w:tab w:val="left" w:pos="1620"/>
        </w:tabs>
        <w:ind w:left="1627" w:hanging="1627"/>
        <w:jc w:val="center"/>
      </w:pPr>
      <w:r>
        <w:t xml:space="preserve">Annual Report of the </w:t>
      </w:r>
      <w:r>
        <w:rPr>
          <w:b/>
          <w:i/>
        </w:rPr>
        <w:t>hawk</w:t>
      </w:r>
      <w:r>
        <w:rPr>
          <w:b/>
          <w:i/>
        </w:rPr>
        <w:t>-i</w:t>
      </w:r>
      <w:r>
        <w:t xml:space="preserve"> Board to</w:t>
      </w:r>
    </w:p>
    <w:p w:rsidR="00000000" w:rsidRDefault="00216019">
      <w:pPr>
        <w:tabs>
          <w:tab w:val="left" w:pos="1620"/>
        </w:tabs>
        <w:ind w:left="1627" w:hanging="1627"/>
        <w:jc w:val="center"/>
      </w:pPr>
      <w:r>
        <w:t>the Governor, General Assembly and Council on Human Services</w:t>
      </w:r>
    </w:p>
    <w:p w:rsidR="00000000" w:rsidRDefault="00216019">
      <w:pPr>
        <w:tabs>
          <w:tab w:val="left" w:pos="1620"/>
        </w:tabs>
        <w:ind w:left="1627" w:hanging="1627"/>
        <w:jc w:val="center"/>
      </w:pPr>
    </w:p>
    <w:p w:rsidR="00000000" w:rsidRDefault="00216019">
      <w:pPr>
        <w:tabs>
          <w:tab w:val="left" w:pos="1620"/>
        </w:tabs>
        <w:ind w:left="1627" w:hanging="1627"/>
        <w:jc w:val="center"/>
        <w:rPr>
          <w:sz w:val="28"/>
        </w:rPr>
      </w:pPr>
      <w:r>
        <w:t>Calendar Year 2003</w:t>
      </w:r>
    </w:p>
    <w:p w:rsidR="00000000" w:rsidRDefault="00216019">
      <w:pPr>
        <w:tabs>
          <w:tab w:val="left" w:pos="1620"/>
        </w:tabs>
        <w:ind w:left="1627" w:hanging="1627"/>
        <w:jc w:val="center"/>
        <w:rPr>
          <w:sz w:val="28"/>
        </w:rPr>
      </w:pPr>
    </w:p>
    <w:p w:rsidR="00000000" w:rsidRDefault="00216019">
      <w:pPr>
        <w:tabs>
          <w:tab w:val="left" w:pos="1620"/>
        </w:tabs>
        <w:ind w:left="1627" w:hanging="1627"/>
        <w:rPr>
          <w:sz w:val="28"/>
        </w:rPr>
      </w:pPr>
    </w:p>
    <w:p w:rsidR="00000000" w:rsidRDefault="00216019">
      <w:r>
        <w:t xml:space="preserve">Iowa Code Section 514I.5(g) directs the </w:t>
      </w:r>
      <w:r>
        <w:rPr>
          <w:b/>
          <w:i/>
        </w:rPr>
        <w:t>hawk-i</w:t>
      </w:r>
      <w:r>
        <w:t xml:space="preserve"> Board to submit an annual report to the Governor, General Assembly, and Council on Human Services concerning the B</w:t>
      </w:r>
      <w:r>
        <w:t>oard's activities, findings, and recommendations.</w:t>
      </w:r>
    </w:p>
    <w:p w:rsidR="00000000" w:rsidRDefault="00216019"/>
    <w:p w:rsidR="00000000" w:rsidRDefault="00216019">
      <w:r>
        <w:t xml:space="preserve">During calendar year 2003, the </w:t>
      </w:r>
      <w:r>
        <w:rPr>
          <w:b/>
          <w:i/>
        </w:rPr>
        <w:t>hawk-i</w:t>
      </w:r>
      <w:r>
        <w:t xml:space="preserve"> Board continued to address the challenge set forth by the Governor and Iowa General Assembly ensuring that Iowa’s children have access to quality health care coverage.</w:t>
      </w:r>
      <w:r>
        <w:t xml:space="preserve">  The Board has been supported in its work by the Department of Human Services, Department of Public Health, Department of Education, Division of Insurance, advisory committees, advocacy groups, and providers.</w:t>
      </w:r>
    </w:p>
    <w:p w:rsidR="00000000" w:rsidRDefault="00216019"/>
    <w:p w:rsidR="00000000" w:rsidRDefault="00216019">
      <w:r>
        <w:t>Identifying uninsured children in Iowa throug</w:t>
      </w:r>
      <w:r>
        <w:t xml:space="preserve">h community outreach efforts remains a primary focus of the Board and the development of a new grassroots outreach structure was an important issue addressed by the Board this year. </w:t>
      </w:r>
    </w:p>
    <w:p w:rsidR="00000000" w:rsidRDefault="00216019"/>
    <w:p w:rsidR="00000000" w:rsidRDefault="00216019">
      <w:r>
        <w:t xml:space="preserve">A total of 29,530 children are enrolled in </w:t>
      </w:r>
      <w:r>
        <w:rPr>
          <w:b/>
          <w:i/>
        </w:rPr>
        <w:t>hawk-i</w:t>
      </w:r>
      <w:r>
        <w:t xml:space="preserve"> and the Medicaid Expan</w:t>
      </w:r>
      <w:r>
        <w:t xml:space="preserve">sion Programs as of November 30, 2003.  Health status surveys indicate that children enrolled in the program are more likely to receive preventive health care vital to assuring that children grow up healthy.  </w:t>
      </w:r>
    </w:p>
    <w:p w:rsidR="00000000" w:rsidRDefault="00216019"/>
    <w:p w:rsidR="00000000" w:rsidRDefault="00216019">
      <w:r>
        <w:rPr>
          <w:b/>
          <w:i/>
        </w:rPr>
        <w:t>hawk</w:t>
      </w:r>
      <w:r>
        <w:rPr>
          <w:b/>
          <w:i/>
        </w:rPr>
        <w:noBreakHyphen/>
        <w:t>i</w:t>
      </w:r>
      <w:r>
        <w:t xml:space="preserve"> outreach efforts have also impacted Io</w:t>
      </w:r>
      <w:r>
        <w:t xml:space="preserve">wa’s Medicaid Program.  When the </w:t>
      </w:r>
      <w:r>
        <w:rPr>
          <w:b/>
          <w:i/>
        </w:rPr>
        <w:t>hawk</w:t>
      </w:r>
      <w:r>
        <w:rPr>
          <w:b/>
          <w:i/>
        </w:rPr>
        <w:noBreakHyphen/>
        <w:t>i</w:t>
      </w:r>
      <w:r>
        <w:t xml:space="preserve"> Program was implemented in January, 1999, there were 91,737 children covered by Medicaid.  That number has now grown to 155,555, as of November 30, 2003.  </w:t>
      </w:r>
    </w:p>
    <w:p w:rsidR="00000000" w:rsidRDefault="00216019"/>
    <w:p w:rsidR="00000000" w:rsidRDefault="00216019">
      <w:r>
        <w:t>Highlights of the report are listed below.</w:t>
      </w:r>
    </w:p>
    <w:p w:rsidR="00000000" w:rsidRDefault="00216019"/>
    <w:p w:rsidR="00000000" w:rsidRDefault="00216019"/>
    <w:p w:rsidR="00000000" w:rsidRDefault="00216019">
      <w:pPr>
        <w:ind w:left="-432"/>
        <w:rPr>
          <w:b/>
          <w:sz w:val="28"/>
        </w:rPr>
      </w:pPr>
      <w:r>
        <w:rPr>
          <w:rFonts w:ascii="Times New Roman" w:hAnsi="Times New Roman"/>
          <w:b/>
          <w:sz w:val="28"/>
        </w:rPr>
        <w:t>I</w:t>
      </w:r>
      <w:r>
        <w:rPr>
          <w:b/>
          <w:sz w:val="28"/>
        </w:rPr>
        <w:t xml:space="preserve">.   </w:t>
      </w:r>
      <w:r>
        <w:rPr>
          <w:b/>
          <w:sz w:val="28"/>
          <w:u w:val="single"/>
        </w:rPr>
        <w:t xml:space="preserve">Clinical </w:t>
      </w:r>
      <w:r>
        <w:rPr>
          <w:b/>
          <w:sz w:val="28"/>
          <w:u w:val="single"/>
        </w:rPr>
        <w:t>Advisory Committee</w:t>
      </w:r>
      <w:r>
        <w:rPr>
          <w:b/>
          <w:sz w:val="28"/>
        </w:rPr>
        <w:t>:</w:t>
      </w:r>
    </w:p>
    <w:p w:rsidR="00000000" w:rsidRDefault="00216019"/>
    <w:p w:rsidR="00000000" w:rsidRDefault="00216019">
      <w:r>
        <w:t xml:space="preserve">The Clinical Advisory Committee, created by the Legislature as part of H.F. 2517, to advise the Board on coverage issues, again recommended changes to the current benefits of the </w:t>
      </w:r>
      <w:r>
        <w:rPr>
          <w:b/>
          <w:bCs/>
          <w:i/>
          <w:iCs/>
        </w:rPr>
        <w:t xml:space="preserve">hawk-i </w:t>
      </w:r>
      <w:r>
        <w:t>Program.</w:t>
      </w:r>
    </w:p>
    <w:p w:rsidR="00000000" w:rsidRDefault="00216019"/>
    <w:p w:rsidR="00000000" w:rsidRDefault="00216019">
      <w:r>
        <w:t>These recommendations were supported by</w:t>
      </w:r>
      <w:r>
        <w:t xml:space="preserve"> the </w:t>
      </w:r>
      <w:r>
        <w:rPr>
          <w:b/>
          <w:i/>
        </w:rPr>
        <w:t>hawk-i</w:t>
      </w:r>
      <w:r>
        <w:t xml:space="preserve"> Board and the Board requested that the legislative members of the Board consider sponsorship of a Bill containing the Clinical Advisory Committee's recommendations.  A benefit enhancement bill was introduced but no action was taken by the Legis</w:t>
      </w:r>
      <w:r>
        <w:t>lature.</w:t>
      </w:r>
    </w:p>
    <w:p w:rsidR="00000000" w:rsidRDefault="00216019"/>
    <w:p w:rsidR="00000000" w:rsidRDefault="00216019" w:rsidP="00216019">
      <w:pPr>
        <w:numPr>
          <w:ilvl w:val="0"/>
          <w:numId w:val="41"/>
        </w:numPr>
        <w:rPr>
          <w:b/>
        </w:rPr>
      </w:pPr>
      <w:r>
        <w:rPr>
          <w:b/>
        </w:rPr>
        <w:lastRenderedPageBreak/>
        <w:t>Benefit Recommendations:</w:t>
      </w:r>
    </w:p>
    <w:p w:rsidR="00000000" w:rsidRDefault="00216019">
      <w:pPr>
        <w:rPr>
          <w:b/>
        </w:rPr>
      </w:pPr>
    </w:p>
    <w:p w:rsidR="00000000" w:rsidRDefault="00216019">
      <w:pPr>
        <w:ind w:firstLine="360"/>
      </w:pPr>
      <w:r>
        <w:t>The Committee’s legislative recommendations covered five areas:</w:t>
      </w:r>
    </w:p>
    <w:p w:rsidR="00000000" w:rsidRDefault="00216019"/>
    <w:p w:rsidR="00000000" w:rsidRDefault="00216019" w:rsidP="00216019">
      <w:pPr>
        <w:numPr>
          <w:ilvl w:val="0"/>
          <w:numId w:val="31"/>
        </w:numPr>
      </w:pPr>
      <w:r>
        <w:t>Care coordination added as a benefit.</w:t>
      </w:r>
    </w:p>
    <w:p w:rsidR="00000000" w:rsidRDefault="00216019" w:rsidP="00216019">
      <w:pPr>
        <w:numPr>
          <w:ilvl w:val="0"/>
          <w:numId w:val="31"/>
        </w:numPr>
      </w:pPr>
      <w:r>
        <w:t>Dental benefits yearly maximum increased to $1,500 across the health plans.</w:t>
      </w:r>
    </w:p>
    <w:p w:rsidR="00000000" w:rsidRDefault="00216019" w:rsidP="00216019">
      <w:pPr>
        <w:numPr>
          <w:ilvl w:val="0"/>
          <w:numId w:val="31"/>
        </w:numPr>
      </w:pPr>
      <w:r>
        <w:t>Mental health and substance abuse benefits</w:t>
      </w:r>
      <w:r>
        <w:t xml:space="preserve"> comparable across health plans.</w:t>
      </w:r>
    </w:p>
    <w:p w:rsidR="00000000" w:rsidRDefault="00216019" w:rsidP="00216019">
      <w:pPr>
        <w:numPr>
          <w:ilvl w:val="0"/>
          <w:numId w:val="31"/>
        </w:numPr>
      </w:pPr>
      <w:r>
        <w:t>Medically necessary nutrition services should be covered when provided by a licensed dietician with a physician’s referral.  Also, provide for nutrition services beyond basic nutrition when it is medically necessary.</w:t>
      </w:r>
    </w:p>
    <w:p w:rsidR="00000000" w:rsidRDefault="00216019" w:rsidP="00216019">
      <w:pPr>
        <w:numPr>
          <w:ilvl w:val="0"/>
          <w:numId w:val="31"/>
        </w:numPr>
      </w:pPr>
      <w:r>
        <w:t>Physic</w:t>
      </w:r>
      <w:r>
        <w:t>al and occupational therapy services comparable across health plans.</w:t>
      </w:r>
    </w:p>
    <w:p w:rsidR="00000000" w:rsidRDefault="00216019"/>
    <w:p w:rsidR="00000000" w:rsidRDefault="00216019">
      <w:pPr>
        <w:ind w:left="360"/>
      </w:pPr>
      <w:r>
        <w:t xml:space="preserve">The Clinical Advisory Committee recommendations were the same that were submitted last year and are attached as </w:t>
      </w:r>
      <w:r>
        <w:rPr>
          <w:i/>
        </w:rPr>
        <w:t>Attachment 1</w:t>
      </w:r>
      <w:r>
        <w:t>.</w:t>
      </w:r>
    </w:p>
    <w:p w:rsidR="00000000" w:rsidRDefault="00216019"/>
    <w:p w:rsidR="00000000" w:rsidRDefault="00216019">
      <w:pPr>
        <w:ind w:firstLine="720"/>
        <w:rPr>
          <w:i/>
        </w:rPr>
      </w:pPr>
      <w:r>
        <w:rPr>
          <w:i/>
        </w:rPr>
        <w:t>Attachment 1:  Clinical Advisory Committee Benefit Recommen</w:t>
      </w:r>
      <w:r>
        <w:rPr>
          <w:i/>
        </w:rPr>
        <w:t>dations</w:t>
      </w:r>
    </w:p>
    <w:p w:rsidR="00000000" w:rsidRDefault="00216019"/>
    <w:p w:rsidR="00000000" w:rsidRDefault="00216019" w:rsidP="00216019">
      <w:pPr>
        <w:numPr>
          <w:ilvl w:val="0"/>
          <w:numId w:val="41"/>
        </w:numPr>
        <w:rPr>
          <w:b/>
        </w:rPr>
      </w:pPr>
      <w:r>
        <w:rPr>
          <w:b/>
        </w:rPr>
        <w:t>Outcome Measurements</w:t>
      </w:r>
    </w:p>
    <w:p w:rsidR="00000000" w:rsidRDefault="00216019">
      <w:pPr>
        <w:rPr>
          <w:b/>
        </w:rPr>
      </w:pPr>
    </w:p>
    <w:p w:rsidR="00000000" w:rsidRDefault="00216019">
      <w:pPr>
        <w:ind w:left="360"/>
      </w:pPr>
      <w:r>
        <w:t>Federal regulations require states to identify outcome measurements in their state plan.  The Clinical Advisory Committee, in collaboration with researchers from the University of Iowa Public Policy Center, identified four se</w:t>
      </w:r>
      <w:r>
        <w:t>rvice areas that were of greatest interest.  The measures were adopted from the Health Plan Employer Data and Information Set (HEDIS).  HEDIS are a set of measures developed by the National Committee for Quality Assurance (NCQA) for evaluating the outcomes</w:t>
      </w:r>
      <w:r>
        <w:t xml:space="preserve"> of health plans.  The Clinical Advisory Committee selected the following outcomes measurements:</w:t>
      </w:r>
    </w:p>
    <w:p w:rsidR="00000000" w:rsidRDefault="00216019">
      <w:pPr>
        <w:ind w:left="360"/>
      </w:pPr>
    </w:p>
    <w:p w:rsidR="00000000" w:rsidRDefault="00216019" w:rsidP="00216019">
      <w:pPr>
        <w:numPr>
          <w:ilvl w:val="0"/>
          <w:numId w:val="35"/>
        </w:numPr>
      </w:pPr>
      <w:r>
        <w:t xml:space="preserve">Rate of well child visits for children 3-6 years and adolescent visits 12 – 19 years of age enrolled for at least 11 months by plan.  </w:t>
      </w:r>
      <w:r>
        <w:rPr>
          <w:b/>
          <w:i/>
        </w:rPr>
        <w:t>hawk</w:t>
      </w:r>
      <w:r>
        <w:rPr>
          <w:b/>
          <w:i/>
        </w:rPr>
        <w:noBreakHyphen/>
        <w:t>i</w:t>
      </w:r>
      <w:r>
        <w:t xml:space="preserve"> outcomes are comp</w:t>
      </w:r>
      <w:r>
        <w:t>ared to American Public Health Services Association (APHSA) rates;</w:t>
      </w:r>
    </w:p>
    <w:p w:rsidR="00000000" w:rsidRDefault="00216019" w:rsidP="00216019">
      <w:pPr>
        <w:numPr>
          <w:ilvl w:val="0"/>
          <w:numId w:val="35"/>
        </w:numPr>
      </w:pPr>
      <w:r>
        <w:t>Percent of children with a preventive dental visit by age and plan;</w:t>
      </w:r>
    </w:p>
    <w:p w:rsidR="00000000" w:rsidRDefault="00216019" w:rsidP="00216019">
      <w:pPr>
        <w:numPr>
          <w:ilvl w:val="0"/>
          <w:numId w:val="35"/>
        </w:numPr>
      </w:pPr>
      <w:r>
        <w:t>Rates of MMR immunizations of children born in 1999 and enrolled between the first and second birthday by months of enrol</w:t>
      </w:r>
      <w:r>
        <w:t>lment by plan;</w:t>
      </w:r>
    </w:p>
    <w:p w:rsidR="00000000" w:rsidRDefault="00216019" w:rsidP="00216019">
      <w:pPr>
        <w:numPr>
          <w:ilvl w:val="0"/>
          <w:numId w:val="35"/>
        </w:numPr>
      </w:pPr>
      <w:r>
        <w:t>The number and percent of children with an outpatient mental health visit by age and gender and the number and percent of children diagnosed with the three most common mental health diagnoses by gender and age;</w:t>
      </w:r>
    </w:p>
    <w:p w:rsidR="00000000" w:rsidRDefault="00216019" w:rsidP="00216019">
      <w:pPr>
        <w:numPr>
          <w:ilvl w:val="0"/>
          <w:numId w:val="35"/>
        </w:numPr>
      </w:pPr>
      <w:r>
        <w:t xml:space="preserve">Special study:  Children with </w:t>
      </w:r>
      <w:r>
        <w:t>Attention Deficit Hyperactivity Disorder (ADHD).  The study had five primary aims:</w:t>
      </w:r>
    </w:p>
    <w:p w:rsidR="00000000" w:rsidRDefault="00216019">
      <w:pPr>
        <w:pStyle w:val="Header"/>
        <w:tabs>
          <w:tab w:val="clear" w:pos="4320"/>
          <w:tab w:val="clear" w:pos="8640"/>
        </w:tabs>
      </w:pPr>
    </w:p>
    <w:p w:rsidR="00000000" w:rsidRDefault="00216019" w:rsidP="00216019">
      <w:pPr>
        <w:numPr>
          <w:ilvl w:val="0"/>
          <w:numId w:val="42"/>
        </w:numPr>
      </w:pPr>
      <w:r>
        <w:t xml:space="preserve">To determine the prevalence of ADHD diagnosis in the </w:t>
      </w:r>
      <w:r>
        <w:rPr>
          <w:b/>
          <w:i/>
        </w:rPr>
        <w:t>hawk</w:t>
      </w:r>
      <w:r>
        <w:rPr>
          <w:b/>
          <w:i/>
        </w:rPr>
        <w:noBreakHyphen/>
        <w:t>i</w:t>
      </w:r>
      <w:r>
        <w:t xml:space="preserve"> population by age and gender of the child;</w:t>
      </w:r>
    </w:p>
    <w:p w:rsidR="00000000" w:rsidRDefault="00216019" w:rsidP="00216019">
      <w:pPr>
        <w:numPr>
          <w:ilvl w:val="0"/>
          <w:numId w:val="42"/>
        </w:numPr>
      </w:pPr>
      <w:r>
        <w:t>To establish baseline demographic information regarding children with</w:t>
      </w:r>
      <w:r>
        <w:t xml:space="preserve"> a diagnosis of ADHD;</w:t>
      </w:r>
    </w:p>
    <w:p w:rsidR="00000000" w:rsidRDefault="00216019" w:rsidP="00216019">
      <w:pPr>
        <w:numPr>
          <w:ilvl w:val="0"/>
          <w:numId w:val="42"/>
        </w:numPr>
      </w:pPr>
      <w:r>
        <w:t>To evaluate the utilization of behavioral and emotional health care services by children with ADHD;</w:t>
      </w:r>
    </w:p>
    <w:p w:rsidR="00000000" w:rsidRDefault="00216019" w:rsidP="00216019">
      <w:pPr>
        <w:numPr>
          <w:ilvl w:val="0"/>
          <w:numId w:val="42"/>
        </w:numPr>
      </w:pPr>
      <w:r>
        <w:lastRenderedPageBreak/>
        <w:t>To compare the information regarding ADHD gleaned from the encounter data and the surveys</w:t>
      </w:r>
    </w:p>
    <w:p w:rsidR="00000000" w:rsidRDefault="00216019" w:rsidP="00216019">
      <w:pPr>
        <w:numPr>
          <w:ilvl w:val="0"/>
          <w:numId w:val="42"/>
        </w:numPr>
      </w:pPr>
      <w:r>
        <w:t>To present additional behavioral and emotion</w:t>
      </w:r>
      <w:r>
        <w:t>al results from the survey</w:t>
      </w:r>
    </w:p>
    <w:p w:rsidR="00000000" w:rsidRDefault="00216019"/>
    <w:p w:rsidR="00000000" w:rsidRDefault="00216019">
      <w:r>
        <w:t xml:space="preserve">On December 15, 2003, the first outcome reports were presented to the </w:t>
      </w:r>
      <w:r>
        <w:rPr>
          <w:b/>
          <w:bCs/>
          <w:i/>
          <w:iCs/>
        </w:rPr>
        <w:t xml:space="preserve">hawk-i </w:t>
      </w:r>
      <w:r>
        <w:t>Program Board.  Copies of the reports are attached.</w:t>
      </w:r>
    </w:p>
    <w:p w:rsidR="00000000" w:rsidRDefault="00216019"/>
    <w:p w:rsidR="00000000" w:rsidRDefault="00216019">
      <w:pPr>
        <w:ind w:left="720"/>
        <w:rPr>
          <w:b/>
          <w:bCs/>
        </w:rPr>
      </w:pPr>
      <w:r>
        <w:rPr>
          <w:i/>
          <w:iCs/>
        </w:rPr>
        <w:t xml:space="preserve">Attachment 2:“Outcomes of Care for Children Enrolled in </w:t>
      </w:r>
      <w:r>
        <w:rPr>
          <w:b/>
          <w:bCs/>
          <w:i/>
          <w:iCs/>
        </w:rPr>
        <w:t xml:space="preserve">hawk-i” </w:t>
      </w:r>
      <w:r>
        <w:t xml:space="preserve">and </w:t>
      </w:r>
      <w:r>
        <w:rPr>
          <w:i/>
          <w:iCs/>
        </w:rPr>
        <w:t>“Attention Deficit Hyperactivi</w:t>
      </w:r>
      <w:r>
        <w:rPr>
          <w:i/>
          <w:iCs/>
        </w:rPr>
        <w:t xml:space="preserve">ty Disorder and Children in </w:t>
      </w:r>
      <w:r>
        <w:rPr>
          <w:b/>
          <w:bCs/>
          <w:i/>
          <w:iCs/>
        </w:rPr>
        <w:t xml:space="preserve">hawk-i </w:t>
      </w:r>
      <w:r>
        <w:rPr>
          <w:i/>
          <w:iCs/>
        </w:rPr>
        <w:t>”</w:t>
      </w:r>
    </w:p>
    <w:p w:rsidR="00000000" w:rsidRDefault="00216019">
      <w:pPr>
        <w:pStyle w:val="Header"/>
        <w:tabs>
          <w:tab w:val="clear" w:pos="4320"/>
          <w:tab w:val="clear" w:pos="8640"/>
        </w:tabs>
      </w:pPr>
    </w:p>
    <w:p w:rsidR="00000000" w:rsidRDefault="00216019">
      <w:pPr>
        <w:ind w:left="-360"/>
        <w:rPr>
          <w:b/>
          <w:sz w:val="28"/>
          <w:u w:val="single"/>
        </w:rPr>
      </w:pPr>
      <w:r>
        <w:rPr>
          <w:rFonts w:ascii="Times New Roman" w:hAnsi="Times New Roman"/>
          <w:b/>
          <w:sz w:val="28"/>
        </w:rPr>
        <w:t>II</w:t>
      </w:r>
      <w:r>
        <w:rPr>
          <w:b/>
          <w:sz w:val="28"/>
        </w:rPr>
        <w:t xml:space="preserve">.  </w:t>
      </w:r>
      <w:r>
        <w:rPr>
          <w:b/>
          <w:sz w:val="28"/>
          <w:u w:val="single"/>
        </w:rPr>
        <w:t>Legislative Action:</w:t>
      </w:r>
    </w:p>
    <w:p w:rsidR="00000000" w:rsidRDefault="00216019">
      <w:pPr>
        <w:rPr>
          <w:bCs/>
          <w:sz w:val="28"/>
        </w:rPr>
      </w:pPr>
    </w:p>
    <w:p w:rsidR="00000000" w:rsidRDefault="00216019" w:rsidP="00216019">
      <w:pPr>
        <w:numPr>
          <w:ilvl w:val="0"/>
          <w:numId w:val="40"/>
        </w:numPr>
        <w:tabs>
          <w:tab w:val="clear" w:pos="720"/>
          <w:tab w:val="num" w:pos="360"/>
        </w:tabs>
        <w:ind w:left="360"/>
      </w:pPr>
      <w:r>
        <w:t xml:space="preserve">In calendar year 2003 the </w:t>
      </w:r>
      <w:r>
        <w:rPr>
          <w:b/>
          <w:i/>
        </w:rPr>
        <w:t>hawk</w:t>
      </w:r>
      <w:r>
        <w:rPr>
          <w:b/>
          <w:i/>
        </w:rPr>
        <w:noBreakHyphen/>
        <w:t>i</w:t>
      </w:r>
      <w:r>
        <w:t xml:space="preserve"> Board supported a proposal, made by DHS, to amend portions of the Code to incorporate the clarifications and policies developed by the </w:t>
      </w:r>
      <w:r>
        <w:rPr>
          <w:b/>
          <w:i/>
        </w:rPr>
        <w:t>hawk-i</w:t>
      </w:r>
      <w:r>
        <w:t xml:space="preserve"> Board during the </w:t>
      </w:r>
      <w:r>
        <w:t>implementation and start-up of the program to the Code.  These changes were primarily technical in nature</w:t>
      </w:r>
    </w:p>
    <w:p w:rsidR="00000000" w:rsidRDefault="00216019">
      <w:pPr>
        <w:rPr>
          <w:rFonts w:cs="Arial"/>
        </w:rPr>
      </w:pPr>
    </w:p>
    <w:p w:rsidR="00000000" w:rsidRDefault="00216019">
      <w:pPr>
        <w:pStyle w:val="BodyTextIndent3"/>
        <w:ind w:left="360"/>
        <w:rPr>
          <w:rFonts w:ascii="Arial" w:hAnsi="Arial" w:cs="Arial"/>
        </w:rPr>
      </w:pPr>
      <w:r>
        <w:rPr>
          <w:rFonts w:ascii="Arial" w:hAnsi="Arial" w:cs="Arial"/>
        </w:rPr>
        <w:t>At the request of Board members, Representatives Greimann and Hansen introduced House File 49 to make the technical amendments to Iowa Code Section 5</w:t>
      </w:r>
      <w:r>
        <w:rPr>
          <w:rFonts w:ascii="Arial" w:hAnsi="Arial" w:cs="Arial"/>
        </w:rPr>
        <w:t xml:space="preserve">14I and eliminate the policy that required a six month waiting period for families who drop employer-sponsored coverage.  The bill passed with two attached amendments: </w:t>
      </w:r>
    </w:p>
    <w:p w:rsidR="00000000" w:rsidRDefault="00216019">
      <w:pPr>
        <w:pStyle w:val="BodyTextIndent3"/>
        <w:ind w:left="360"/>
        <w:rPr>
          <w:rFonts w:ascii="Arial" w:hAnsi="Arial" w:cs="Arial"/>
        </w:rPr>
      </w:pPr>
    </w:p>
    <w:p w:rsidR="00000000" w:rsidRDefault="00216019" w:rsidP="00216019">
      <w:pPr>
        <w:numPr>
          <w:ilvl w:val="1"/>
          <w:numId w:val="40"/>
        </w:numPr>
        <w:tabs>
          <w:tab w:val="clear" w:pos="1440"/>
          <w:tab w:val="num" w:pos="1080"/>
        </w:tabs>
        <w:ind w:left="1080"/>
        <w:rPr>
          <w:rFonts w:cs="Arial"/>
        </w:rPr>
      </w:pPr>
      <w:r>
        <w:rPr>
          <w:rFonts w:cs="Arial"/>
        </w:rPr>
        <w:t>Reduce the required number of Board meetings from 10 to 6 per year,</w:t>
      </w:r>
    </w:p>
    <w:p w:rsidR="00000000" w:rsidRDefault="00216019" w:rsidP="00216019">
      <w:pPr>
        <w:numPr>
          <w:ilvl w:val="1"/>
          <w:numId w:val="40"/>
        </w:numPr>
        <w:tabs>
          <w:tab w:val="clear" w:pos="1440"/>
          <w:tab w:val="num" w:pos="1080"/>
        </w:tabs>
        <w:ind w:left="1080"/>
        <w:rPr>
          <w:rFonts w:cs="Arial"/>
        </w:rPr>
      </w:pPr>
      <w:r>
        <w:rPr>
          <w:rFonts w:cs="Arial"/>
        </w:rPr>
        <w:t xml:space="preserve">Provides that the </w:t>
      </w:r>
      <w:r>
        <w:rPr>
          <w:rFonts w:cs="Arial"/>
        </w:rPr>
        <w:t xml:space="preserve">Director of DHS, with the permission of the </w:t>
      </w:r>
      <w:r>
        <w:rPr>
          <w:rFonts w:cs="Arial"/>
          <w:b/>
          <w:i/>
        </w:rPr>
        <w:t>hawk</w:t>
      </w:r>
      <w:r>
        <w:rPr>
          <w:rFonts w:cs="Arial"/>
          <w:b/>
          <w:i/>
        </w:rPr>
        <w:noBreakHyphen/>
        <w:t>i</w:t>
      </w:r>
      <w:r>
        <w:rPr>
          <w:rFonts w:cs="Arial"/>
        </w:rPr>
        <w:t xml:space="preserve"> Board, may contract with participating insurers or enter into a separate contract with a sole source contractor to provide dental only services.  </w:t>
      </w:r>
    </w:p>
    <w:p w:rsidR="00000000" w:rsidRDefault="00216019" w:rsidP="00216019">
      <w:pPr>
        <w:numPr>
          <w:ilvl w:val="1"/>
          <w:numId w:val="40"/>
        </w:numPr>
        <w:tabs>
          <w:tab w:val="clear" w:pos="1440"/>
          <w:tab w:val="num" w:pos="1080"/>
        </w:tabs>
        <w:ind w:left="1080"/>
        <w:rPr>
          <w:rFonts w:cs="Arial"/>
        </w:rPr>
      </w:pPr>
      <w:r>
        <w:rPr>
          <w:rFonts w:cs="Arial"/>
        </w:rPr>
        <w:t xml:space="preserve">  The Governor signed the bill on May 12, 2003.  </w:t>
      </w:r>
    </w:p>
    <w:p w:rsidR="00000000" w:rsidRDefault="00216019"/>
    <w:p w:rsidR="00000000" w:rsidRDefault="00216019" w:rsidP="00216019">
      <w:pPr>
        <w:numPr>
          <w:ilvl w:val="0"/>
          <w:numId w:val="40"/>
        </w:numPr>
        <w:tabs>
          <w:tab w:val="clear" w:pos="720"/>
          <w:tab w:val="num" w:pos="360"/>
        </w:tabs>
        <w:ind w:left="360"/>
      </w:pPr>
      <w:r>
        <w:t>Represe</w:t>
      </w:r>
      <w:r>
        <w:t xml:space="preserve">ntatives Greimann, Petersen, Wise, et al introduced House File 136.  Senator Ragan also introduced a companion bill to HF 49, Senate File 26.  The bill added the benefit enhancements to </w:t>
      </w:r>
      <w:r>
        <w:rPr>
          <w:b/>
          <w:bCs/>
          <w:i/>
          <w:iCs/>
        </w:rPr>
        <w:t>hawk-i’s</w:t>
      </w:r>
      <w:r>
        <w:t xml:space="preserve"> benefit package as previously recommended by the Clinical Adv</w:t>
      </w:r>
      <w:r>
        <w:t>isory Committee.  No action was taken by the Legislature on this bill.</w:t>
      </w:r>
    </w:p>
    <w:p w:rsidR="00000000" w:rsidRDefault="00216019">
      <w:pPr>
        <w:pStyle w:val="Header"/>
        <w:tabs>
          <w:tab w:val="clear" w:pos="4320"/>
          <w:tab w:val="clear" w:pos="8640"/>
        </w:tabs>
      </w:pPr>
    </w:p>
    <w:p w:rsidR="00000000" w:rsidRDefault="00216019">
      <w:pPr>
        <w:ind w:left="-576"/>
        <w:rPr>
          <w:sz w:val="28"/>
        </w:rPr>
      </w:pPr>
      <w:r>
        <w:rPr>
          <w:rFonts w:ascii="Times New Roman" w:hAnsi="Times New Roman"/>
          <w:b/>
          <w:sz w:val="28"/>
        </w:rPr>
        <w:t>III</w:t>
      </w:r>
      <w:r>
        <w:rPr>
          <w:b/>
          <w:sz w:val="28"/>
        </w:rPr>
        <w:t xml:space="preserve">.  </w:t>
      </w:r>
      <w:r>
        <w:rPr>
          <w:b/>
          <w:sz w:val="28"/>
          <w:u w:val="single"/>
        </w:rPr>
        <w:t>Budget</w:t>
      </w:r>
      <w:r>
        <w:rPr>
          <w:b/>
          <w:sz w:val="28"/>
        </w:rPr>
        <w:t>:</w:t>
      </w:r>
    </w:p>
    <w:p w:rsidR="00000000" w:rsidRDefault="00216019">
      <w:pPr>
        <w:rPr>
          <w:u w:val="single"/>
        </w:rPr>
      </w:pPr>
    </w:p>
    <w:p w:rsidR="00000000" w:rsidRDefault="00216019">
      <w:pPr>
        <w:rPr>
          <w:b/>
        </w:rPr>
      </w:pPr>
      <w:r>
        <w:t xml:space="preserve">A.  </w:t>
      </w:r>
      <w:r>
        <w:rPr>
          <w:b/>
        </w:rPr>
        <w:t>Federal Funding Issues:</w:t>
      </w:r>
    </w:p>
    <w:p w:rsidR="00000000" w:rsidRDefault="00216019"/>
    <w:p w:rsidR="00000000" w:rsidRDefault="00216019">
      <w:pPr>
        <w:pStyle w:val="BodyText2"/>
        <w:ind w:left="360"/>
        <w:rPr>
          <w:rFonts w:ascii="Arial" w:hAnsi="Arial" w:cs="Arial"/>
        </w:rPr>
      </w:pPr>
      <w:r>
        <w:rPr>
          <w:rFonts w:ascii="Arial" w:hAnsi="Arial" w:cs="Arial"/>
        </w:rPr>
        <w:t>The State Children’s Health Insurance Program (SCHIP) is funded with both state and federal funds.  States are allocated federal funding bas</w:t>
      </w:r>
      <w:r>
        <w:rPr>
          <w:rFonts w:ascii="Arial" w:hAnsi="Arial" w:cs="Arial"/>
        </w:rPr>
        <w:t>ed on the estimated number of uninsured children in the state who could qualify for the program.  In order to draw down $3.00 of federal funds, the state must spend approximately $1.00 in state funds.</w:t>
      </w:r>
    </w:p>
    <w:p w:rsidR="00000000" w:rsidRDefault="00216019">
      <w:pPr>
        <w:rPr>
          <w:rFonts w:cs="Arial"/>
        </w:rPr>
      </w:pPr>
    </w:p>
    <w:p w:rsidR="00000000" w:rsidRDefault="00216019">
      <w:pPr>
        <w:ind w:left="360"/>
      </w:pPr>
      <w:r>
        <w:lastRenderedPageBreak/>
        <w:t>Iowa’s allotment of federal funds for the SCHIP Progra</w:t>
      </w:r>
      <w:r>
        <w:t xml:space="preserve">m (includes both Medicaid expansion and </w:t>
      </w:r>
      <w:r>
        <w:rPr>
          <w:b/>
          <w:i/>
        </w:rPr>
        <w:t>hawk-i</w:t>
      </w:r>
      <w:r>
        <w:t>) was in excess of  $32 million each year for 1998 through 2001.  For the third straight year, the federal SCHIP allotment for Iowa has decreased.  The Federal fiscal year 2004 allotment is $19.7 million, a 39.</w:t>
      </w:r>
      <w:r>
        <w:t xml:space="preserve">3% reduction from when the state started the </w:t>
      </w:r>
      <w:r>
        <w:rPr>
          <w:b/>
          <w:i/>
        </w:rPr>
        <w:t xml:space="preserve">hawk-i </w:t>
      </w:r>
      <w:r>
        <w:t xml:space="preserve">Program.  </w:t>
      </w:r>
    </w:p>
    <w:p w:rsidR="00000000" w:rsidRDefault="0021601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890"/>
        <w:gridCol w:w="2160"/>
        <w:gridCol w:w="2970"/>
      </w:tblGrid>
      <w:tr w:rsidR="00000000">
        <w:tblPrEx>
          <w:tblCellMar>
            <w:top w:w="0" w:type="dxa"/>
            <w:bottom w:w="0" w:type="dxa"/>
          </w:tblCellMar>
        </w:tblPrEx>
        <w:tc>
          <w:tcPr>
            <w:tcW w:w="1710" w:type="dxa"/>
          </w:tcPr>
          <w:p w:rsidR="00000000" w:rsidRDefault="00216019">
            <w:pPr>
              <w:jc w:val="center"/>
              <w:rPr>
                <w:b/>
                <w:bCs/>
              </w:rPr>
            </w:pPr>
            <w:r>
              <w:rPr>
                <w:b/>
                <w:bCs/>
              </w:rPr>
              <w:t>Federal Fiscal Year</w:t>
            </w:r>
          </w:p>
        </w:tc>
        <w:tc>
          <w:tcPr>
            <w:tcW w:w="1890" w:type="dxa"/>
          </w:tcPr>
          <w:p w:rsidR="00000000" w:rsidRDefault="00216019">
            <w:pPr>
              <w:jc w:val="center"/>
              <w:rPr>
                <w:b/>
                <w:bCs/>
              </w:rPr>
            </w:pPr>
            <w:r>
              <w:rPr>
                <w:b/>
                <w:bCs/>
              </w:rPr>
              <w:t>Allotment</w:t>
            </w:r>
          </w:p>
        </w:tc>
        <w:tc>
          <w:tcPr>
            <w:tcW w:w="2160" w:type="dxa"/>
          </w:tcPr>
          <w:p w:rsidR="00000000" w:rsidRDefault="00216019">
            <w:pPr>
              <w:jc w:val="center"/>
              <w:rPr>
                <w:b/>
                <w:bCs/>
              </w:rPr>
            </w:pPr>
            <w:r>
              <w:rPr>
                <w:b/>
                <w:bCs/>
              </w:rPr>
              <w:t>Dollar Variance from 1</w:t>
            </w:r>
            <w:r>
              <w:rPr>
                <w:b/>
                <w:bCs/>
                <w:vertAlign w:val="superscript"/>
              </w:rPr>
              <w:t>st</w:t>
            </w:r>
            <w:r>
              <w:rPr>
                <w:b/>
                <w:bCs/>
              </w:rPr>
              <w:t xml:space="preserve"> FFY Allotment</w:t>
            </w:r>
          </w:p>
        </w:tc>
        <w:tc>
          <w:tcPr>
            <w:tcW w:w="2970" w:type="dxa"/>
          </w:tcPr>
          <w:p w:rsidR="00000000" w:rsidRDefault="00216019">
            <w:pPr>
              <w:jc w:val="center"/>
              <w:rPr>
                <w:b/>
                <w:bCs/>
              </w:rPr>
            </w:pPr>
            <w:r>
              <w:rPr>
                <w:b/>
                <w:bCs/>
              </w:rPr>
              <w:t>Percent Variance from 1</w:t>
            </w:r>
            <w:r>
              <w:rPr>
                <w:b/>
                <w:bCs/>
                <w:vertAlign w:val="superscript"/>
              </w:rPr>
              <w:t>st</w:t>
            </w:r>
            <w:r>
              <w:rPr>
                <w:b/>
                <w:bCs/>
              </w:rPr>
              <w:t xml:space="preserve"> FFY Allotment</w:t>
            </w:r>
          </w:p>
        </w:tc>
      </w:tr>
      <w:tr w:rsidR="00000000">
        <w:tblPrEx>
          <w:tblCellMar>
            <w:top w:w="0" w:type="dxa"/>
            <w:bottom w:w="0" w:type="dxa"/>
          </w:tblCellMar>
        </w:tblPrEx>
        <w:tc>
          <w:tcPr>
            <w:tcW w:w="1710" w:type="dxa"/>
          </w:tcPr>
          <w:p w:rsidR="00000000" w:rsidRDefault="00216019">
            <w:pPr>
              <w:jc w:val="center"/>
            </w:pPr>
            <w:r>
              <w:t>1998</w:t>
            </w:r>
          </w:p>
        </w:tc>
        <w:tc>
          <w:tcPr>
            <w:tcW w:w="1890" w:type="dxa"/>
          </w:tcPr>
          <w:p w:rsidR="00000000" w:rsidRDefault="00216019">
            <w:pPr>
              <w:jc w:val="center"/>
            </w:pPr>
            <w:r>
              <w:t>$32,460,463</w:t>
            </w:r>
          </w:p>
        </w:tc>
        <w:tc>
          <w:tcPr>
            <w:tcW w:w="2160" w:type="dxa"/>
          </w:tcPr>
          <w:p w:rsidR="00000000" w:rsidRDefault="00216019"/>
        </w:tc>
        <w:tc>
          <w:tcPr>
            <w:tcW w:w="2970" w:type="dxa"/>
          </w:tcPr>
          <w:p w:rsidR="00000000" w:rsidRDefault="00216019"/>
        </w:tc>
      </w:tr>
      <w:tr w:rsidR="00000000">
        <w:tblPrEx>
          <w:tblCellMar>
            <w:top w:w="0" w:type="dxa"/>
            <w:bottom w:w="0" w:type="dxa"/>
          </w:tblCellMar>
        </w:tblPrEx>
        <w:tc>
          <w:tcPr>
            <w:tcW w:w="1710" w:type="dxa"/>
          </w:tcPr>
          <w:p w:rsidR="00000000" w:rsidRDefault="00216019">
            <w:pPr>
              <w:jc w:val="center"/>
            </w:pPr>
            <w:r>
              <w:t>1999</w:t>
            </w:r>
          </w:p>
        </w:tc>
        <w:tc>
          <w:tcPr>
            <w:tcW w:w="1890" w:type="dxa"/>
          </w:tcPr>
          <w:p w:rsidR="00000000" w:rsidRDefault="00216019">
            <w:pPr>
              <w:jc w:val="center"/>
            </w:pPr>
            <w:r>
              <w:t>$32,307,161</w:t>
            </w:r>
          </w:p>
        </w:tc>
        <w:tc>
          <w:tcPr>
            <w:tcW w:w="2160" w:type="dxa"/>
          </w:tcPr>
          <w:p w:rsidR="00000000" w:rsidRDefault="00216019">
            <w:pPr>
              <w:jc w:val="center"/>
            </w:pPr>
            <w:r>
              <w:t>&lt;$153,302&gt;</w:t>
            </w:r>
          </w:p>
        </w:tc>
        <w:tc>
          <w:tcPr>
            <w:tcW w:w="2970" w:type="dxa"/>
          </w:tcPr>
          <w:p w:rsidR="00000000" w:rsidRDefault="00216019">
            <w:pPr>
              <w:jc w:val="center"/>
            </w:pPr>
            <w:r>
              <w:t>&lt;.47%&gt;</w:t>
            </w:r>
          </w:p>
        </w:tc>
      </w:tr>
      <w:tr w:rsidR="00000000">
        <w:tblPrEx>
          <w:tblCellMar>
            <w:top w:w="0" w:type="dxa"/>
            <w:bottom w:w="0" w:type="dxa"/>
          </w:tblCellMar>
        </w:tblPrEx>
        <w:tc>
          <w:tcPr>
            <w:tcW w:w="1710" w:type="dxa"/>
          </w:tcPr>
          <w:p w:rsidR="00000000" w:rsidRDefault="00216019">
            <w:pPr>
              <w:jc w:val="center"/>
            </w:pPr>
            <w:r>
              <w:t>2000</w:t>
            </w:r>
          </w:p>
        </w:tc>
        <w:tc>
          <w:tcPr>
            <w:tcW w:w="1890" w:type="dxa"/>
          </w:tcPr>
          <w:p w:rsidR="00000000" w:rsidRDefault="00216019">
            <w:pPr>
              <w:jc w:val="center"/>
            </w:pPr>
            <w:r>
              <w:t>$32,282,884</w:t>
            </w:r>
          </w:p>
        </w:tc>
        <w:tc>
          <w:tcPr>
            <w:tcW w:w="2160" w:type="dxa"/>
          </w:tcPr>
          <w:p w:rsidR="00000000" w:rsidRDefault="00216019">
            <w:pPr>
              <w:jc w:val="center"/>
            </w:pPr>
            <w:r>
              <w:t>&lt;$177,579</w:t>
            </w:r>
            <w:r>
              <w:t>&gt;</w:t>
            </w:r>
          </w:p>
        </w:tc>
        <w:tc>
          <w:tcPr>
            <w:tcW w:w="2970" w:type="dxa"/>
          </w:tcPr>
          <w:p w:rsidR="00000000" w:rsidRDefault="00216019">
            <w:pPr>
              <w:jc w:val="center"/>
            </w:pPr>
            <w:r>
              <w:t>&lt;.54%&gt;</w:t>
            </w:r>
          </w:p>
        </w:tc>
      </w:tr>
      <w:tr w:rsidR="00000000">
        <w:tblPrEx>
          <w:tblCellMar>
            <w:top w:w="0" w:type="dxa"/>
            <w:bottom w:w="0" w:type="dxa"/>
          </w:tblCellMar>
        </w:tblPrEx>
        <w:tc>
          <w:tcPr>
            <w:tcW w:w="1710" w:type="dxa"/>
          </w:tcPr>
          <w:p w:rsidR="00000000" w:rsidRDefault="00216019">
            <w:pPr>
              <w:jc w:val="center"/>
            </w:pPr>
            <w:r>
              <w:t>2001</w:t>
            </w:r>
          </w:p>
        </w:tc>
        <w:tc>
          <w:tcPr>
            <w:tcW w:w="1890" w:type="dxa"/>
          </w:tcPr>
          <w:p w:rsidR="00000000" w:rsidRDefault="00216019">
            <w:pPr>
              <w:jc w:val="center"/>
            </w:pPr>
            <w:r>
              <w:t>$32,940,215</w:t>
            </w:r>
          </w:p>
        </w:tc>
        <w:tc>
          <w:tcPr>
            <w:tcW w:w="2160" w:type="dxa"/>
          </w:tcPr>
          <w:p w:rsidR="00000000" w:rsidRDefault="00216019">
            <w:pPr>
              <w:jc w:val="center"/>
            </w:pPr>
            <w:r>
              <w:t>+ $479,752</w:t>
            </w:r>
          </w:p>
        </w:tc>
        <w:tc>
          <w:tcPr>
            <w:tcW w:w="2970" w:type="dxa"/>
          </w:tcPr>
          <w:p w:rsidR="00000000" w:rsidRDefault="00216019">
            <w:pPr>
              <w:jc w:val="center"/>
            </w:pPr>
            <w:r>
              <w:t>+ 1.4%</w:t>
            </w:r>
          </w:p>
        </w:tc>
      </w:tr>
      <w:tr w:rsidR="00000000">
        <w:tblPrEx>
          <w:tblCellMar>
            <w:top w:w="0" w:type="dxa"/>
            <w:bottom w:w="0" w:type="dxa"/>
          </w:tblCellMar>
        </w:tblPrEx>
        <w:tc>
          <w:tcPr>
            <w:tcW w:w="1710" w:type="dxa"/>
          </w:tcPr>
          <w:p w:rsidR="00000000" w:rsidRDefault="00216019">
            <w:pPr>
              <w:jc w:val="center"/>
            </w:pPr>
            <w:r>
              <w:t>2002</w:t>
            </w:r>
          </w:p>
        </w:tc>
        <w:tc>
          <w:tcPr>
            <w:tcW w:w="1890" w:type="dxa"/>
          </w:tcPr>
          <w:p w:rsidR="00000000" w:rsidRDefault="00216019">
            <w:pPr>
              <w:jc w:val="center"/>
            </w:pPr>
            <w:r>
              <w:t>$22,411,236</w:t>
            </w:r>
          </w:p>
        </w:tc>
        <w:tc>
          <w:tcPr>
            <w:tcW w:w="2160" w:type="dxa"/>
          </w:tcPr>
          <w:p w:rsidR="00000000" w:rsidRDefault="00216019">
            <w:pPr>
              <w:jc w:val="center"/>
            </w:pPr>
            <w:r>
              <w:t>&lt;$10,049,227&gt;</w:t>
            </w:r>
          </w:p>
        </w:tc>
        <w:tc>
          <w:tcPr>
            <w:tcW w:w="2970" w:type="dxa"/>
          </w:tcPr>
          <w:p w:rsidR="00000000" w:rsidRDefault="00216019">
            <w:pPr>
              <w:jc w:val="center"/>
            </w:pPr>
            <w:r>
              <w:t>&lt;30.9%&gt;</w:t>
            </w:r>
          </w:p>
        </w:tc>
      </w:tr>
      <w:tr w:rsidR="00000000">
        <w:tblPrEx>
          <w:tblCellMar>
            <w:top w:w="0" w:type="dxa"/>
            <w:bottom w:w="0" w:type="dxa"/>
          </w:tblCellMar>
        </w:tblPrEx>
        <w:tc>
          <w:tcPr>
            <w:tcW w:w="1710" w:type="dxa"/>
          </w:tcPr>
          <w:p w:rsidR="00000000" w:rsidRDefault="00216019">
            <w:pPr>
              <w:jc w:val="center"/>
            </w:pPr>
            <w:r>
              <w:t>2003</w:t>
            </w:r>
          </w:p>
        </w:tc>
        <w:tc>
          <w:tcPr>
            <w:tcW w:w="1890" w:type="dxa"/>
          </w:tcPr>
          <w:p w:rsidR="00000000" w:rsidRDefault="00216019">
            <w:pPr>
              <w:jc w:val="center"/>
            </w:pPr>
            <w:r>
              <w:t>$21,368,268</w:t>
            </w:r>
          </w:p>
        </w:tc>
        <w:tc>
          <w:tcPr>
            <w:tcW w:w="2160" w:type="dxa"/>
          </w:tcPr>
          <w:p w:rsidR="00000000" w:rsidRDefault="00216019">
            <w:pPr>
              <w:jc w:val="center"/>
            </w:pPr>
            <w:r>
              <w:t>&lt;$11,092,195&gt;</w:t>
            </w:r>
          </w:p>
        </w:tc>
        <w:tc>
          <w:tcPr>
            <w:tcW w:w="2970" w:type="dxa"/>
          </w:tcPr>
          <w:p w:rsidR="00000000" w:rsidRDefault="00216019">
            <w:pPr>
              <w:jc w:val="center"/>
            </w:pPr>
            <w:r>
              <w:t>&lt;34.2%&gt;</w:t>
            </w:r>
          </w:p>
        </w:tc>
      </w:tr>
      <w:tr w:rsidR="00000000">
        <w:tblPrEx>
          <w:tblCellMar>
            <w:top w:w="0" w:type="dxa"/>
            <w:bottom w:w="0" w:type="dxa"/>
          </w:tblCellMar>
        </w:tblPrEx>
        <w:tc>
          <w:tcPr>
            <w:tcW w:w="1710" w:type="dxa"/>
          </w:tcPr>
          <w:p w:rsidR="00000000" w:rsidRDefault="00216019">
            <w:pPr>
              <w:jc w:val="center"/>
            </w:pPr>
            <w:r>
              <w:t>2004</w:t>
            </w:r>
          </w:p>
        </w:tc>
        <w:tc>
          <w:tcPr>
            <w:tcW w:w="1890" w:type="dxa"/>
          </w:tcPr>
          <w:p w:rsidR="00000000" w:rsidRDefault="00216019">
            <w:pPr>
              <w:jc w:val="center"/>
            </w:pPr>
            <w:r>
              <w:t>$19,703,000</w:t>
            </w:r>
          </w:p>
        </w:tc>
        <w:tc>
          <w:tcPr>
            <w:tcW w:w="2160" w:type="dxa"/>
          </w:tcPr>
          <w:p w:rsidR="00000000" w:rsidRDefault="00216019">
            <w:pPr>
              <w:jc w:val="center"/>
            </w:pPr>
            <w:r>
              <w:t>&lt;$12,757,463&gt;</w:t>
            </w:r>
          </w:p>
        </w:tc>
        <w:tc>
          <w:tcPr>
            <w:tcW w:w="2970" w:type="dxa"/>
          </w:tcPr>
          <w:p w:rsidR="00000000" w:rsidRDefault="00216019">
            <w:pPr>
              <w:jc w:val="center"/>
            </w:pPr>
            <w:r>
              <w:t>&lt;39.3%&gt;</w:t>
            </w:r>
          </w:p>
        </w:tc>
      </w:tr>
    </w:tbl>
    <w:p w:rsidR="00000000" w:rsidRDefault="00216019"/>
    <w:p w:rsidR="00000000" w:rsidRDefault="00216019">
      <w:pPr>
        <w:pStyle w:val="BodyText2"/>
        <w:ind w:left="360"/>
        <w:rPr>
          <w:rFonts w:ascii="Arial" w:hAnsi="Arial" w:cs="Arial"/>
        </w:rPr>
      </w:pPr>
      <w:r>
        <w:rPr>
          <w:rFonts w:ascii="Arial" w:hAnsi="Arial" w:cs="Arial"/>
        </w:rPr>
        <w:t>PL 108-74, signed by the President on August 15, 2003, extends the availability of unspen</w:t>
      </w:r>
      <w:r>
        <w:rPr>
          <w:rFonts w:ascii="Arial" w:hAnsi="Arial" w:cs="Arial"/>
        </w:rPr>
        <w:t>t SCHIP allotments from FFYs 1998, 1999, 2000, and 2001.  Iowa was not eligible to receive additional funding from FFYs 1998 and 1999 because we have spent all of the previously retained funding.  However, this action allowed Iowa to retain 50% of the $8.4</w:t>
      </w:r>
      <w:r>
        <w:rPr>
          <w:rFonts w:ascii="Arial" w:hAnsi="Arial" w:cs="Arial"/>
        </w:rPr>
        <w:t xml:space="preserve"> million of unspent FFY 2000 funds that would have otherwise been reverted to the redistribution pool.  The amount Iowa will be able to retain from FFY 2001 unspent funds has yet to be determined.  The remaining 50% will be redistributed to states and terr</w:t>
      </w:r>
      <w:r>
        <w:rPr>
          <w:rFonts w:ascii="Arial" w:hAnsi="Arial" w:cs="Arial"/>
        </w:rPr>
        <w:t xml:space="preserve">itories that have fully expended their allotments for FFYs 2000 and/or 2001. </w:t>
      </w:r>
    </w:p>
    <w:p w:rsidR="00000000" w:rsidRDefault="00216019">
      <w:pPr>
        <w:pStyle w:val="BodyText2"/>
        <w:rPr>
          <w:rFonts w:ascii="Arial" w:hAnsi="Arial" w:cs="Arial"/>
        </w:rPr>
      </w:pPr>
    </w:p>
    <w:p w:rsidR="00000000" w:rsidRDefault="00216019">
      <w:pPr>
        <w:pStyle w:val="BodyText2"/>
        <w:ind w:left="360"/>
        <w:rPr>
          <w:rFonts w:ascii="Arial" w:hAnsi="Arial" w:cs="Arial"/>
        </w:rPr>
      </w:pPr>
      <w:r>
        <w:rPr>
          <w:rFonts w:ascii="Arial" w:hAnsi="Arial" w:cs="Arial"/>
        </w:rPr>
        <w:t>The three-year period in which to spend the 2001 allotment ended on September 30, 2003, so spending is currently from the FFY 02 allotment.  At the point all currently available</w:t>
      </w:r>
      <w:r>
        <w:rPr>
          <w:rFonts w:ascii="Arial" w:hAnsi="Arial" w:cs="Arial"/>
        </w:rPr>
        <w:t xml:space="preserve"> federal funding is exhausted, Iowa will be eligible to receive additional funds from the redistribution pool since all state allotments are decreasing, more states will be relying on redistributed funds to support their programs at the same time.</w:t>
      </w:r>
    </w:p>
    <w:p w:rsidR="00000000" w:rsidRDefault="00216019">
      <w:pPr>
        <w:pStyle w:val="BodyText2"/>
        <w:ind w:left="360"/>
        <w:rPr>
          <w:rFonts w:ascii="Arial" w:hAnsi="Arial" w:cs="Arial"/>
        </w:rPr>
      </w:pPr>
    </w:p>
    <w:p w:rsidR="00000000" w:rsidRDefault="00216019">
      <w:pPr>
        <w:pStyle w:val="BodyText2"/>
        <w:rPr>
          <w:rFonts w:ascii="Arial" w:hAnsi="Arial" w:cs="Arial"/>
        </w:rPr>
      </w:pPr>
      <w:r>
        <w:rPr>
          <w:rFonts w:ascii="Arial" w:hAnsi="Arial" w:cs="Arial"/>
        </w:rPr>
        <w:t xml:space="preserve">B.  </w:t>
      </w:r>
      <w:r>
        <w:rPr>
          <w:rFonts w:ascii="Arial" w:hAnsi="Arial" w:cs="Arial"/>
          <w:b/>
          <w:bCs/>
        </w:rPr>
        <w:t>Sta</w:t>
      </w:r>
      <w:r>
        <w:rPr>
          <w:rFonts w:ascii="Arial" w:hAnsi="Arial" w:cs="Arial"/>
          <w:b/>
          <w:bCs/>
        </w:rPr>
        <w:t>te Funding Issues:</w:t>
      </w:r>
    </w:p>
    <w:p w:rsidR="00000000" w:rsidRDefault="00216019">
      <w:pPr>
        <w:pStyle w:val="BodyText2"/>
        <w:rPr>
          <w:rFonts w:ascii="Arial" w:hAnsi="Arial" w:cs="Arial"/>
        </w:rPr>
      </w:pPr>
    </w:p>
    <w:p w:rsidR="00000000" w:rsidRDefault="00216019">
      <w:pPr>
        <w:pStyle w:val="BodyText2"/>
        <w:ind w:left="360"/>
        <w:rPr>
          <w:rFonts w:ascii="Arial" w:hAnsi="Arial" w:cs="Arial"/>
        </w:rPr>
      </w:pPr>
      <w:r>
        <w:rPr>
          <w:rFonts w:ascii="Arial" w:hAnsi="Arial" w:cs="Arial"/>
        </w:rPr>
        <w:t xml:space="preserve">The total appropriation of state funds for SFY ’03 was $14,482,082, inclusive of  $2,823,670 </w:t>
      </w:r>
      <w:r>
        <w:rPr>
          <w:rFonts w:ascii="Arial" w:hAnsi="Arial" w:cs="Arial"/>
          <w:b/>
          <w:i/>
        </w:rPr>
        <w:t>hawk</w:t>
      </w:r>
      <w:r>
        <w:rPr>
          <w:rFonts w:ascii="Arial" w:hAnsi="Arial" w:cs="Arial"/>
          <w:b/>
          <w:i/>
        </w:rPr>
        <w:noBreakHyphen/>
        <w:t>i</w:t>
      </w:r>
      <w:r>
        <w:rPr>
          <w:rFonts w:ascii="Arial" w:hAnsi="Arial" w:cs="Arial"/>
        </w:rPr>
        <w:t xml:space="preserve"> Trust Fund dollars held in reserve at SFY ’02 year-end.  Of this amount, $10,091,128 was expended.  Thus, the </w:t>
      </w:r>
      <w:r>
        <w:rPr>
          <w:rFonts w:ascii="Arial" w:hAnsi="Arial" w:cs="Arial"/>
          <w:b/>
          <w:i/>
        </w:rPr>
        <w:t>hawk-i</w:t>
      </w:r>
      <w:r>
        <w:rPr>
          <w:rFonts w:ascii="Arial" w:hAnsi="Arial" w:cs="Arial"/>
        </w:rPr>
        <w:t xml:space="preserve"> Program ended SFY ’</w:t>
      </w:r>
      <w:r>
        <w:rPr>
          <w:rFonts w:ascii="Arial" w:hAnsi="Arial" w:cs="Arial"/>
        </w:rPr>
        <w:t xml:space="preserve">03 with a balance of  $4,390,954 in state funds in the </w:t>
      </w:r>
      <w:r>
        <w:rPr>
          <w:rFonts w:ascii="Arial" w:hAnsi="Arial" w:cs="Arial"/>
          <w:b/>
          <w:i/>
        </w:rPr>
        <w:t>hawk-i</w:t>
      </w:r>
      <w:r>
        <w:rPr>
          <w:rFonts w:ascii="Arial" w:hAnsi="Arial" w:cs="Arial"/>
        </w:rPr>
        <w:t xml:space="preserve"> trust fund.  </w:t>
      </w:r>
    </w:p>
    <w:p w:rsidR="00000000" w:rsidRDefault="00216019">
      <w:pPr>
        <w:pStyle w:val="BodyText2"/>
        <w:rPr>
          <w:rFonts w:ascii="Arial" w:hAnsi="Arial" w:cs="Arial"/>
          <w:highlight w:val="yellow"/>
        </w:rPr>
      </w:pPr>
    </w:p>
    <w:p w:rsidR="00000000" w:rsidRDefault="00216019">
      <w:pPr>
        <w:pStyle w:val="BodyText2"/>
        <w:ind w:left="360"/>
        <w:rPr>
          <w:rFonts w:ascii="Arial" w:hAnsi="Arial" w:cs="Arial"/>
        </w:rPr>
      </w:pPr>
      <w:r>
        <w:rPr>
          <w:rFonts w:ascii="Arial" w:hAnsi="Arial" w:cs="Arial"/>
        </w:rPr>
        <w:t>By statute, the budget request for the upcoming SFY is included in the Department of Human Services' budget request. All Executive Branch agencies were asked to submit a status qu</w:t>
      </w:r>
      <w:r>
        <w:rPr>
          <w:rFonts w:ascii="Arial" w:hAnsi="Arial" w:cs="Arial"/>
        </w:rPr>
        <w:t xml:space="preserve">o budget for SFY ’05.  The Department requested the same appropriation as SFY 04, $11,118,275.  The status quo budget would not allow for any growth in the Program either for normal increased costs or take into </w:t>
      </w:r>
      <w:r>
        <w:rPr>
          <w:rFonts w:ascii="Arial" w:hAnsi="Arial" w:cs="Arial"/>
        </w:rPr>
        <w:lastRenderedPageBreak/>
        <w:t xml:space="preserve">consideration that there will be fewer trust </w:t>
      </w:r>
      <w:r>
        <w:rPr>
          <w:rFonts w:ascii="Arial" w:hAnsi="Arial" w:cs="Arial"/>
        </w:rPr>
        <w:t>fund carryover dollars.  Therefore, no additional children could be enrolled and reduction in the number of current children enrolled could become necessary.</w:t>
      </w:r>
    </w:p>
    <w:p w:rsidR="00000000" w:rsidRDefault="00216019">
      <w:pPr>
        <w:pStyle w:val="BodyText2"/>
        <w:ind w:left="360"/>
        <w:rPr>
          <w:rFonts w:ascii="Arial" w:hAnsi="Arial" w:cs="Arial"/>
        </w:rPr>
      </w:pPr>
    </w:p>
    <w:p w:rsidR="00000000" w:rsidRDefault="00216019">
      <w:pPr>
        <w:pStyle w:val="BodyText2"/>
        <w:ind w:left="360"/>
        <w:rPr>
          <w:rFonts w:ascii="Arial" w:hAnsi="Arial" w:cs="Arial"/>
        </w:rPr>
      </w:pPr>
      <w:r>
        <w:rPr>
          <w:rFonts w:ascii="Arial" w:hAnsi="Arial" w:cs="Arial"/>
        </w:rPr>
        <w:t>The Department is aware that several states have implemented waiting lists and have actually dise</w:t>
      </w:r>
      <w:r>
        <w:rPr>
          <w:rFonts w:ascii="Arial" w:hAnsi="Arial" w:cs="Arial"/>
        </w:rPr>
        <w:t>nrolled many children.  Under such a scenario, a status quo budget may well require that a waiting list be implemented as early as January 2004 to maintain enrollment at the currently projected level of 16,274 children.  Again on July 1, 2004, approximatel</w:t>
      </w:r>
      <w:r>
        <w:rPr>
          <w:rFonts w:ascii="Arial" w:hAnsi="Arial" w:cs="Arial"/>
        </w:rPr>
        <w:t>y 4,106 children would be disenrolled in order to maintain enrollment at 12,168 children for the entire year.  It appears the end result of a status quo budget is that 9,610 children would be uninsured; 5,564 not covered due to the waiting list and 4,106 d</w:t>
      </w:r>
      <w:r>
        <w:rPr>
          <w:rFonts w:ascii="Arial" w:hAnsi="Arial" w:cs="Arial"/>
        </w:rPr>
        <w:t>isenrolled as of July 2004.</w:t>
      </w:r>
    </w:p>
    <w:p w:rsidR="00000000" w:rsidRDefault="00216019">
      <w:pPr>
        <w:pStyle w:val="BodyText2"/>
        <w:ind w:left="360"/>
        <w:rPr>
          <w:rFonts w:ascii="Arial" w:hAnsi="Arial" w:cs="Arial"/>
        </w:rPr>
      </w:pPr>
    </w:p>
    <w:p w:rsidR="00000000" w:rsidRDefault="00216019">
      <w:pPr>
        <w:pStyle w:val="BodyText2"/>
        <w:ind w:left="360"/>
        <w:rPr>
          <w:rFonts w:ascii="Arial" w:hAnsi="Arial" w:cs="Arial"/>
        </w:rPr>
      </w:pPr>
      <w:r>
        <w:rPr>
          <w:rFonts w:ascii="Arial" w:hAnsi="Arial" w:cs="Arial"/>
        </w:rPr>
        <w:t xml:space="preserve">The Board fully appreciates the budget limitation facing the Governor and Legislature.  The Board also knows that both governmental branches have made special efforts in the past to preserve and, where possible, grow the </w:t>
      </w:r>
      <w:r>
        <w:rPr>
          <w:rFonts w:ascii="Arial" w:hAnsi="Arial" w:cs="Arial"/>
          <w:b/>
          <w:i/>
        </w:rPr>
        <w:t>hawk-i</w:t>
      </w:r>
      <w:r>
        <w:rPr>
          <w:rFonts w:ascii="Arial" w:hAnsi="Arial" w:cs="Arial"/>
        </w:rPr>
        <w:t xml:space="preserve"> Program.  We know the Department will work closely with the Legislature and the Governor’s Office to support the </w:t>
      </w:r>
      <w:r>
        <w:rPr>
          <w:rFonts w:ascii="Arial" w:hAnsi="Arial" w:cs="Arial"/>
          <w:b/>
          <w:i/>
        </w:rPr>
        <w:t>hawk-i</w:t>
      </w:r>
      <w:r>
        <w:rPr>
          <w:rFonts w:ascii="Arial" w:hAnsi="Arial" w:cs="Arial"/>
        </w:rPr>
        <w:t xml:space="preserve"> Program in order that the current enrolled and future coverage of additional children can be accomplished.  </w:t>
      </w:r>
    </w:p>
    <w:p w:rsidR="00000000" w:rsidRDefault="00216019">
      <w:pPr>
        <w:pStyle w:val="BodyText2"/>
        <w:ind w:left="360"/>
        <w:rPr>
          <w:rFonts w:ascii="Arial" w:hAnsi="Arial" w:cs="Arial"/>
        </w:rPr>
      </w:pPr>
    </w:p>
    <w:p w:rsidR="00000000" w:rsidRDefault="00216019">
      <w:pPr>
        <w:pStyle w:val="BodyText2"/>
        <w:ind w:left="360"/>
        <w:rPr>
          <w:rFonts w:ascii="Arial" w:hAnsi="Arial" w:cs="Arial"/>
        </w:rPr>
      </w:pPr>
      <w:r>
        <w:rPr>
          <w:rFonts w:ascii="Arial" w:hAnsi="Arial" w:cs="Arial"/>
        </w:rPr>
        <w:t>A copy of the final SFY ’</w:t>
      </w:r>
      <w:r>
        <w:rPr>
          <w:rFonts w:ascii="Arial" w:hAnsi="Arial" w:cs="Arial"/>
        </w:rPr>
        <w:t>03 final expenditure report and the SFY ’04 budget are attached.  These reports reflect state only dollars.</w:t>
      </w:r>
    </w:p>
    <w:p w:rsidR="00000000" w:rsidRDefault="00216019">
      <w:pPr>
        <w:rPr>
          <w:rFonts w:cs="Arial"/>
        </w:rPr>
      </w:pPr>
    </w:p>
    <w:p w:rsidR="00000000" w:rsidRDefault="00216019">
      <w:pPr>
        <w:ind w:left="720"/>
        <w:rPr>
          <w:rFonts w:cs="Arial"/>
          <w:i/>
        </w:rPr>
      </w:pPr>
      <w:r>
        <w:rPr>
          <w:rFonts w:cs="Arial"/>
          <w:i/>
        </w:rPr>
        <w:t>Attachment 3:  Allotment Expenditure History, SFY ’03 Expenditure Report, and SFY ’04 Budget</w:t>
      </w:r>
    </w:p>
    <w:p w:rsidR="00000000" w:rsidRDefault="00216019">
      <w:pPr>
        <w:rPr>
          <w:rFonts w:cs="Arial"/>
        </w:rPr>
      </w:pPr>
    </w:p>
    <w:p w:rsidR="00000000" w:rsidRDefault="00216019">
      <w:pPr>
        <w:ind w:left="-576"/>
        <w:rPr>
          <w:rFonts w:cs="Arial"/>
          <w:b/>
          <w:sz w:val="28"/>
        </w:rPr>
      </w:pPr>
      <w:r>
        <w:rPr>
          <w:rFonts w:ascii="Times New Roman" w:hAnsi="Times New Roman"/>
          <w:b/>
          <w:sz w:val="28"/>
        </w:rPr>
        <w:t>IV</w:t>
      </w:r>
      <w:r>
        <w:rPr>
          <w:rFonts w:cs="Arial"/>
          <w:b/>
          <w:sz w:val="28"/>
        </w:rPr>
        <w:t xml:space="preserve">.  </w:t>
      </w:r>
      <w:r>
        <w:rPr>
          <w:rFonts w:cs="Arial"/>
          <w:b/>
          <w:sz w:val="28"/>
          <w:u w:val="single"/>
        </w:rPr>
        <w:t>Outreach</w:t>
      </w:r>
      <w:r>
        <w:rPr>
          <w:rFonts w:cs="Arial"/>
          <w:b/>
          <w:sz w:val="28"/>
        </w:rPr>
        <w:t>:</w:t>
      </w:r>
    </w:p>
    <w:p w:rsidR="00000000" w:rsidRDefault="00216019">
      <w:pPr>
        <w:rPr>
          <w:rFonts w:cs="Arial"/>
        </w:rPr>
      </w:pPr>
    </w:p>
    <w:p w:rsidR="00000000" w:rsidRDefault="00216019">
      <w:pPr>
        <w:rPr>
          <w:rFonts w:cs="Arial"/>
        </w:rPr>
      </w:pPr>
      <w:r>
        <w:rPr>
          <w:rFonts w:cs="Arial"/>
        </w:rPr>
        <w:t>The Balanced Budget Act of 1997 requi</w:t>
      </w:r>
      <w:r>
        <w:rPr>
          <w:rFonts w:cs="Arial"/>
        </w:rPr>
        <w:t xml:space="preserve">res states to conduct outreach activities to communities for local outreach efforts.  The Department continues to educate the public about the </w:t>
      </w:r>
      <w:r>
        <w:rPr>
          <w:rFonts w:cs="Arial"/>
          <w:b/>
          <w:i/>
        </w:rPr>
        <w:t>hawk-i</w:t>
      </w:r>
      <w:r>
        <w:rPr>
          <w:rFonts w:cs="Arial"/>
        </w:rPr>
        <w:t xml:space="preserve"> Program by giving presentations to various groups who can assist in promoting the program.</w:t>
      </w:r>
    </w:p>
    <w:p w:rsidR="00000000" w:rsidRDefault="00216019">
      <w:pPr>
        <w:rPr>
          <w:rFonts w:cs="Arial"/>
        </w:rPr>
      </w:pPr>
    </w:p>
    <w:p w:rsidR="00000000" w:rsidRDefault="00216019">
      <w:pPr>
        <w:rPr>
          <w:rFonts w:cs="Arial"/>
        </w:rPr>
      </w:pPr>
      <w:r>
        <w:rPr>
          <w:rFonts w:cs="Arial"/>
        </w:rPr>
        <w:t xml:space="preserve">A.  </w:t>
      </w:r>
      <w:r>
        <w:rPr>
          <w:rFonts w:cs="Arial"/>
          <w:b/>
          <w:bCs/>
        </w:rPr>
        <w:t>Structure:</w:t>
      </w:r>
    </w:p>
    <w:p w:rsidR="00000000" w:rsidRDefault="00216019">
      <w:pPr>
        <w:rPr>
          <w:rFonts w:cs="Arial"/>
        </w:rPr>
      </w:pPr>
    </w:p>
    <w:p w:rsidR="00000000" w:rsidRDefault="00216019">
      <w:pPr>
        <w:ind w:left="360"/>
        <w:rPr>
          <w:rFonts w:cs="Arial"/>
        </w:rPr>
      </w:pPr>
      <w:r>
        <w:rPr>
          <w:rFonts w:cs="Arial"/>
        </w:rPr>
        <w:t xml:space="preserve">Effective September 1, 2003, the Iowa Department of Human Services (DHS) contracted with the Iowa Department of Public Health (IDPH) to provide oversight for a statewide </w:t>
      </w:r>
      <w:r>
        <w:rPr>
          <w:rFonts w:cs="Arial"/>
          <w:b/>
          <w:i/>
        </w:rPr>
        <w:t>hawk</w:t>
      </w:r>
      <w:r>
        <w:rPr>
          <w:rFonts w:cs="Arial"/>
          <w:b/>
          <w:i/>
        </w:rPr>
        <w:noBreakHyphen/>
        <w:t>i</w:t>
      </w:r>
      <w:r>
        <w:rPr>
          <w:rFonts w:cs="Arial"/>
        </w:rPr>
        <w:t xml:space="preserve"> grassroots outreach program.  The Bureau of Family Health in the Iowa Departm</w:t>
      </w:r>
      <w:r>
        <w:rPr>
          <w:rFonts w:cs="Arial"/>
        </w:rPr>
        <w:t>ent of Public Health administers the outreach program through 26 community-based child health agencies.  Each child health agency designates a Local Outreach Coordinator.  Statewide activities are coordinated by the State Outreach Coordinator who also prov</w:t>
      </w:r>
      <w:r>
        <w:rPr>
          <w:rFonts w:cs="Arial"/>
        </w:rPr>
        <w:t>ides technical assistance and oversight to the local efforts.  This includes, but is not limited to, e-mail communication, list serve linkages, face-to-face visits, and quarterly statewide training meetings.  The State Outreach Coordinator also serves as t</w:t>
      </w:r>
      <w:r>
        <w:rPr>
          <w:rFonts w:cs="Arial"/>
        </w:rPr>
        <w:t xml:space="preserve">he liaison between the local outreach efforts and DHS.  Community-based child health agencies enter into (sub-contracts) with </w:t>
      </w:r>
      <w:r>
        <w:rPr>
          <w:rFonts w:cs="Arial"/>
        </w:rPr>
        <w:lastRenderedPageBreak/>
        <w:t>other local entities that have demonstrated successful community outreach and enrollment activities to avoid duplication and assur</w:t>
      </w:r>
      <w:r>
        <w:rPr>
          <w:rFonts w:cs="Arial"/>
        </w:rPr>
        <w:t>e successful efforts.  Each child health agency implements an approved plan that addresses outreach to schools, the faith-based community, health care providers, and underserved populations for the communities they serve.</w:t>
      </w:r>
    </w:p>
    <w:p w:rsidR="00000000" w:rsidRDefault="00216019">
      <w:pPr>
        <w:ind w:left="360"/>
        <w:rPr>
          <w:rFonts w:cs="Arial"/>
        </w:rPr>
      </w:pPr>
    </w:p>
    <w:p w:rsidR="00000000" w:rsidRDefault="00216019">
      <w:pPr>
        <w:rPr>
          <w:rFonts w:cs="Arial"/>
        </w:rPr>
      </w:pPr>
      <w:r>
        <w:rPr>
          <w:rFonts w:cs="Arial"/>
        </w:rPr>
        <w:t xml:space="preserve">B.  </w:t>
      </w:r>
      <w:r>
        <w:rPr>
          <w:rFonts w:cs="Arial"/>
          <w:b/>
          <w:bCs/>
        </w:rPr>
        <w:t>Progress To-Date:</w:t>
      </w:r>
    </w:p>
    <w:p w:rsidR="00000000" w:rsidRDefault="00216019">
      <w:pPr>
        <w:ind w:left="360"/>
        <w:rPr>
          <w:rFonts w:cs="Arial"/>
        </w:rPr>
      </w:pPr>
    </w:p>
    <w:p w:rsidR="00000000" w:rsidRDefault="00216019">
      <w:pPr>
        <w:ind w:left="360"/>
      </w:pPr>
      <w:r>
        <w:rPr>
          <w:rFonts w:cs="Arial"/>
        </w:rPr>
        <w:t>DHS has pr</w:t>
      </w:r>
      <w:r>
        <w:rPr>
          <w:rFonts w:cs="Arial"/>
        </w:rPr>
        <w:t xml:space="preserve">ovided the leadership for an effective collaboration between the two state departments and the </w:t>
      </w:r>
      <w:r>
        <w:rPr>
          <w:rFonts w:cs="Arial"/>
          <w:b/>
          <w:i/>
        </w:rPr>
        <w:t>hawk</w:t>
      </w:r>
      <w:r>
        <w:rPr>
          <w:rFonts w:cs="Arial"/>
          <w:b/>
          <w:i/>
        </w:rPr>
        <w:noBreakHyphen/>
        <w:t>i</w:t>
      </w:r>
      <w:r>
        <w:rPr>
          <w:rFonts w:cs="Arial"/>
        </w:rPr>
        <w:t xml:space="preserve"> Board.  Outreach efforts coordinated through IDPH and the local child health agencies have been very successful.  This collaboration will continue to</w:t>
      </w:r>
      <w:r>
        <w:t xml:space="preserve"> guid</w:t>
      </w:r>
      <w:r>
        <w:t>e outreach efforts to reach uninsured families in Iowa.  Initial outreach efforts focused on four areas: schools, faith-based, medical providers and underserved populations.</w:t>
      </w:r>
    </w:p>
    <w:p w:rsidR="00000000" w:rsidRDefault="00216019">
      <w:pPr>
        <w:ind w:left="360"/>
      </w:pPr>
    </w:p>
    <w:p w:rsidR="00000000" w:rsidRDefault="00216019">
      <w:pPr>
        <w:ind w:left="360"/>
      </w:pPr>
      <w:r>
        <w:t>Additional detailed information on how these four areas are being addressed is in</w:t>
      </w:r>
      <w:r>
        <w:t>cluded in the appendix.</w:t>
      </w:r>
    </w:p>
    <w:p w:rsidR="00000000" w:rsidRDefault="00216019">
      <w:pPr>
        <w:ind w:left="360"/>
      </w:pPr>
    </w:p>
    <w:p w:rsidR="00000000" w:rsidRDefault="00216019">
      <w:pPr>
        <w:ind w:left="-432"/>
        <w:rPr>
          <w:b/>
          <w:sz w:val="28"/>
        </w:rPr>
      </w:pPr>
      <w:r>
        <w:rPr>
          <w:rFonts w:ascii="Times New Roman" w:hAnsi="Times New Roman"/>
          <w:b/>
          <w:sz w:val="28"/>
        </w:rPr>
        <w:t>V</w:t>
      </w:r>
      <w:r>
        <w:rPr>
          <w:b/>
          <w:sz w:val="28"/>
        </w:rPr>
        <w:t xml:space="preserve">.  </w:t>
      </w:r>
      <w:r>
        <w:rPr>
          <w:b/>
          <w:i/>
          <w:sz w:val="28"/>
          <w:u w:val="single"/>
        </w:rPr>
        <w:t>hawk-i</w:t>
      </w:r>
      <w:r>
        <w:rPr>
          <w:b/>
          <w:sz w:val="28"/>
          <w:u w:val="single"/>
        </w:rPr>
        <w:t xml:space="preserve"> Enrollment and Referrals to Medicaid</w:t>
      </w:r>
      <w:r>
        <w:rPr>
          <w:b/>
          <w:sz w:val="28"/>
        </w:rPr>
        <w:t>:</w:t>
      </w:r>
    </w:p>
    <w:p w:rsidR="00000000" w:rsidRDefault="00216019">
      <w:pPr>
        <w:rPr>
          <w:b/>
          <w:sz w:val="28"/>
          <w:u w:val="single"/>
        </w:rPr>
      </w:pPr>
    </w:p>
    <w:p w:rsidR="00000000" w:rsidRDefault="00216019">
      <w:r>
        <w:t xml:space="preserve">The </w:t>
      </w:r>
      <w:r>
        <w:rPr>
          <w:b/>
          <w:i/>
        </w:rPr>
        <w:t>hawk-i</w:t>
      </w:r>
      <w:r>
        <w:t xml:space="preserve"> Program continued to experience growth in 2003.  Since January 2003, the </w:t>
      </w:r>
      <w:r>
        <w:rPr>
          <w:b/>
          <w:i/>
        </w:rPr>
        <w:t>hawk-i</w:t>
      </w:r>
      <w:r>
        <w:t xml:space="preserve"> Program has received 14,688 applications.  Similar to past years, approximately 40% of all</w:t>
      </w:r>
      <w:r>
        <w:t xml:space="preserve"> </w:t>
      </w:r>
      <w:r>
        <w:rPr>
          <w:b/>
          <w:i/>
        </w:rPr>
        <w:t>hawk-i</w:t>
      </w:r>
      <w:r>
        <w:t xml:space="preserve"> applications were referred to Medicaid.  Although the Medicaid Expansion component of SCHIP (Title XXI funded) remained constant in 2003, the Medicaid program experienced significant growth in the number of children participating.  </w:t>
      </w:r>
    </w:p>
    <w:p w:rsidR="00000000" w:rsidRDefault="00216019">
      <w:pPr>
        <w:rPr>
          <w:b/>
          <w:u w:val="single"/>
        </w:rPr>
      </w:pPr>
    </w:p>
    <w:p w:rsidR="00000000" w:rsidRDefault="00216019">
      <w:pPr>
        <w:rPr>
          <w:b/>
        </w:rPr>
      </w:pPr>
      <w:r>
        <w:t xml:space="preserve">A.  </w:t>
      </w:r>
      <w:r>
        <w:rPr>
          <w:b/>
        </w:rPr>
        <w:t>Enrollment</w:t>
      </w:r>
      <w:r>
        <w:rPr>
          <w:b/>
        </w:rPr>
        <w:t>:</w:t>
      </w:r>
    </w:p>
    <w:p w:rsidR="00000000" w:rsidRDefault="00216019"/>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8"/>
        <w:gridCol w:w="2630"/>
        <w:gridCol w:w="2630"/>
      </w:tblGrid>
      <w:tr w:rsidR="00000000">
        <w:tblPrEx>
          <w:tblCellMar>
            <w:top w:w="0" w:type="dxa"/>
            <w:bottom w:w="0" w:type="dxa"/>
          </w:tblCellMar>
        </w:tblPrEx>
        <w:trPr>
          <w:jc w:val="center"/>
        </w:trPr>
        <w:tc>
          <w:tcPr>
            <w:tcW w:w="2858" w:type="dxa"/>
          </w:tcPr>
          <w:p w:rsidR="00000000" w:rsidRDefault="00216019">
            <w:pPr>
              <w:jc w:val="center"/>
            </w:pPr>
          </w:p>
          <w:p w:rsidR="00000000" w:rsidRDefault="00216019">
            <w:pPr>
              <w:jc w:val="center"/>
            </w:pPr>
            <w:r>
              <w:t>Program</w:t>
            </w:r>
          </w:p>
        </w:tc>
        <w:tc>
          <w:tcPr>
            <w:tcW w:w="2630" w:type="dxa"/>
          </w:tcPr>
          <w:p w:rsidR="00000000" w:rsidRDefault="00216019">
            <w:pPr>
              <w:jc w:val="center"/>
            </w:pPr>
            <w:r>
              <w:t>Enrollment as of</w:t>
            </w:r>
          </w:p>
          <w:p w:rsidR="00000000" w:rsidRDefault="00216019">
            <w:pPr>
              <w:jc w:val="center"/>
            </w:pPr>
            <w:r>
              <w:t>November 30, 2002</w:t>
            </w:r>
          </w:p>
        </w:tc>
        <w:tc>
          <w:tcPr>
            <w:tcW w:w="2630" w:type="dxa"/>
          </w:tcPr>
          <w:p w:rsidR="00000000" w:rsidRDefault="00216019">
            <w:pPr>
              <w:jc w:val="center"/>
            </w:pPr>
            <w:r>
              <w:t>Enrollment as of</w:t>
            </w:r>
          </w:p>
          <w:p w:rsidR="00000000" w:rsidRDefault="00216019">
            <w:pPr>
              <w:jc w:val="center"/>
            </w:pPr>
            <w:r>
              <w:t>November 30, 2003</w:t>
            </w:r>
          </w:p>
        </w:tc>
      </w:tr>
      <w:tr w:rsidR="00000000">
        <w:tblPrEx>
          <w:tblCellMar>
            <w:top w:w="0" w:type="dxa"/>
            <w:bottom w:w="0" w:type="dxa"/>
          </w:tblCellMar>
        </w:tblPrEx>
        <w:trPr>
          <w:jc w:val="center"/>
        </w:trPr>
        <w:tc>
          <w:tcPr>
            <w:tcW w:w="2858" w:type="dxa"/>
          </w:tcPr>
          <w:p w:rsidR="00000000" w:rsidRDefault="00216019">
            <w:r>
              <w:t>Medicaid Expansion</w:t>
            </w:r>
          </w:p>
        </w:tc>
        <w:tc>
          <w:tcPr>
            <w:tcW w:w="2630" w:type="dxa"/>
          </w:tcPr>
          <w:p w:rsidR="00000000" w:rsidRDefault="00216019">
            <w:pPr>
              <w:jc w:val="center"/>
            </w:pPr>
            <w:r>
              <w:t>12,203</w:t>
            </w:r>
          </w:p>
        </w:tc>
        <w:tc>
          <w:tcPr>
            <w:tcW w:w="2630" w:type="dxa"/>
          </w:tcPr>
          <w:p w:rsidR="00000000" w:rsidRDefault="00216019">
            <w:pPr>
              <w:jc w:val="center"/>
            </w:pPr>
            <w:r>
              <w:t>13,820</w:t>
            </w:r>
          </w:p>
        </w:tc>
      </w:tr>
      <w:tr w:rsidR="00000000">
        <w:tblPrEx>
          <w:tblCellMar>
            <w:top w:w="0" w:type="dxa"/>
            <w:bottom w:w="0" w:type="dxa"/>
          </w:tblCellMar>
        </w:tblPrEx>
        <w:trPr>
          <w:jc w:val="center"/>
        </w:trPr>
        <w:tc>
          <w:tcPr>
            <w:tcW w:w="2858" w:type="dxa"/>
          </w:tcPr>
          <w:p w:rsidR="00000000" w:rsidRDefault="00216019">
            <w:r>
              <w:rPr>
                <w:b/>
                <w:i/>
              </w:rPr>
              <w:t>hawk-i</w:t>
            </w:r>
            <w:r>
              <w:t xml:space="preserve"> Program</w:t>
            </w:r>
          </w:p>
        </w:tc>
        <w:tc>
          <w:tcPr>
            <w:tcW w:w="2630" w:type="dxa"/>
          </w:tcPr>
          <w:p w:rsidR="00000000" w:rsidRDefault="00216019">
            <w:pPr>
              <w:jc w:val="center"/>
            </w:pPr>
            <w:r>
              <w:t>13,998</w:t>
            </w:r>
          </w:p>
        </w:tc>
        <w:tc>
          <w:tcPr>
            <w:tcW w:w="2630" w:type="dxa"/>
          </w:tcPr>
          <w:p w:rsidR="00000000" w:rsidRDefault="00216019">
            <w:pPr>
              <w:jc w:val="center"/>
            </w:pPr>
            <w:r>
              <w:t>15,710</w:t>
            </w:r>
          </w:p>
        </w:tc>
      </w:tr>
      <w:tr w:rsidR="00000000">
        <w:tblPrEx>
          <w:tblCellMar>
            <w:top w:w="0" w:type="dxa"/>
            <w:bottom w:w="0" w:type="dxa"/>
          </w:tblCellMar>
        </w:tblPrEx>
        <w:trPr>
          <w:jc w:val="center"/>
        </w:trPr>
        <w:tc>
          <w:tcPr>
            <w:tcW w:w="2858" w:type="dxa"/>
          </w:tcPr>
          <w:p w:rsidR="00000000" w:rsidRDefault="00216019">
            <w:r>
              <w:t>Total SCHIP Enrollment</w:t>
            </w:r>
          </w:p>
        </w:tc>
        <w:tc>
          <w:tcPr>
            <w:tcW w:w="2630" w:type="dxa"/>
          </w:tcPr>
          <w:p w:rsidR="00000000" w:rsidRDefault="00216019">
            <w:pPr>
              <w:jc w:val="center"/>
            </w:pPr>
            <w:r>
              <w:t>26,201</w:t>
            </w:r>
          </w:p>
        </w:tc>
        <w:tc>
          <w:tcPr>
            <w:tcW w:w="2630" w:type="dxa"/>
          </w:tcPr>
          <w:p w:rsidR="00000000" w:rsidRDefault="00216019">
            <w:pPr>
              <w:jc w:val="center"/>
            </w:pPr>
            <w:r>
              <w:t>29,530</w:t>
            </w:r>
          </w:p>
        </w:tc>
      </w:tr>
    </w:tbl>
    <w:p w:rsidR="00000000" w:rsidRDefault="00216019"/>
    <w:p w:rsidR="00000000" w:rsidRDefault="00216019">
      <w:pPr>
        <w:tabs>
          <w:tab w:val="left" w:pos="1800"/>
        </w:tabs>
        <w:ind w:left="1800" w:hanging="1800"/>
        <w:rPr>
          <w:i/>
        </w:rPr>
      </w:pPr>
      <w:r>
        <w:rPr>
          <w:i/>
        </w:rPr>
        <w:t>Attachment 4:</w:t>
      </w:r>
      <w:r>
        <w:rPr>
          <w:i/>
        </w:rPr>
        <w:tab/>
        <w:t xml:space="preserve"> Organization of the </w:t>
      </w:r>
      <w:r>
        <w:rPr>
          <w:b/>
          <w:i/>
        </w:rPr>
        <w:t xml:space="preserve">hawk-i </w:t>
      </w:r>
      <w:r>
        <w:rPr>
          <w:i/>
        </w:rPr>
        <w:t>Program Chart, History of Pa</w:t>
      </w:r>
      <w:r>
        <w:rPr>
          <w:i/>
        </w:rPr>
        <w:t>rticipation of Children in Medicaid and</w:t>
      </w:r>
      <w:r>
        <w:rPr>
          <w:b/>
          <w:i/>
        </w:rPr>
        <w:t xml:space="preserve"> hawk-i, </w:t>
      </w:r>
      <w:r>
        <w:rPr>
          <w:i/>
        </w:rPr>
        <w:t xml:space="preserve">Iowa’s SCHIP Program Combination Medicaid Expansion and </w:t>
      </w:r>
      <w:r>
        <w:rPr>
          <w:b/>
          <w:i/>
        </w:rPr>
        <w:t xml:space="preserve">hawk-i, </w:t>
      </w:r>
      <w:r>
        <w:rPr>
          <w:i/>
        </w:rPr>
        <w:t xml:space="preserve">Enrollee Demographic Summary by Federal Poverty Level, Enrollee Demographic Summary by Age, Enrollee Demographic Summary by Gender </w:t>
      </w:r>
    </w:p>
    <w:p w:rsidR="00000000" w:rsidRDefault="00216019"/>
    <w:p w:rsidR="00000000" w:rsidRDefault="00216019">
      <w:pPr>
        <w:rPr>
          <w:b/>
          <w:u w:val="single"/>
        </w:rPr>
      </w:pPr>
      <w:r>
        <w:t xml:space="preserve">B.  </w:t>
      </w:r>
      <w:r>
        <w:rPr>
          <w:b/>
        </w:rPr>
        <w:t>Undupli</w:t>
      </w:r>
      <w:r>
        <w:rPr>
          <w:b/>
        </w:rPr>
        <w:t>cated Number of Children Enrolled by Federal Fiscal Year:</w:t>
      </w:r>
    </w:p>
    <w:p w:rsidR="00000000" w:rsidRDefault="00216019">
      <w:pPr>
        <w:rPr>
          <w:snapToGrid w:val="0"/>
        </w:rPr>
      </w:pPr>
    </w:p>
    <w:p w:rsidR="00000000" w:rsidRDefault="00216019">
      <w:pPr>
        <w:ind w:left="360"/>
        <w:rPr>
          <w:snapToGrid w:val="0"/>
        </w:rPr>
      </w:pPr>
      <w:r>
        <w:rPr>
          <w:snapToGrid w:val="0"/>
        </w:rPr>
        <w:t xml:space="preserve">The Department developed a table of the number identifying children enrolled (unduplicated) in the </w:t>
      </w:r>
      <w:r>
        <w:rPr>
          <w:b/>
          <w:i/>
          <w:snapToGrid w:val="0"/>
        </w:rPr>
        <w:t xml:space="preserve">hawk-i </w:t>
      </w:r>
      <w:r>
        <w:rPr>
          <w:snapToGrid w:val="0"/>
        </w:rPr>
        <w:t>Program at any time during the FFY (October 1 through September 30) by federal poverty leve</w:t>
      </w:r>
      <w:r>
        <w:rPr>
          <w:snapToGrid w:val="0"/>
        </w:rPr>
        <w:t xml:space="preserve">l for FFYs 2000, 2001, 2002 and 2003.  Each child enrolled in </w:t>
      </w:r>
      <w:r>
        <w:rPr>
          <w:b/>
          <w:i/>
          <w:snapToGrid w:val="0"/>
        </w:rPr>
        <w:t>hawk-i</w:t>
      </w:r>
      <w:r>
        <w:rPr>
          <w:snapToGrid w:val="0"/>
        </w:rPr>
        <w:t xml:space="preserve"> is counted </w:t>
      </w:r>
      <w:r>
        <w:rPr>
          <w:snapToGrid w:val="0"/>
          <w:u w:val="single"/>
        </w:rPr>
        <w:t>once</w:t>
      </w:r>
      <w:r>
        <w:rPr>
          <w:snapToGrid w:val="0"/>
        </w:rPr>
        <w:t xml:space="preserve"> regardless of the number of times he or she </w:t>
      </w:r>
      <w:r>
        <w:rPr>
          <w:snapToGrid w:val="0"/>
        </w:rPr>
        <w:lastRenderedPageBreak/>
        <w:t>was enrolled or re-enrolled in the program during the year.  This unduplicated count represents the total children served by th</w:t>
      </w:r>
      <w:r>
        <w:rPr>
          <w:snapToGrid w:val="0"/>
        </w:rPr>
        <w:t>e program rather than point-in-time enrollment.</w:t>
      </w:r>
    </w:p>
    <w:p w:rsidR="00000000" w:rsidRDefault="00216019">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036"/>
        <w:gridCol w:w="1827"/>
        <w:gridCol w:w="1827"/>
        <w:gridCol w:w="1284"/>
        <w:gridCol w:w="1351"/>
      </w:tblGrid>
      <w:tr w:rsidR="00000000">
        <w:tblPrEx>
          <w:tblCellMar>
            <w:top w:w="0" w:type="dxa"/>
            <w:bottom w:w="0" w:type="dxa"/>
          </w:tblCellMar>
        </w:tblPrEx>
        <w:trPr>
          <w:cantSplit/>
        </w:trPr>
        <w:tc>
          <w:tcPr>
            <w:tcW w:w="1548" w:type="dxa"/>
            <w:vMerge w:val="restart"/>
          </w:tcPr>
          <w:p w:rsidR="00000000" w:rsidRDefault="00216019"/>
        </w:tc>
        <w:tc>
          <w:tcPr>
            <w:tcW w:w="5957" w:type="dxa"/>
            <w:gridSpan w:val="4"/>
            <w:vAlign w:val="center"/>
          </w:tcPr>
          <w:p w:rsidR="00000000" w:rsidRDefault="00216019">
            <w:pPr>
              <w:pStyle w:val="Heading1"/>
              <w:jc w:val="center"/>
              <w:rPr>
                <w:b/>
                <w:bCs/>
                <w:sz w:val="28"/>
              </w:rPr>
            </w:pPr>
            <w:r>
              <w:rPr>
                <w:b/>
                <w:bCs/>
                <w:sz w:val="28"/>
              </w:rPr>
              <w:t>Federal Poverty Level</w:t>
            </w:r>
          </w:p>
        </w:tc>
        <w:tc>
          <w:tcPr>
            <w:tcW w:w="1351" w:type="dxa"/>
            <w:vMerge w:val="restart"/>
            <w:vAlign w:val="center"/>
          </w:tcPr>
          <w:p w:rsidR="00000000" w:rsidRDefault="00216019">
            <w:pPr>
              <w:jc w:val="center"/>
              <w:rPr>
                <w:b/>
                <w:sz w:val="22"/>
              </w:rPr>
            </w:pPr>
            <w:r>
              <w:rPr>
                <w:b/>
                <w:sz w:val="22"/>
              </w:rPr>
              <w:t>Total Children Served</w:t>
            </w:r>
          </w:p>
        </w:tc>
      </w:tr>
      <w:tr w:rsidR="00000000">
        <w:tblPrEx>
          <w:tblCellMar>
            <w:top w:w="0" w:type="dxa"/>
            <w:bottom w:w="0" w:type="dxa"/>
          </w:tblCellMar>
        </w:tblPrEx>
        <w:trPr>
          <w:cantSplit/>
        </w:trPr>
        <w:tc>
          <w:tcPr>
            <w:tcW w:w="1548" w:type="dxa"/>
            <w:vMerge/>
          </w:tcPr>
          <w:p w:rsidR="00000000" w:rsidRDefault="00216019"/>
        </w:tc>
        <w:tc>
          <w:tcPr>
            <w:tcW w:w="1019" w:type="dxa"/>
          </w:tcPr>
          <w:p w:rsidR="00000000" w:rsidRDefault="00216019">
            <w:pPr>
              <w:rPr>
                <w:b/>
                <w:sz w:val="22"/>
              </w:rPr>
            </w:pPr>
          </w:p>
          <w:p w:rsidR="00000000" w:rsidRDefault="00216019">
            <w:pPr>
              <w:rPr>
                <w:b/>
                <w:sz w:val="22"/>
              </w:rPr>
            </w:pPr>
            <w:r>
              <w:rPr>
                <w:b/>
                <w:sz w:val="22"/>
              </w:rPr>
              <w:t>&lt;=100%</w:t>
            </w:r>
          </w:p>
        </w:tc>
        <w:tc>
          <w:tcPr>
            <w:tcW w:w="1827" w:type="dxa"/>
          </w:tcPr>
          <w:p w:rsidR="00000000" w:rsidRDefault="00216019">
            <w:pPr>
              <w:rPr>
                <w:b/>
                <w:sz w:val="22"/>
              </w:rPr>
            </w:pPr>
          </w:p>
          <w:p w:rsidR="00000000" w:rsidRDefault="00216019">
            <w:pPr>
              <w:rPr>
                <w:b/>
                <w:sz w:val="22"/>
              </w:rPr>
            </w:pPr>
            <w:r>
              <w:rPr>
                <w:b/>
                <w:sz w:val="22"/>
              </w:rPr>
              <w:t>&gt;100%&lt;=150%</w:t>
            </w:r>
          </w:p>
        </w:tc>
        <w:tc>
          <w:tcPr>
            <w:tcW w:w="1827" w:type="dxa"/>
          </w:tcPr>
          <w:p w:rsidR="00000000" w:rsidRDefault="00216019">
            <w:pPr>
              <w:rPr>
                <w:b/>
                <w:sz w:val="22"/>
              </w:rPr>
            </w:pPr>
          </w:p>
          <w:p w:rsidR="00000000" w:rsidRDefault="00216019">
            <w:pPr>
              <w:rPr>
                <w:b/>
                <w:sz w:val="22"/>
              </w:rPr>
            </w:pPr>
            <w:r>
              <w:rPr>
                <w:b/>
                <w:sz w:val="22"/>
              </w:rPr>
              <w:t>&gt;150%&lt;=200%</w:t>
            </w:r>
          </w:p>
        </w:tc>
        <w:tc>
          <w:tcPr>
            <w:tcW w:w="1284" w:type="dxa"/>
          </w:tcPr>
          <w:p w:rsidR="00000000" w:rsidRDefault="00216019">
            <w:pPr>
              <w:rPr>
                <w:b/>
                <w:sz w:val="22"/>
              </w:rPr>
            </w:pPr>
          </w:p>
          <w:p w:rsidR="00000000" w:rsidRDefault="00216019">
            <w:pPr>
              <w:rPr>
                <w:b/>
                <w:sz w:val="22"/>
              </w:rPr>
            </w:pPr>
            <w:r>
              <w:rPr>
                <w:b/>
                <w:sz w:val="22"/>
              </w:rPr>
              <w:t>&gt;200%</w:t>
            </w:r>
          </w:p>
        </w:tc>
        <w:tc>
          <w:tcPr>
            <w:tcW w:w="1351" w:type="dxa"/>
            <w:vMerge/>
          </w:tcPr>
          <w:p w:rsidR="00000000" w:rsidRDefault="00216019">
            <w:pPr>
              <w:rPr>
                <w:b/>
              </w:rPr>
            </w:pPr>
          </w:p>
        </w:tc>
      </w:tr>
      <w:tr w:rsidR="00000000">
        <w:tblPrEx>
          <w:tblCellMar>
            <w:top w:w="0" w:type="dxa"/>
            <w:bottom w:w="0" w:type="dxa"/>
          </w:tblCellMar>
        </w:tblPrEx>
        <w:tc>
          <w:tcPr>
            <w:tcW w:w="1548" w:type="dxa"/>
          </w:tcPr>
          <w:p w:rsidR="00000000" w:rsidRDefault="00216019">
            <w:pPr>
              <w:pStyle w:val="BodyText"/>
              <w:rPr>
                <w:b/>
                <w:bCs/>
                <w:i w:val="0"/>
                <w:iCs/>
                <w:sz w:val="20"/>
              </w:rPr>
            </w:pPr>
            <w:r>
              <w:rPr>
                <w:b/>
                <w:bCs/>
                <w:i w:val="0"/>
                <w:iCs/>
                <w:sz w:val="20"/>
              </w:rPr>
              <w:t>Federal Fiscal</w:t>
            </w:r>
          </w:p>
          <w:p w:rsidR="00000000" w:rsidRDefault="00216019">
            <w:pPr>
              <w:rPr>
                <w:b/>
                <w:bCs/>
                <w:iCs/>
                <w:sz w:val="20"/>
              </w:rPr>
            </w:pPr>
            <w:r>
              <w:rPr>
                <w:b/>
                <w:bCs/>
                <w:iCs/>
                <w:sz w:val="20"/>
              </w:rPr>
              <w:t>Year 2000</w:t>
            </w:r>
          </w:p>
        </w:tc>
        <w:tc>
          <w:tcPr>
            <w:tcW w:w="1019" w:type="dxa"/>
          </w:tcPr>
          <w:p w:rsidR="00000000" w:rsidRDefault="00216019">
            <w:pPr>
              <w:jc w:val="center"/>
            </w:pPr>
          </w:p>
          <w:p w:rsidR="00000000" w:rsidRDefault="00216019">
            <w:pPr>
              <w:jc w:val="center"/>
            </w:pPr>
            <w:r>
              <w:t>285</w:t>
            </w:r>
          </w:p>
        </w:tc>
        <w:tc>
          <w:tcPr>
            <w:tcW w:w="1827" w:type="dxa"/>
          </w:tcPr>
          <w:p w:rsidR="00000000" w:rsidRDefault="00216019">
            <w:pPr>
              <w:jc w:val="center"/>
            </w:pPr>
          </w:p>
          <w:p w:rsidR="00000000" w:rsidRDefault="00216019">
            <w:pPr>
              <w:jc w:val="center"/>
            </w:pPr>
            <w:r>
              <w:t>4,840</w:t>
            </w:r>
          </w:p>
        </w:tc>
        <w:tc>
          <w:tcPr>
            <w:tcW w:w="1827" w:type="dxa"/>
          </w:tcPr>
          <w:p w:rsidR="00000000" w:rsidRDefault="00216019">
            <w:pPr>
              <w:jc w:val="center"/>
            </w:pPr>
          </w:p>
          <w:p w:rsidR="00000000" w:rsidRDefault="00216019">
            <w:pPr>
              <w:jc w:val="center"/>
            </w:pPr>
            <w:r>
              <w:t>3,416</w:t>
            </w:r>
          </w:p>
        </w:tc>
        <w:tc>
          <w:tcPr>
            <w:tcW w:w="1284" w:type="dxa"/>
          </w:tcPr>
          <w:p w:rsidR="00000000" w:rsidRDefault="00216019">
            <w:pPr>
              <w:jc w:val="center"/>
            </w:pPr>
          </w:p>
          <w:p w:rsidR="00000000" w:rsidRDefault="00216019">
            <w:pPr>
              <w:jc w:val="center"/>
            </w:pPr>
            <w:r>
              <w:t>158</w:t>
            </w:r>
          </w:p>
        </w:tc>
        <w:tc>
          <w:tcPr>
            <w:tcW w:w="1351" w:type="dxa"/>
          </w:tcPr>
          <w:p w:rsidR="00000000" w:rsidRDefault="00216019">
            <w:pPr>
              <w:jc w:val="center"/>
            </w:pPr>
          </w:p>
          <w:p w:rsidR="00000000" w:rsidRDefault="00216019">
            <w:pPr>
              <w:jc w:val="center"/>
            </w:pPr>
            <w:r>
              <w:t>8,699</w:t>
            </w:r>
          </w:p>
        </w:tc>
      </w:tr>
      <w:tr w:rsidR="00000000">
        <w:tblPrEx>
          <w:tblCellMar>
            <w:top w:w="0" w:type="dxa"/>
            <w:bottom w:w="0" w:type="dxa"/>
          </w:tblCellMar>
        </w:tblPrEx>
        <w:tc>
          <w:tcPr>
            <w:tcW w:w="1548" w:type="dxa"/>
          </w:tcPr>
          <w:p w:rsidR="00000000" w:rsidRDefault="00216019">
            <w:pPr>
              <w:rPr>
                <w:b/>
                <w:bCs/>
                <w:sz w:val="20"/>
              </w:rPr>
            </w:pPr>
            <w:r>
              <w:rPr>
                <w:b/>
                <w:bCs/>
                <w:sz w:val="20"/>
              </w:rPr>
              <w:t>Federal Fiscal</w:t>
            </w:r>
          </w:p>
          <w:p w:rsidR="00000000" w:rsidRDefault="00216019">
            <w:pPr>
              <w:rPr>
                <w:b/>
                <w:bCs/>
                <w:sz w:val="20"/>
              </w:rPr>
            </w:pPr>
            <w:r>
              <w:rPr>
                <w:b/>
                <w:bCs/>
                <w:sz w:val="20"/>
              </w:rPr>
              <w:t>Year 2001</w:t>
            </w:r>
          </w:p>
        </w:tc>
        <w:tc>
          <w:tcPr>
            <w:tcW w:w="1019" w:type="dxa"/>
          </w:tcPr>
          <w:p w:rsidR="00000000" w:rsidRDefault="00216019">
            <w:pPr>
              <w:jc w:val="center"/>
            </w:pPr>
          </w:p>
          <w:p w:rsidR="00000000" w:rsidRDefault="00216019">
            <w:pPr>
              <w:jc w:val="center"/>
            </w:pPr>
            <w:r>
              <w:t>679</w:t>
            </w:r>
          </w:p>
        </w:tc>
        <w:tc>
          <w:tcPr>
            <w:tcW w:w="1827" w:type="dxa"/>
          </w:tcPr>
          <w:p w:rsidR="00000000" w:rsidRDefault="00216019">
            <w:pPr>
              <w:jc w:val="center"/>
            </w:pPr>
          </w:p>
          <w:p w:rsidR="00000000" w:rsidRDefault="00216019">
            <w:pPr>
              <w:jc w:val="center"/>
            </w:pPr>
            <w:r>
              <w:t>8,760</w:t>
            </w:r>
          </w:p>
        </w:tc>
        <w:tc>
          <w:tcPr>
            <w:tcW w:w="1827" w:type="dxa"/>
          </w:tcPr>
          <w:p w:rsidR="00000000" w:rsidRDefault="00216019">
            <w:pPr>
              <w:jc w:val="center"/>
            </w:pPr>
          </w:p>
          <w:p w:rsidR="00000000" w:rsidRDefault="00216019">
            <w:pPr>
              <w:jc w:val="center"/>
            </w:pPr>
            <w:r>
              <w:t>6,977</w:t>
            </w:r>
          </w:p>
        </w:tc>
        <w:tc>
          <w:tcPr>
            <w:tcW w:w="1284" w:type="dxa"/>
          </w:tcPr>
          <w:p w:rsidR="00000000" w:rsidRDefault="00216019">
            <w:pPr>
              <w:jc w:val="center"/>
            </w:pPr>
          </w:p>
          <w:p w:rsidR="00000000" w:rsidRDefault="00216019">
            <w:pPr>
              <w:jc w:val="center"/>
            </w:pPr>
            <w:r>
              <w:t>256</w:t>
            </w:r>
          </w:p>
        </w:tc>
        <w:tc>
          <w:tcPr>
            <w:tcW w:w="1351" w:type="dxa"/>
          </w:tcPr>
          <w:p w:rsidR="00000000" w:rsidRDefault="00216019">
            <w:pPr>
              <w:jc w:val="center"/>
            </w:pPr>
          </w:p>
          <w:p w:rsidR="00000000" w:rsidRDefault="00216019">
            <w:pPr>
              <w:jc w:val="center"/>
            </w:pPr>
            <w:r>
              <w:t>16,672</w:t>
            </w:r>
          </w:p>
        </w:tc>
      </w:tr>
      <w:tr w:rsidR="00000000">
        <w:tblPrEx>
          <w:tblCellMar>
            <w:top w:w="0" w:type="dxa"/>
            <w:bottom w:w="0" w:type="dxa"/>
          </w:tblCellMar>
        </w:tblPrEx>
        <w:tc>
          <w:tcPr>
            <w:tcW w:w="1548" w:type="dxa"/>
          </w:tcPr>
          <w:p w:rsidR="00000000" w:rsidRDefault="00216019">
            <w:pPr>
              <w:rPr>
                <w:b/>
                <w:bCs/>
                <w:sz w:val="20"/>
              </w:rPr>
            </w:pPr>
            <w:r>
              <w:rPr>
                <w:b/>
                <w:bCs/>
                <w:sz w:val="20"/>
              </w:rPr>
              <w:t>Fe</w:t>
            </w:r>
            <w:r>
              <w:rPr>
                <w:b/>
                <w:bCs/>
                <w:sz w:val="20"/>
              </w:rPr>
              <w:t>deral Fiscal</w:t>
            </w:r>
          </w:p>
          <w:p w:rsidR="00000000" w:rsidRDefault="00216019">
            <w:pPr>
              <w:rPr>
                <w:b/>
                <w:bCs/>
                <w:sz w:val="20"/>
              </w:rPr>
            </w:pPr>
            <w:r>
              <w:rPr>
                <w:b/>
                <w:bCs/>
                <w:sz w:val="20"/>
              </w:rPr>
              <w:t>Year 2002</w:t>
            </w:r>
          </w:p>
        </w:tc>
        <w:tc>
          <w:tcPr>
            <w:tcW w:w="1019" w:type="dxa"/>
          </w:tcPr>
          <w:p w:rsidR="00000000" w:rsidRDefault="00216019">
            <w:pPr>
              <w:jc w:val="center"/>
            </w:pPr>
          </w:p>
          <w:p w:rsidR="00000000" w:rsidRDefault="00216019">
            <w:pPr>
              <w:jc w:val="center"/>
            </w:pPr>
            <w:r>
              <w:t>682</w:t>
            </w:r>
          </w:p>
        </w:tc>
        <w:tc>
          <w:tcPr>
            <w:tcW w:w="1827" w:type="dxa"/>
          </w:tcPr>
          <w:p w:rsidR="00000000" w:rsidRDefault="00216019">
            <w:pPr>
              <w:jc w:val="center"/>
            </w:pPr>
          </w:p>
          <w:p w:rsidR="00000000" w:rsidRDefault="00216019">
            <w:pPr>
              <w:jc w:val="center"/>
            </w:pPr>
            <w:r>
              <w:t>10,415</w:t>
            </w:r>
          </w:p>
        </w:tc>
        <w:tc>
          <w:tcPr>
            <w:tcW w:w="1827" w:type="dxa"/>
          </w:tcPr>
          <w:p w:rsidR="00000000" w:rsidRDefault="00216019">
            <w:pPr>
              <w:jc w:val="center"/>
            </w:pPr>
          </w:p>
          <w:p w:rsidR="00000000" w:rsidRDefault="00216019">
            <w:pPr>
              <w:jc w:val="center"/>
            </w:pPr>
            <w:r>
              <w:t>10,034</w:t>
            </w:r>
          </w:p>
        </w:tc>
        <w:tc>
          <w:tcPr>
            <w:tcW w:w="1284" w:type="dxa"/>
          </w:tcPr>
          <w:p w:rsidR="00000000" w:rsidRDefault="00216019">
            <w:pPr>
              <w:jc w:val="center"/>
            </w:pPr>
          </w:p>
          <w:p w:rsidR="00000000" w:rsidRDefault="00216019">
            <w:pPr>
              <w:jc w:val="center"/>
            </w:pPr>
            <w:r>
              <w:t>3</w:t>
            </w:r>
          </w:p>
        </w:tc>
        <w:tc>
          <w:tcPr>
            <w:tcW w:w="1351" w:type="dxa"/>
          </w:tcPr>
          <w:p w:rsidR="00000000" w:rsidRDefault="00216019">
            <w:pPr>
              <w:jc w:val="center"/>
            </w:pPr>
          </w:p>
          <w:p w:rsidR="00000000" w:rsidRDefault="00216019">
            <w:pPr>
              <w:jc w:val="center"/>
            </w:pPr>
            <w:r>
              <w:t>21,134</w:t>
            </w:r>
          </w:p>
        </w:tc>
      </w:tr>
      <w:tr w:rsidR="00000000">
        <w:tblPrEx>
          <w:tblCellMar>
            <w:top w:w="0" w:type="dxa"/>
            <w:bottom w:w="0" w:type="dxa"/>
          </w:tblCellMar>
        </w:tblPrEx>
        <w:tc>
          <w:tcPr>
            <w:tcW w:w="1548" w:type="dxa"/>
          </w:tcPr>
          <w:p w:rsidR="00000000" w:rsidRDefault="00216019">
            <w:pPr>
              <w:rPr>
                <w:b/>
                <w:bCs/>
                <w:sz w:val="20"/>
              </w:rPr>
            </w:pPr>
            <w:r>
              <w:rPr>
                <w:b/>
                <w:bCs/>
                <w:sz w:val="20"/>
              </w:rPr>
              <w:t>Federal Fiscal</w:t>
            </w:r>
          </w:p>
          <w:p w:rsidR="00000000" w:rsidRDefault="00216019">
            <w:pPr>
              <w:rPr>
                <w:b/>
                <w:bCs/>
                <w:sz w:val="20"/>
              </w:rPr>
            </w:pPr>
            <w:r>
              <w:rPr>
                <w:b/>
                <w:bCs/>
                <w:sz w:val="20"/>
              </w:rPr>
              <w:t>Year 2003</w:t>
            </w:r>
          </w:p>
        </w:tc>
        <w:tc>
          <w:tcPr>
            <w:tcW w:w="1019" w:type="dxa"/>
          </w:tcPr>
          <w:p w:rsidR="00000000" w:rsidRDefault="00216019">
            <w:pPr>
              <w:jc w:val="center"/>
            </w:pPr>
          </w:p>
          <w:p w:rsidR="00000000" w:rsidRDefault="00216019">
            <w:pPr>
              <w:jc w:val="center"/>
            </w:pPr>
            <w:r>
              <w:t>956</w:t>
            </w:r>
          </w:p>
        </w:tc>
        <w:tc>
          <w:tcPr>
            <w:tcW w:w="1827" w:type="dxa"/>
          </w:tcPr>
          <w:p w:rsidR="00000000" w:rsidRDefault="00216019">
            <w:pPr>
              <w:jc w:val="center"/>
            </w:pPr>
          </w:p>
          <w:p w:rsidR="00000000" w:rsidRDefault="00216019">
            <w:pPr>
              <w:jc w:val="center"/>
            </w:pPr>
            <w:r>
              <w:t>10,617</w:t>
            </w:r>
          </w:p>
        </w:tc>
        <w:tc>
          <w:tcPr>
            <w:tcW w:w="1827" w:type="dxa"/>
          </w:tcPr>
          <w:p w:rsidR="00000000" w:rsidRDefault="00216019">
            <w:pPr>
              <w:jc w:val="center"/>
            </w:pPr>
          </w:p>
          <w:p w:rsidR="00000000" w:rsidRDefault="00216019">
            <w:pPr>
              <w:jc w:val="center"/>
            </w:pPr>
            <w:r>
              <w:t>11,486</w:t>
            </w:r>
          </w:p>
        </w:tc>
        <w:tc>
          <w:tcPr>
            <w:tcW w:w="1284" w:type="dxa"/>
          </w:tcPr>
          <w:p w:rsidR="00000000" w:rsidRDefault="00216019">
            <w:pPr>
              <w:jc w:val="center"/>
            </w:pPr>
          </w:p>
          <w:p w:rsidR="00000000" w:rsidRDefault="00216019">
            <w:pPr>
              <w:jc w:val="center"/>
            </w:pPr>
            <w:r>
              <w:t>0</w:t>
            </w:r>
          </w:p>
        </w:tc>
        <w:tc>
          <w:tcPr>
            <w:tcW w:w="1351" w:type="dxa"/>
          </w:tcPr>
          <w:p w:rsidR="00000000" w:rsidRDefault="00216019">
            <w:pPr>
              <w:jc w:val="center"/>
            </w:pPr>
          </w:p>
          <w:p w:rsidR="00000000" w:rsidRDefault="00216019">
            <w:pPr>
              <w:jc w:val="center"/>
            </w:pPr>
            <w:r>
              <w:t>23,059</w:t>
            </w:r>
          </w:p>
        </w:tc>
      </w:tr>
    </w:tbl>
    <w:p w:rsidR="00000000" w:rsidRDefault="00216019"/>
    <w:p w:rsidR="00000000" w:rsidRDefault="00216019"/>
    <w:p w:rsidR="00000000" w:rsidRDefault="00216019">
      <w:r>
        <w:t>Respectfully submitted,</w:t>
      </w:r>
    </w:p>
    <w:p w:rsidR="00000000" w:rsidRDefault="00216019"/>
    <w:p w:rsidR="00000000" w:rsidRDefault="00216019">
      <w:r>
        <w:rPr>
          <w:b/>
          <w:i/>
        </w:rPr>
        <w:t>hawk-i</w:t>
      </w:r>
      <w:r>
        <w:t xml:space="preserve"> Board</w:t>
      </w:r>
    </w:p>
    <w:p w:rsidR="00000000" w:rsidRDefault="00216019"/>
    <w:p w:rsidR="00000000" w:rsidRDefault="00216019">
      <w:r>
        <w:rPr>
          <w:u w:val="single"/>
        </w:rPr>
        <w:t>Members</w:t>
      </w:r>
      <w:r>
        <w:t>:</w:t>
      </w:r>
    </w:p>
    <w:p w:rsidR="00000000" w:rsidRDefault="00216019">
      <w:r>
        <w:t>Eldon  Huston, Chair</w:t>
      </w:r>
    </w:p>
    <w:p w:rsidR="00000000" w:rsidRDefault="00216019">
      <w:r>
        <w:t>Terri Vaughan, Vice-Chair</w:t>
      </w:r>
    </w:p>
    <w:p w:rsidR="00000000" w:rsidRDefault="00216019">
      <w:r>
        <w:t>Susan Salter</w:t>
      </w:r>
    </w:p>
    <w:p w:rsidR="00000000" w:rsidRDefault="00216019">
      <w:r>
        <w:t>Wanda Wyatt-Hardwick</w:t>
      </w:r>
    </w:p>
    <w:p w:rsidR="00000000" w:rsidRDefault="00216019">
      <w:r>
        <w:t>Jim Yeast</w:t>
      </w:r>
    </w:p>
    <w:p w:rsidR="00000000" w:rsidRDefault="00216019">
      <w:r>
        <w:t>M</w:t>
      </w:r>
      <w:r>
        <w:t>ary Mincer Hansen</w:t>
      </w:r>
    </w:p>
    <w:p w:rsidR="00000000" w:rsidRDefault="00216019">
      <w:r>
        <w:t>Ted Stilwill</w:t>
      </w:r>
    </w:p>
    <w:p w:rsidR="00000000" w:rsidRDefault="00216019">
      <w:r>
        <w:t>Senator Amanda Ragan</w:t>
      </w:r>
    </w:p>
    <w:p w:rsidR="00000000" w:rsidRDefault="00216019">
      <w:r>
        <w:t>Senator Kenneth Veenstra</w:t>
      </w:r>
    </w:p>
    <w:p w:rsidR="00000000" w:rsidRDefault="00216019">
      <w:r>
        <w:t>Representative Gerald Jones</w:t>
      </w:r>
    </w:p>
    <w:p w:rsidR="00000000" w:rsidRDefault="00216019">
      <w:r>
        <w:t>Representative Jane Greimann</w:t>
      </w:r>
    </w:p>
    <w:p w:rsidR="00000000" w:rsidRDefault="00216019"/>
    <w:p w:rsidR="00000000" w:rsidRDefault="00216019">
      <w:pPr>
        <w:sectPr w:rsidR="00000000">
          <w:footerReference w:type="even" r:id="rId8"/>
          <w:footerReference w:type="default" r:id="rId9"/>
          <w:pgSz w:w="12240" w:h="15840"/>
          <w:pgMar w:top="1440" w:right="1440" w:bottom="1440" w:left="1440" w:header="720" w:footer="720" w:gutter="0"/>
          <w:pgNumType w:fmt="lowerRoman" w:start="1"/>
          <w:cols w:space="720"/>
        </w:sectPr>
      </w:pPr>
    </w:p>
    <w:p w:rsidR="00000000" w:rsidRDefault="00216019"/>
    <w:p w:rsidR="00000000" w:rsidRDefault="00216019">
      <w:pPr>
        <w:jc w:val="center"/>
        <w:rPr>
          <w:b/>
          <w:sz w:val="28"/>
        </w:rPr>
      </w:pPr>
      <w:r>
        <w:rPr>
          <w:b/>
          <w:sz w:val="28"/>
        </w:rPr>
        <w:t xml:space="preserve">ANNUAL REPORT OF THE </w:t>
      </w:r>
      <w:r>
        <w:rPr>
          <w:b/>
          <w:i/>
          <w:sz w:val="28"/>
        </w:rPr>
        <w:t>hawk-i</w:t>
      </w:r>
      <w:r>
        <w:rPr>
          <w:b/>
          <w:sz w:val="28"/>
        </w:rPr>
        <w:t xml:space="preserve"> BOARD</w:t>
      </w:r>
    </w:p>
    <w:p w:rsidR="00000000" w:rsidRDefault="00216019">
      <w:pPr>
        <w:jc w:val="center"/>
        <w:rPr>
          <w:b/>
          <w:sz w:val="28"/>
        </w:rPr>
      </w:pPr>
      <w:r>
        <w:rPr>
          <w:b/>
          <w:sz w:val="28"/>
        </w:rPr>
        <w:t>Calendar Year 2003</w:t>
      </w:r>
    </w:p>
    <w:p w:rsidR="00000000" w:rsidRDefault="00216019">
      <w:pPr>
        <w:rPr>
          <w:b/>
          <w:sz w:val="28"/>
        </w:rPr>
      </w:pPr>
      <w:r>
        <w:rPr>
          <w:b/>
          <w:sz w:val="28"/>
        </w:rPr>
        <w:t>Charge</w:t>
      </w:r>
    </w:p>
    <w:p w:rsidR="00000000" w:rsidRDefault="00216019">
      <w:pPr>
        <w:rPr>
          <w:b/>
          <w:u w:val="single"/>
        </w:rPr>
      </w:pPr>
    </w:p>
    <w:p w:rsidR="00000000" w:rsidRDefault="00216019">
      <w:r>
        <w:t xml:space="preserve">Iowa Code Section 514I.5(g) directs the </w:t>
      </w:r>
      <w:r>
        <w:rPr>
          <w:b/>
          <w:i/>
        </w:rPr>
        <w:t>hawk-i</w:t>
      </w:r>
      <w:r>
        <w:t xml:space="preserve"> Board to su</w:t>
      </w:r>
      <w:r>
        <w:t>bmit an annual report to the Governor, General Assembly, and Council on Human Services concerning the Board’s activities, findings, and recommendations.</w:t>
      </w:r>
    </w:p>
    <w:p w:rsidR="00000000" w:rsidRDefault="00216019"/>
    <w:p w:rsidR="00000000" w:rsidRDefault="00216019">
      <w:pPr>
        <w:ind w:left="-432"/>
        <w:rPr>
          <w:b/>
          <w:sz w:val="28"/>
          <w:u w:val="single"/>
        </w:rPr>
      </w:pPr>
      <w:r>
        <w:rPr>
          <w:rFonts w:ascii="Times New Roman" w:hAnsi="Times New Roman"/>
          <w:b/>
          <w:sz w:val="28"/>
        </w:rPr>
        <w:t>I</w:t>
      </w:r>
      <w:r>
        <w:rPr>
          <w:b/>
          <w:sz w:val="28"/>
        </w:rPr>
        <w:t xml:space="preserve">.  </w:t>
      </w:r>
      <w:r>
        <w:rPr>
          <w:b/>
          <w:sz w:val="28"/>
          <w:u w:val="single"/>
        </w:rPr>
        <w:t>Clinical Advisory Committee:</w:t>
      </w:r>
    </w:p>
    <w:p w:rsidR="00000000" w:rsidRDefault="00216019"/>
    <w:p w:rsidR="00000000" w:rsidRDefault="00216019">
      <w:r>
        <w:t xml:space="preserve">The Clinical Advisory Committee, created by the Legislature as part </w:t>
      </w:r>
      <w:r>
        <w:t xml:space="preserve">of H.F. 2517, to advise the Board on coverage issues, again recommended changes to the current benefits of the </w:t>
      </w:r>
      <w:r>
        <w:rPr>
          <w:b/>
          <w:bCs/>
          <w:i/>
          <w:iCs/>
        </w:rPr>
        <w:t xml:space="preserve">hawk-i </w:t>
      </w:r>
      <w:r>
        <w:t>Program.</w:t>
      </w:r>
    </w:p>
    <w:p w:rsidR="00000000" w:rsidRDefault="00216019"/>
    <w:p w:rsidR="00000000" w:rsidRDefault="00216019">
      <w:pPr>
        <w:rPr>
          <w:b/>
          <w:bCs/>
        </w:rPr>
      </w:pPr>
      <w:r>
        <w:t xml:space="preserve">A.  </w:t>
      </w:r>
      <w:r>
        <w:rPr>
          <w:b/>
          <w:bCs/>
        </w:rPr>
        <w:t>Benefit Recommendations:</w:t>
      </w:r>
    </w:p>
    <w:p w:rsidR="00000000" w:rsidRDefault="00216019">
      <w:pPr>
        <w:ind w:left="360"/>
      </w:pPr>
    </w:p>
    <w:p w:rsidR="00000000" w:rsidRDefault="00216019">
      <w:pPr>
        <w:ind w:left="360"/>
      </w:pPr>
      <w:r>
        <w:t>The Committee’s legislative recommendations covered five areas:</w:t>
      </w:r>
    </w:p>
    <w:p w:rsidR="00000000" w:rsidRDefault="00216019"/>
    <w:p w:rsidR="00000000" w:rsidRDefault="00216019" w:rsidP="00216019">
      <w:pPr>
        <w:numPr>
          <w:ilvl w:val="0"/>
          <w:numId w:val="36"/>
        </w:numPr>
      </w:pPr>
      <w:r>
        <w:t>Care coordination added as a bene</w:t>
      </w:r>
      <w:r>
        <w:t>fit.</w:t>
      </w:r>
    </w:p>
    <w:p w:rsidR="00000000" w:rsidRDefault="00216019" w:rsidP="00216019">
      <w:pPr>
        <w:numPr>
          <w:ilvl w:val="0"/>
          <w:numId w:val="36"/>
        </w:numPr>
      </w:pPr>
      <w:r>
        <w:t>Dental benefits yearly maximum increased to $1,500 across the health plans.</w:t>
      </w:r>
    </w:p>
    <w:p w:rsidR="00000000" w:rsidRDefault="00216019" w:rsidP="00216019">
      <w:pPr>
        <w:numPr>
          <w:ilvl w:val="0"/>
          <w:numId w:val="36"/>
        </w:numPr>
      </w:pPr>
      <w:r>
        <w:t>Mental health and substance abuse benefits comparable across health plans.</w:t>
      </w:r>
    </w:p>
    <w:p w:rsidR="00000000" w:rsidRDefault="00216019" w:rsidP="00216019">
      <w:pPr>
        <w:numPr>
          <w:ilvl w:val="0"/>
          <w:numId w:val="36"/>
        </w:numPr>
      </w:pPr>
      <w:r>
        <w:t xml:space="preserve">Medically necessary nutrition services should be covered when provided by a licensed dietician with </w:t>
      </w:r>
      <w:r>
        <w:t>a physician’s referral.  Also, provide for nutrition services beyond basic nutrition when it is medically necessary.</w:t>
      </w:r>
    </w:p>
    <w:p w:rsidR="00000000" w:rsidRDefault="00216019" w:rsidP="00216019">
      <w:pPr>
        <w:numPr>
          <w:ilvl w:val="0"/>
          <w:numId w:val="36"/>
        </w:numPr>
      </w:pPr>
      <w:r>
        <w:t>Physical and occupational therapy services comparable across health plans.</w:t>
      </w:r>
    </w:p>
    <w:p w:rsidR="00000000" w:rsidRDefault="00216019"/>
    <w:p w:rsidR="00000000" w:rsidRDefault="00216019">
      <w:pPr>
        <w:ind w:left="360"/>
      </w:pPr>
      <w:r>
        <w:t>The Clinical Advisory Committee recommendations were the same t</w:t>
      </w:r>
      <w:r>
        <w:t xml:space="preserve">hat were submitted last year and are attached as </w:t>
      </w:r>
      <w:r>
        <w:rPr>
          <w:i/>
        </w:rPr>
        <w:t>Attachment 1</w:t>
      </w:r>
      <w:r>
        <w:t>.</w:t>
      </w:r>
    </w:p>
    <w:p w:rsidR="00000000" w:rsidRDefault="00216019"/>
    <w:p w:rsidR="00000000" w:rsidRDefault="00216019">
      <w:pPr>
        <w:ind w:firstLine="720"/>
        <w:rPr>
          <w:i/>
        </w:rPr>
      </w:pPr>
      <w:r>
        <w:rPr>
          <w:i/>
        </w:rPr>
        <w:t>Attachment 1:  Clinical Advisory Committee Benefit Recommendations</w:t>
      </w:r>
    </w:p>
    <w:p w:rsidR="00000000" w:rsidRDefault="00216019"/>
    <w:p w:rsidR="00000000" w:rsidRDefault="00216019">
      <w:pPr>
        <w:ind w:left="360"/>
      </w:pPr>
      <w:r>
        <w:t xml:space="preserve">These recommendations were supported by the </w:t>
      </w:r>
      <w:r>
        <w:rPr>
          <w:b/>
          <w:i/>
        </w:rPr>
        <w:t>hawk-i</w:t>
      </w:r>
      <w:r>
        <w:t xml:space="preserve"> Board and the Board requested that the legislative members of the Board c</w:t>
      </w:r>
      <w:r>
        <w:t>onsider sponsorship of a Bill containing the Clinical Advisory Committee's recommendations.  A benefit enhancement bill was introduced but no action was taken by the Legislature.</w:t>
      </w:r>
    </w:p>
    <w:p w:rsidR="00000000" w:rsidRDefault="00216019"/>
    <w:p w:rsidR="00000000" w:rsidRDefault="00216019">
      <w:r>
        <w:t xml:space="preserve">B.  </w:t>
      </w:r>
      <w:r>
        <w:rPr>
          <w:b/>
          <w:bCs/>
        </w:rPr>
        <w:t>Outcome Measurements:</w:t>
      </w:r>
    </w:p>
    <w:p w:rsidR="00000000" w:rsidRDefault="00216019">
      <w:pPr>
        <w:ind w:left="360"/>
      </w:pPr>
    </w:p>
    <w:p w:rsidR="00000000" w:rsidRDefault="00216019">
      <w:pPr>
        <w:ind w:left="360"/>
      </w:pPr>
      <w:r>
        <w:t>Federal regulations require states to identify ou</w:t>
      </w:r>
      <w:r>
        <w:t xml:space="preserve">tcome measurements in their state plan.  The Clinical Advisory Committee, in collaboration with researchers from the University of Iowa Public Policy Center, identified four service areas that were of greatest interest.  The measures were adopted from the </w:t>
      </w:r>
      <w:r>
        <w:t xml:space="preserve">Health Plan Employer Data and Information  Set (HEDIS).  HEDIS are a set of measures developed by the National Committee for Quality Assurance (NCQA) for evaluating the outcomes of </w:t>
      </w:r>
      <w:r>
        <w:lastRenderedPageBreak/>
        <w:t>health plans.  The Clinical Advisory Committee selected the following outco</w:t>
      </w:r>
      <w:r>
        <w:t>mes measurements:</w:t>
      </w:r>
    </w:p>
    <w:p w:rsidR="00000000" w:rsidRDefault="00216019">
      <w:pPr>
        <w:ind w:left="360"/>
      </w:pPr>
    </w:p>
    <w:p w:rsidR="00000000" w:rsidRDefault="00216019" w:rsidP="00216019">
      <w:pPr>
        <w:numPr>
          <w:ilvl w:val="0"/>
          <w:numId w:val="37"/>
        </w:numPr>
      </w:pPr>
      <w:r>
        <w:t xml:space="preserve">Rate of well child visits for children 3-6 years and adolescent visits 12 – 19 years of age enrolled for at least 11 months by plan.  </w:t>
      </w:r>
      <w:r>
        <w:rPr>
          <w:b/>
          <w:i/>
        </w:rPr>
        <w:t>hawk</w:t>
      </w:r>
      <w:r>
        <w:rPr>
          <w:b/>
          <w:i/>
        </w:rPr>
        <w:noBreakHyphen/>
        <w:t>i</w:t>
      </w:r>
      <w:r>
        <w:t xml:space="preserve"> outcomes are compared to American Public Health Services Association (APHSA) rates;</w:t>
      </w:r>
    </w:p>
    <w:p w:rsidR="00000000" w:rsidRDefault="00216019" w:rsidP="00216019">
      <w:pPr>
        <w:numPr>
          <w:ilvl w:val="0"/>
          <w:numId w:val="37"/>
        </w:numPr>
      </w:pPr>
      <w:r>
        <w:t>Percent of c</w:t>
      </w:r>
      <w:r>
        <w:t>hildren with a preventive dental visit by age and plan;</w:t>
      </w:r>
    </w:p>
    <w:p w:rsidR="00000000" w:rsidRDefault="00216019" w:rsidP="00216019">
      <w:pPr>
        <w:numPr>
          <w:ilvl w:val="0"/>
          <w:numId w:val="37"/>
        </w:numPr>
      </w:pPr>
      <w:r>
        <w:t>Rates of MMR immunizations of children born in 1999 and enrolled between the first and second birthday by months of enrollment by plan;</w:t>
      </w:r>
    </w:p>
    <w:p w:rsidR="00000000" w:rsidRDefault="00216019" w:rsidP="00216019">
      <w:pPr>
        <w:numPr>
          <w:ilvl w:val="0"/>
          <w:numId w:val="37"/>
        </w:numPr>
      </w:pPr>
      <w:r>
        <w:t>The number and percent of children with an outpatient mental hea</w:t>
      </w:r>
      <w:r>
        <w:t>lth visit by age and gender and the number and percent of children diagnosed with the three most common mental health diagnoses by gender and age;</w:t>
      </w:r>
    </w:p>
    <w:p w:rsidR="00000000" w:rsidRDefault="00216019" w:rsidP="00216019">
      <w:pPr>
        <w:numPr>
          <w:ilvl w:val="0"/>
          <w:numId w:val="37"/>
        </w:numPr>
      </w:pPr>
      <w:r>
        <w:t>Special study:  Children with Attention Deficit Hyperactivity Disorder (ADHD).  The study had five primary ai</w:t>
      </w:r>
      <w:r>
        <w:t>ms:</w:t>
      </w:r>
    </w:p>
    <w:p w:rsidR="00000000" w:rsidRDefault="00216019">
      <w:pPr>
        <w:ind w:left="1080"/>
      </w:pPr>
    </w:p>
    <w:p w:rsidR="00000000" w:rsidRDefault="00216019" w:rsidP="00216019">
      <w:pPr>
        <w:numPr>
          <w:ilvl w:val="1"/>
          <w:numId w:val="35"/>
        </w:numPr>
      </w:pPr>
      <w:r>
        <w:t xml:space="preserve">To determine the prevalence of ADHD diagnosis in the </w:t>
      </w:r>
      <w:r>
        <w:rPr>
          <w:b/>
          <w:i/>
        </w:rPr>
        <w:t>hawk</w:t>
      </w:r>
      <w:r>
        <w:rPr>
          <w:b/>
          <w:i/>
        </w:rPr>
        <w:noBreakHyphen/>
        <w:t>i</w:t>
      </w:r>
      <w:r>
        <w:t xml:space="preserve"> population by age and gender of the child;</w:t>
      </w:r>
    </w:p>
    <w:p w:rsidR="00000000" w:rsidRDefault="00216019" w:rsidP="00216019">
      <w:pPr>
        <w:numPr>
          <w:ilvl w:val="1"/>
          <w:numId w:val="35"/>
        </w:numPr>
      </w:pPr>
      <w:r>
        <w:t>To establish baseline demographic information regarding children with a diagnosis of ADHD;</w:t>
      </w:r>
    </w:p>
    <w:p w:rsidR="00000000" w:rsidRDefault="00216019" w:rsidP="00216019">
      <w:pPr>
        <w:numPr>
          <w:ilvl w:val="1"/>
          <w:numId w:val="35"/>
        </w:numPr>
      </w:pPr>
      <w:r>
        <w:t>To evaluate the utilization of behavioral and emotional h</w:t>
      </w:r>
      <w:r>
        <w:t>ealth care services by children with ADHD;</w:t>
      </w:r>
    </w:p>
    <w:p w:rsidR="00000000" w:rsidRDefault="00216019" w:rsidP="00216019">
      <w:pPr>
        <w:numPr>
          <w:ilvl w:val="1"/>
          <w:numId w:val="35"/>
        </w:numPr>
      </w:pPr>
      <w:r>
        <w:t>To compare the information regarding ADHD gleaned from the encounter data and the surveys</w:t>
      </w:r>
    </w:p>
    <w:p w:rsidR="00000000" w:rsidRDefault="00216019" w:rsidP="00216019">
      <w:pPr>
        <w:numPr>
          <w:ilvl w:val="1"/>
          <w:numId w:val="35"/>
        </w:numPr>
      </w:pPr>
      <w:r>
        <w:t>To present additional behavioral and emotional results from the survey</w:t>
      </w:r>
    </w:p>
    <w:p w:rsidR="00000000" w:rsidRDefault="00216019">
      <w:pPr>
        <w:ind w:left="720"/>
      </w:pPr>
    </w:p>
    <w:p w:rsidR="00000000" w:rsidRDefault="00216019">
      <w:pPr>
        <w:ind w:left="360"/>
      </w:pPr>
      <w:r>
        <w:t>On December 15, 2003, the first outcome reports wer</w:t>
      </w:r>
      <w:r>
        <w:t xml:space="preserve">e presented to the </w:t>
      </w:r>
      <w:r>
        <w:rPr>
          <w:b/>
          <w:i/>
        </w:rPr>
        <w:t>hawk-i</w:t>
      </w:r>
      <w:r>
        <w:rPr>
          <w:b/>
          <w:bCs/>
          <w:i/>
          <w:iCs/>
        </w:rPr>
        <w:t xml:space="preserve"> </w:t>
      </w:r>
      <w:r>
        <w:t>Program Board. Copies of the reports are attached.</w:t>
      </w:r>
    </w:p>
    <w:p w:rsidR="00000000" w:rsidRDefault="00216019"/>
    <w:p w:rsidR="00000000" w:rsidRDefault="00216019">
      <w:pPr>
        <w:ind w:left="720"/>
        <w:rPr>
          <w:b/>
          <w:sz w:val="28"/>
        </w:rPr>
      </w:pPr>
      <w:r>
        <w:rPr>
          <w:i/>
          <w:iCs/>
        </w:rPr>
        <w:t xml:space="preserve">Attachment 2:“Outcomes of Care for Children Enrolled in </w:t>
      </w:r>
      <w:r>
        <w:rPr>
          <w:b/>
          <w:bCs/>
          <w:i/>
          <w:iCs/>
        </w:rPr>
        <w:t xml:space="preserve">hawk-i” </w:t>
      </w:r>
      <w:r>
        <w:t xml:space="preserve">and </w:t>
      </w:r>
      <w:r>
        <w:rPr>
          <w:i/>
          <w:iCs/>
        </w:rPr>
        <w:t xml:space="preserve">“Attention Deficit Hyperactivity Disorder and Children in </w:t>
      </w:r>
      <w:r>
        <w:rPr>
          <w:b/>
          <w:bCs/>
          <w:i/>
          <w:iCs/>
        </w:rPr>
        <w:t xml:space="preserve">hawk-i </w:t>
      </w:r>
      <w:r>
        <w:rPr>
          <w:i/>
          <w:iCs/>
        </w:rPr>
        <w:t>”</w:t>
      </w:r>
    </w:p>
    <w:p w:rsidR="00000000" w:rsidRDefault="00216019">
      <w:pPr>
        <w:ind w:left="-288"/>
        <w:rPr>
          <w:b/>
          <w:sz w:val="28"/>
          <w:u w:val="single"/>
        </w:rPr>
      </w:pPr>
    </w:p>
    <w:p w:rsidR="00000000" w:rsidRDefault="00216019">
      <w:pPr>
        <w:ind w:left="-288" w:hanging="72"/>
        <w:rPr>
          <w:b/>
          <w:sz w:val="28"/>
          <w:u w:val="single"/>
        </w:rPr>
      </w:pPr>
      <w:r>
        <w:rPr>
          <w:b/>
          <w:sz w:val="28"/>
        </w:rPr>
        <w:t xml:space="preserve">II.  </w:t>
      </w:r>
      <w:r>
        <w:rPr>
          <w:b/>
          <w:sz w:val="28"/>
          <w:u w:val="single"/>
        </w:rPr>
        <w:t>Recommendations to The Legislature</w:t>
      </w:r>
      <w:r>
        <w:rPr>
          <w:b/>
          <w:sz w:val="28"/>
        </w:rPr>
        <w:t>:</w:t>
      </w:r>
    </w:p>
    <w:p w:rsidR="00000000" w:rsidRDefault="00216019"/>
    <w:p w:rsidR="00000000" w:rsidRDefault="00216019" w:rsidP="00216019">
      <w:pPr>
        <w:numPr>
          <w:ilvl w:val="0"/>
          <w:numId w:val="40"/>
        </w:numPr>
        <w:tabs>
          <w:tab w:val="clear" w:pos="720"/>
          <w:tab w:val="num" w:pos="360"/>
        </w:tabs>
        <w:ind w:left="360"/>
        <w:rPr>
          <w:rFonts w:cs="Arial"/>
        </w:rPr>
      </w:pPr>
      <w:r>
        <w:rPr>
          <w:rFonts w:cs="Arial"/>
        </w:rPr>
        <w:t xml:space="preserve">In calendar year 2003 the </w:t>
      </w:r>
      <w:r>
        <w:rPr>
          <w:rFonts w:cs="Arial"/>
          <w:b/>
          <w:i/>
        </w:rPr>
        <w:t>hawk</w:t>
      </w:r>
      <w:r>
        <w:rPr>
          <w:rFonts w:cs="Arial"/>
          <w:b/>
          <w:i/>
        </w:rPr>
        <w:noBreakHyphen/>
        <w:t>i</w:t>
      </w:r>
      <w:r>
        <w:rPr>
          <w:rFonts w:cs="Arial"/>
        </w:rPr>
        <w:t xml:space="preserve"> Board supported a proposal, made by DHS, to amend portions of the Code to incorporate the clarifications and policies developed by the </w:t>
      </w:r>
      <w:r>
        <w:rPr>
          <w:rFonts w:cs="Arial"/>
          <w:b/>
          <w:i/>
        </w:rPr>
        <w:t>hawk-i</w:t>
      </w:r>
      <w:r>
        <w:rPr>
          <w:rFonts w:cs="Arial"/>
        </w:rPr>
        <w:t xml:space="preserve"> Board during the implementation and start-up of the program to the Code.  These c</w:t>
      </w:r>
      <w:r>
        <w:rPr>
          <w:rFonts w:cs="Arial"/>
        </w:rPr>
        <w:t>hanges were primarily technical in nature.</w:t>
      </w:r>
    </w:p>
    <w:p w:rsidR="00000000" w:rsidRDefault="00216019">
      <w:pPr>
        <w:rPr>
          <w:rFonts w:cs="Arial"/>
        </w:rPr>
      </w:pPr>
    </w:p>
    <w:p w:rsidR="00000000" w:rsidRDefault="00216019">
      <w:pPr>
        <w:pStyle w:val="BodyTextIndent3"/>
        <w:ind w:left="360"/>
        <w:rPr>
          <w:rFonts w:ascii="Arial" w:hAnsi="Arial" w:cs="Arial"/>
        </w:rPr>
      </w:pPr>
      <w:r>
        <w:rPr>
          <w:rFonts w:ascii="Arial" w:hAnsi="Arial" w:cs="Arial"/>
        </w:rPr>
        <w:t>Board members, Representatives Greimann and Hansen, introduced House File 49 to make the technical amendments to Iowa Code Section 514I and eliminate the policy that required a six month waiting period for famili</w:t>
      </w:r>
      <w:r>
        <w:rPr>
          <w:rFonts w:ascii="Arial" w:hAnsi="Arial" w:cs="Arial"/>
        </w:rPr>
        <w:t>es who drop employer-sponsored coverage.  The bill passed with two attached amendments:</w:t>
      </w:r>
    </w:p>
    <w:p w:rsidR="00000000" w:rsidRDefault="00216019">
      <w:pPr>
        <w:pStyle w:val="BodyTextIndent3"/>
        <w:ind w:left="360"/>
        <w:rPr>
          <w:rFonts w:ascii="Arial" w:hAnsi="Arial" w:cs="Arial"/>
        </w:rPr>
      </w:pPr>
    </w:p>
    <w:p w:rsidR="00000000" w:rsidRDefault="00216019" w:rsidP="00216019">
      <w:pPr>
        <w:numPr>
          <w:ilvl w:val="1"/>
          <w:numId w:val="40"/>
        </w:numPr>
        <w:tabs>
          <w:tab w:val="clear" w:pos="1440"/>
          <w:tab w:val="num" w:pos="1080"/>
        </w:tabs>
        <w:ind w:left="1080"/>
        <w:rPr>
          <w:rFonts w:cs="Arial"/>
        </w:rPr>
      </w:pPr>
      <w:r>
        <w:rPr>
          <w:rFonts w:cs="Arial"/>
        </w:rPr>
        <w:t>Reduce the required number of Board meetings from 10 to 6 per year,</w:t>
      </w:r>
    </w:p>
    <w:p w:rsidR="00000000" w:rsidRDefault="00216019" w:rsidP="00216019">
      <w:pPr>
        <w:numPr>
          <w:ilvl w:val="1"/>
          <w:numId w:val="40"/>
        </w:numPr>
        <w:tabs>
          <w:tab w:val="clear" w:pos="1440"/>
          <w:tab w:val="num" w:pos="1080"/>
        </w:tabs>
        <w:ind w:left="1080"/>
        <w:rPr>
          <w:rFonts w:cs="Arial"/>
        </w:rPr>
      </w:pPr>
      <w:r>
        <w:rPr>
          <w:rFonts w:cs="Arial"/>
        </w:rPr>
        <w:lastRenderedPageBreak/>
        <w:t xml:space="preserve">Provides that the Director of DHS, with the permission of the </w:t>
      </w:r>
      <w:r>
        <w:rPr>
          <w:rFonts w:cs="Arial"/>
          <w:b/>
          <w:i/>
        </w:rPr>
        <w:t>hawk</w:t>
      </w:r>
      <w:r>
        <w:rPr>
          <w:rFonts w:cs="Arial"/>
          <w:b/>
          <w:i/>
        </w:rPr>
        <w:noBreakHyphen/>
        <w:t>i</w:t>
      </w:r>
      <w:r>
        <w:rPr>
          <w:rFonts w:cs="Arial"/>
        </w:rPr>
        <w:t xml:space="preserve"> Board, may contract with parti</w:t>
      </w:r>
      <w:r>
        <w:rPr>
          <w:rFonts w:cs="Arial"/>
        </w:rPr>
        <w:t xml:space="preserve">cipating insurers or enter into a separate contract with a sole source contractor to provide dental only services.  </w:t>
      </w:r>
    </w:p>
    <w:p w:rsidR="00000000" w:rsidRDefault="00216019">
      <w:pPr>
        <w:ind w:firstLine="720"/>
        <w:rPr>
          <w:rFonts w:cs="Arial"/>
        </w:rPr>
      </w:pPr>
    </w:p>
    <w:p w:rsidR="00000000" w:rsidRDefault="00216019">
      <w:pPr>
        <w:ind w:left="360"/>
        <w:rPr>
          <w:rFonts w:cs="Arial"/>
        </w:rPr>
      </w:pPr>
      <w:r>
        <w:rPr>
          <w:rFonts w:cs="Arial"/>
        </w:rPr>
        <w:t xml:space="preserve">The Governor signed the bill on May 12, 2003.  </w:t>
      </w:r>
    </w:p>
    <w:p w:rsidR="00000000" w:rsidRDefault="00216019">
      <w:pPr>
        <w:rPr>
          <w:rFonts w:cs="Arial"/>
        </w:rPr>
      </w:pPr>
    </w:p>
    <w:p w:rsidR="00000000" w:rsidRDefault="00216019" w:rsidP="00216019">
      <w:pPr>
        <w:numPr>
          <w:ilvl w:val="0"/>
          <w:numId w:val="40"/>
        </w:numPr>
        <w:tabs>
          <w:tab w:val="clear" w:pos="720"/>
          <w:tab w:val="num" w:pos="360"/>
        </w:tabs>
        <w:ind w:left="360"/>
      </w:pPr>
      <w:r>
        <w:rPr>
          <w:rFonts w:cs="Arial"/>
        </w:rPr>
        <w:t>Representatives Greimann, Petersen, Wise, et al introduced House File 136.  Senator Ragan</w:t>
      </w:r>
      <w:r>
        <w:rPr>
          <w:rFonts w:cs="Arial"/>
        </w:rPr>
        <w:t xml:space="preserve"> also introduced </w:t>
      </w:r>
      <w:r>
        <w:t xml:space="preserve">a companion bill to HF 49, Senate File 26.  The bill added the benefit enhancements to </w:t>
      </w:r>
      <w:r>
        <w:rPr>
          <w:b/>
          <w:bCs/>
          <w:i/>
          <w:iCs/>
        </w:rPr>
        <w:t>hawk-i’s</w:t>
      </w:r>
      <w:r>
        <w:t xml:space="preserve"> benefit package as recommended by the Clinical Advisory Committee.  No action was taken by the Legislature on this bill.</w:t>
      </w:r>
    </w:p>
    <w:p w:rsidR="00000000" w:rsidRDefault="00216019"/>
    <w:p w:rsidR="00000000" w:rsidRDefault="00216019">
      <w:pPr>
        <w:ind w:left="-576"/>
        <w:rPr>
          <w:sz w:val="28"/>
        </w:rPr>
      </w:pPr>
      <w:r>
        <w:rPr>
          <w:rFonts w:ascii="Times New Roman" w:hAnsi="Times New Roman"/>
          <w:b/>
          <w:sz w:val="28"/>
        </w:rPr>
        <w:t>III</w:t>
      </w:r>
      <w:r>
        <w:rPr>
          <w:b/>
          <w:sz w:val="28"/>
        </w:rPr>
        <w:t xml:space="preserve">.  </w:t>
      </w:r>
      <w:r>
        <w:rPr>
          <w:b/>
          <w:sz w:val="28"/>
          <w:u w:val="single"/>
        </w:rPr>
        <w:t>Budget</w:t>
      </w:r>
      <w:r>
        <w:rPr>
          <w:b/>
          <w:sz w:val="28"/>
        </w:rPr>
        <w:t>:</w:t>
      </w:r>
    </w:p>
    <w:p w:rsidR="00000000" w:rsidRDefault="00216019">
      <w:pPr>
        <w:rPr>
          <w:u w:val="single"/>
        </w:rPr>
      </w:pPr>
    </w:p>
    <w:p w:rsidR="00000000" w:rsidRDefault="00216019">
      <w:pPr>
        <w:rPr>
          <w:b/>
          <w:bCs/>
        </w:rPr>
      </w:pPr>
      <w:r>
        <w:t xml:space="preserve">A.  </w:t>
      </w:r>
      <w:r>
        <w:rPr>
          <w:b/>
          <w:bCs/>
        </w:rPr>
        <w:t>Fe</w:t>
      </w:r>
      <w:r>
        <w:rPr>
          <w:b/>
          <w:bCs/>
        </w:rPr>
        <w:t>deral Funding Issues:</w:t>
      </w:r>
    </w:p>
    <w:p w:rsidR="00000000" w:rsidRDefault="00216019">
      <w:pPr>
        <w:rPr>
          <w:rFonts w:cs="Arial"/>
          <w:u w:val="single"/>
        </w:rPr>
      </w:pPr>
    </w:p>
    <w:p w:rsidR="00000000" w:rsidRDefault="00216019">
      <w:pPr>
        <w:pStyle w:val="BodyText2"/>
        <w:ind w:left="360"/>
        <w:rPr>
          <w:rFonts w:ascii="Arial" w:hAnsi="Arial" w:cs="Arial"/>
        </w:rPr>
      </w:pPr>
      <w:r>
        <w:rPr>
          <w:rFonts w:ascii="Arial" w:hAnsi="Arial" w:cs="Arial"/>
        </w:rPr>
        <w:t>The State Children’s Health Insurance Program (SCHIP) is funded with both state and federal funds.  States are allocated federal funding based on the estimated number of uninsured children in the state who could qualify for the progr</w:t>
      </w:r>
      <w:r>
        <w:rPr>
          <w:rFonts w:ascii="Arial" w:hAnsi="Arial" w:cs="Arial"/>
        </w:rPr>
        <w:t>am.  In order to draw down $3.00 of federal funds, the state must spend approximately $1.00 in state funds.</w:t>
      </w:r>
    </w:p>
    <w:p w:rsidR="00000000" w:rsidRDefault="00216019">
      <w:pPr>
        <w:rPr>
          <w:rFonts w:cs="Arial"/>
        </w:rPr>
      </w:pPr>
    </w:p>
    <w:p w:rsidR="00000000" w:rsidRDefault="00216019">
      <w:pPr>
        <w:ind w:left="360"/>
      </w:pPr>
      <w:r>
        <w:t xml:space="preserve">Iowa’s allotment of federal funds for the SCHIP Program (includes both Medicaid expansion and </w:t>
      </w:r>
      <w:r>
        <w:rPr>
          <w:b/>
          <w:i/>
        </w:rPr>
        <w:t>hawk-i</w:t>
      </w:r>
      <w:r>
        <w:t>) was in excess of  $32 million each year for 1</w:t>
      </w:r>
      <w:r>
        <w:t xml:space="preserve">998 through 2001.  For the third straight year, the federal SCHIP allotment for Iowa has decreased.  The Federal fiscal year 2004 allotment is $19.7 million, a 39.3% reduction from when the state started the </w:t>
      </w:r>
      <w:r>
        <w:rPr>
          <w:b/>
          <w:i/>
        </w:rPr>
        <w:t xml:space="preserve">hawk-i </w:t>
      </w:r>
      <w:r>
        <w:t xml:space="preserve">Program.  </w:t>
      </w:r>
    </w:p>
    <w:p w:rsidR="00000000" w:rsidRDefault="0021601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2070"/>
        <w:gridCol w:w="2394"/>
        <w:gridCol w:w="2394"/>
      </w:tblGrid>
      <w:tr w:rsidR="00000000">
        <w:tblPrEx>
          <w:tblCellMar>
            <w:top w:w="0" w:type="dxa"/>
            <w:bottom w:w="0" w:type="dxa"/>
          </w:tblCellMar>
        </w:tblPrEx>
        <w:tc>
          <w:tcPr>
            <w:tcW w:w="2250" w:type="dxa"/>
          </w:tcPr>
          <w:p w:rsidR="00000000" w:rsidRDefault="00216019">
            <w:pPr>
              <w:jc w:val="center"/>
              <w:rPr>
                <w:b/>
                <w:bCs/>
              </w:rPr>
            </w:pPr>
            <w:r>
              <w:rPr>
                <w:b/>
                <w:bCs/>
              </w:rPr>
              <w:t>Federal Fiscal Year</w:t>
            </w:r>
          </w:p>
        </w:tc>
        <w:tc>
          <w:tcPr>
            <w:tcW w:w="2070" w:type="dxa"/>
          </w:tcPr>
          <w:p w:rsidR="00000000" w:rsidRDefault="00216019">
            <w:pPr>
              <w:jc w:val="center"/>
              <w:rPr>
                <w:b/>
                <w:bCs/>
              </w:rPr>
            </w:pPr>
            <w:r>
              <w:rPr>
                <w:b/>
                <w:bCs/>
              </w:rPr>
              <w:t>Allotment</w:t>
            </w:r>
          </w:p>
        </w:tc>
        <w:tc>
          <w:tcPr>
            <w:tcW w:w="2394" w:type="dxa"/>
          </w:tcPr>
          <w:p w:rsidR="00000000" w:rsidRDefault="00216019">
            <w:pPr>
              <w:jc w:val="center"/>
              <w:rPr>
                <w:b/>
                <w:bCs/>
              </w:rPr>
            </w:pPr>
            <w:r>
              <w:rPr>
                <w:b/>
                <w:bCs/>
              </w:rPr>
              <w:t>Dollar Variance from 1</w:t>
            </w:r>
            <w:r>
              <w:rPr>
                <w:b/>
                <w:bCs/>
                <w:vertAlign w:val="superscript"/>
              </w:rPr>
              <w:t>st</w:t>
            </w:r>
            <w:r>
              <w:rPr>
                <w:b/>
                <w:bCs/>
              </w:rPr>
              <w:t xml:space="preserve"> FFY Allotment</w:t>
            </w:r>
          </w:p>
        </w:tc>
        <w:tc>
          <w:tcPr>
            <w:tcW w:w="2394" w:type="dxa"/>
          </w:tcPr>
          <w:p w:rsidR="00000000" w:rsidRDefault="00216019">
            <w:pPr>
              <w:jc w:val="center"/>
              <w:rPr>
                <w:b/>
                <w:bCs/>
              </w:rPr>
            </w:pPr>
            <w:r>
              <w:rPr>
                <w:b/>
                <w:bCs/>
              </w:rPr>
              <w:t>Percent Variance from 1</w:t>
            </w:r>
            <w:r>
              <w:rPr>
                <w:b/>
                <w:bCs/>
                <w:vertAlign w:val="superscript"/>
              </w:rPr>
              <w:t>st</w:t>
            </w:r>
            <w:r>
              <w:rPr>
                <w:b/>
                <w:bCs/>
              </w:rPr>
              <w:t xml:space="preserve"> FFY Allotment</w:t>
            </w:r>
          </w:p>
        </w:tc>
      </w:tr>
      <w:tr w:rsidR="00000000">
        <w:tblPrEx>
          <w:tblCellMar>
            <w:top w:w="0" w:type="dxa"/>
            <w:bottom w:w="0" w:type="dxa"/>
          </w:tblCellMar>
        </w:tblPrEx>
        <w:tc>
          <w:tcPr>
            <w:tcW w:w="2250" w:type="dxa"/>
          </w:tcPr>
          <w:p w:rsidR="00000000" w:rsidRDefault="00216019">
            <w:pPr>
              <w:jc w:val="center"/>
            </w:pPr>
            <w:r>
              <w:t>1998</w:t>
            </w:r>
          </w:p>
        </w:tc>
        <w:tc>
          <w:tcPr>
            <w:tcW w:w="2070" w:type="dxa"/>
          </w:tcPr>
          <w:p w:rsidR="00000000" w:rsidRDefault="00216019">
            <w:pPr>
              <w:jc w:val="center"/>
            </w:pPr>
            <w:r>
              <w:t>$32,460,463</w:t>
            </w:r>
          </w:p>
        </w:tc>
        <w:tc>
          <w:tcPr>
            <w:tcW w:w="2394" w:type="dxa"/>
          </w:tcPr>
          <w:p w:rsidR="00000000" w:rsidRDefault="00216019">
            <w:pPr>
              <w:jc w:val="center"/>
            </w:pPr>
          </w:p>
        </w:tc>
        <w:tc>
          <w:tcPr>
            <w:tcW w:w="2394" w:type="dxa"/>
          </w:tcPr>
          <w:p w:rsidR="00000000" w:rsidRDefault="00216019">
            <w:pPr>
              <w:jc w:val="center"/>
            </w:pPr>
          </w:p>
        </w:tc>
      </w:tr>
      <w:tr w:rsidR="00000000">
        <w:tblPrEx>
          <w:tblCellMar>
            <w:top w:w="0" w:type="dxa"/>
            <w:bottom w:w="0" w:type="dxa"/>
          </w:tblCellMar>
        </w:tblPrEx>
        <w:tc>
          <w:tcPr>
            <w:tcW w:w="2250" w:type="dxa"/>
          </w:tcPr>
          <w:p w:rsidR="00000000" w:rsidRDefault="00216019">
            <w:pPr>
              <w:jc w:val="center"/>
            </w:pPr>
            <w:r>
              <w:t>1999</w:t>
            </w:r>
          </w:p>
        </w:tc>
        <w:tc>
          <w:tcPr>
            <w:tcW w:w="2070" w:type="dxa"/>
          </w:tcPr>
          <w:p w:rsidR="00000000" w:rsidRDefault="00216019">
            <w:pPr>
              <w:jc w:val="center"/>
            </w:pPr>
            <w:r>
              <w:t>$32,307,161</w:t>
            </w:r>
          </w:p>
        </w:tc>
        <w:tc>
          <w:tcPr>
            <w:tcW w:w="2394" w:type="dxa"/>
          </w:tcPr>
          <w:p w:rsidR="00000000" w:rsidRDefault="00216019">
            <w:pPr>
              <w:jc w:val="center"/>
            </w:pPr>
            <w:r>
              <w:t>&lt;$153,302&gt;</w:t>
            </w:r>
          </w:p>
        </w:tc>
        <w:tc>
          <w:tcPr>
            <w:tcW w:w="2394" w:type="dxa"/>
          </w:tcPr>
          <w:p w:rsidR="00000000" w:rsidRDefault="00216019">
            <w:pPr>
              <w:jc w:val="center"/>
            </w:pPr>
            <w:r>
              <w:t>&lt;.47%&gt;</w:t>
            </w:r>
          </w:p>
        </w:tc>
      </w:tr>
      <w:tr w:rsidR="00000000">
        <w:tblPrEx>
          <w:tblCellMar>
            <w:top w:w="0" w:type="dxa"/>
            <w:bottom w:w="0" w:type="dxa"/>
          </w:tblCellMar>
        </w:tblPrEx>
        <w:tc>
          <w:tcPr>
            <w:tcW w:w="2250" w:type="dxa"/>
          </w:tcPr>
          <w:p w:rsidR="00000000" w:rsidRDefault="00216019">
            <w:pPr>
              <w:jc w:val="center"/>
            </w:pPr>
            <w:r>
              <w:t>2000</w:t>
            </w:r>
          </w:p>
        </w:tc>
        <w:tc>
          <w:tcPr>
            <w:tcW w:w="2070" w:type="dxa"/>
          </w:tcPr>
          <w:p w:rsidR="00000000" w:rsidRDefault="00216019">
            <w:pPr>
              <w:jc w:val="center"/>
            </w:pPr>
            <w:r>
              <w:t>$32,282,884</w:t>
            </w:r>
          </w:p>
        </w:tc>
        <w:tc>
          <w:tcPr>
            <w:tcW w:w="2394" w:type="dxa"/>
          </w:tcPr>
          <w:p w:rsidR="00000000" w:rsidRDefault="00216019">
            <w:pPr>
              <w:jc w:val="center"/>
            </w:pPr>
            <w:r>
              <w:t>&lt;$177,579&gt;</w:t>
            </w:r>
          </w:p>
        </w:tc>
        <w:tc>
          <w:tcPr>
            <w:tcW w:w="2394" w:type="dxa"/>
          </w:tcPr>
          <w:p w:rsidR="00000000" w:rsidRDefault="00216019">
            <w:pPr>
              <w:jc w:val="center"/>
            </w:pPr>
            <w:r>
              <w:t>&lt;.54%&gt;</w:t>
            </w:r>
          </w:p>
        </w:tc>
      </w:tr>
      <w:tr w:rsidR="00000000">
        <w:tblPrEx>
          <w:tblCellMar>
            <w:top w:w="0" w:type="dxa"/>
            <w:bottom w:w="0" w:type="dxa"/>
          </w:tblCellMar>
        </w:tblPrEx>
        <w:tc>
          <w:tcPr>
            <w:tcW w:w="2250" w:type="dxa"/>
          </w:tcPr>
          <w:p w:rsidR="00000000" w:rsidRDefault="00216019">
            <w:pPr>
              <w:jc w:val="center"/>
            </w:pPr>
            <w:r>
              <w:t>2001</w:t>
            </w:r>
          </w:p>
        </w:tc>
        <w:tc>
          <w:tcPr>
            <w:tcW w:w="2070" w:type="dxa"/>
          </w:tcPr>
          <w:p w:rsidR="00000000" w:rsidRDefault="00216019">
            <w:pPr>
              <w:jc w:val="center"/>
            </w:pPr>
            <w:r>
              <w:t>$32,940,215</w:t>
            </w:r>
          </w:p>
        </w:tc>
        <w:tc>
          <w:tcPr>
            <w:tcW w:w="2394" w:type="dxa"/>
          </w:tcPr>
          <w:p w:rsidR="00000000" w:rsidRDefault="00216019">
            <w:pPr>
              <w:jc w:val="center"/>
            </w:pPr>
            <w:r>
              <w:t>+ $479,752</w:t>
            </w:r>
          </w:p>
        </w:tc>
        <w:tc>
          <w:tcPr>
            <w:tcW w:w="2394" w:type="dxa"/>
          </w:tcPr>
          <w:p w:rsidR="00000000" w:rsidRDefault="00216019">
            <w:pPr>
              <w:jc w:val="center"/>
            </w:pPr>
            <w:r>
              <w:t>+ 1.4%</w:t>
            </w:r>
          </w:p>
        </w:tc>
      </w:tr>
      <w:tr w:rsidR="00000000">
        <w:tblPrEx>
          <w:tblCellMar>
            <w:top w:w="0" w:type="dxa"/>
            <w:bottom w:w="0" w:type="dxa"/>
          </w:tblCellMar>
        </w:tblPrEx>
        <w:tc>
          <w:tcPr>
            <w:tcW w:w="2250" w:type="dxa"/>
          </w:tcPr>
          <w:p w:rsidR="00000000" w:rsidRDefault="00216019">
            <w:pPr>
              <w:jc w:val="center"/>
            </w:pPr>
            <w:r>
              <w:t>2002</w:t>
            </w:r>
          </w:p>
        </w:tc>
        <w:tc>
          <w:tcPr>
            <w:tcW w:w="2070" w:type="dxa"/>
          </w:tcPr>
          <w:p w:rsidR="00000000" w:rsidRDefault="00216019">
            <w:pPr>
              <w:jc w:val="center"/>
            </w:pPr>
            <w:r>
              <w:t>$22,411,236</w:t>
            </w:r>
          </w:p>
        </w:tc>
        <w:tc>
          <w:tcPr>
            <w:tcW w:w="2394" w:type="dxa"/>
          </w:tcPr>
          <w:p w:rsidR="00000000" w:rsidRDefault="00216019">
            <w:pPr>
              <w:jc w:val="center"/>
            </w:pPr>
            <w:r>
              <w:t>&lt;$10,049,227&gt;</w:t>
            </w:r>
          </w:p>
        </w:tc>
        <w:tc>
          <w:tcPr>
            <w:tcW w:w="2394" w:type="dxa"/>
          </w:tcPr>
          <w:p w:rsidR="00000000" w:rsidRDefault="00216019">
            <w:pPr>
              <w:jc w:val="center"/>
            </w:pPr>
            <w:r>
              <w:t>&lt;30.9%&gt;</w:t>
            </w:r>
          </w:p>
        </w:tc>
      </w:tr>
      <w:tr w:rsidR="00000000">
        <w:tblPrEx>
          <w:tblCellMar>
            <w:top w:w="0" w:type="dxa"/>
            <w:bottom w:w="0" w:type="dxa"/>
          </w:tblCellMar>
        </w:tblPrEx>
        <w:tc>
          <w:tcPr>
            <w:tcW w:w="2250" w:type="dxa"/>
          </w:tcPr>
          <w:p w:rsidR="00000000" w:rsidRDefault="00216019">
            <w:pPr>
              <w:jc w:val="center"/>
            </w:pPr>
            <w:r>
              <w:t>2003</w:t>
            </w:r>
          </w:p>
        </w:tc>
        <w:tc>
          <w:tcPr>
            <w:tcW w:w="2070" w:type="dxa"/>
          </w:tcPr>
          <w:p w:rsidR="00000000" w:rsidRDefault="00216019">
            <w:pPr>
              <w:jc w:val="center"/>
            </w:pPr>
            <w:r>
              <w:t>$2</w:t>
            </w:r>
            <w:r>
              <w:t>1,368,268</w:t>
            </w:r>
          </w:p>
        </w:tc>
        <w:tc>
          <w:tcPr>
            <w:tcW w:w="2394" w:type="dxa"/>
          </w:tcPr>
          <w:p w:rsidR="00000000" w:rsidRDefault="00216019">
            <w:pPr>
              <w:jc w:val="center"/>
            </w:pPr>
            <w:r>
              <w:t>&lt;$11,092,195&gt;</w:t>
            </w:r>
          </w:p>
        </w:tc>
        <w:tc>
          <w:tcPr>
            <w:tcW w:w="2394" w:type="dxa"/>
          </w:tcPr>
          <w:p w:rsidR="00000000" w:rsidRDefault="00216019">
            <w:pPr>
              <w:jc w:val="center"/>
            </w:pPr>
            <w:r>
              <w:t>&lt;34.2%&gt;</w:t>
            </w:r>
          </w:p>
        </w:tc>
      </w:tr>
      <w:tr w:rsidR="00000000">
        <w:tblPrEx>
          <w:tblCellMar>
            <w:top w:w="0" w:type="dxa"/>
            <w:bottom w:w="0" w:type="dxa"/>
          </w:tblCellMar>
        </w:tblPrEx>
        <w:tc>
          <w:tcPr>
            <w:tcW w:w="2250" w:type="dxa"/>
          </w:tcPr>
          <w:p w:rsidR="00000000" w:rsidRDefault="00216019">
            <w:pPr>
              <w:jc w:val="center"/>
            </w:pPr>
            <w:r>
              <w:t>2004</w:t>
            </w:r>
          </w:p>
        </w:tc>
        <w:tc>
          <w:tcPr>
            <w:tcW w:w="2070" w:type="dxa"/>
          </w:tcPr>
          <w:p w:rsidR="00000000" w:rsidRDefault="00216019">
            <w:pPr>
              <w:jc w:val="center"/>
            </w:pPr>
            <w:r>
              <w:t>$19,703,000</w:t>
            </w:r>
          </w:p>
        </w:tc>
        <w:tc>
          <w:tcPr>
            <w:tcW w:w="2394" w:type="dxa"/>
          </w:tcPr>
          <w:p w:rsidR="00000000" w:rsidRDefault="00216019">
            <w:pPr>
              <w:jc w:val="center"/>
            </w:pPr>
            <w:r>
              <w:t>&lt;$12,757,463&gt;</w:t>
            </w:r>
          </w:p>
        </w:tc>
        <w:tc>
          <w:tcPr>
            <w:tcW w:w="2394" w:type="dxa"/>
          </w:tcPr>
          <w:p w:rsidR="00000000" w:rsidRDefault="00216019">
            <w:pPr>
              <w:jc w:val="center"/>
            </w:pPr>
            <w:r>
              <w:t>&lt;39.3%&gt;</w:t>
            </w:r>
          </w:p>
        </w:tc>
      </w:tr>
    </w:tbl>
    <w:p w:rsidR="00000000" w:rsidRDefault="00216019"/>
    <w:p w:rsidR="00000000" w:rsidRDefault="00216019">
      <w:pPr>
        <w:pStyle w:val="BodyText2"/>
        <w:ind w:left="360"/>
        <w:rPr>
          <w:rFonts w:ascii="Arial" w:hAnsi="Arial" w:cs="Arial"/>
        </w:rPr>
      </w:pPr>
      <w:r>
        <w:rPr>
          <w:rFonts w:ascii="Arial" w:hAnsi="Arial" w:cs="Arial"/>
        </w:rPr>
        <w:t>PL 108-74, signed by the President on August 15, 2003, extends the availability of unspent SCHIP allotments from FFYs 1998, 1999, 2000, and 2001.  Iowa was not eligible to receive ad</w:t>
      </w:r>
      <w:r>
        <w:rPr>
          <w:rFonts w:ascii="Arial" w:hAnsi="Arial" w:cs="Arial"/>
        </w:rPr>
        <w:t>ditional funding from FFYs 1998 and 1999 because we have spent all of the previously retained funding.  However, this action allowed Iowa to retain 50% of the $8.4 million of unspent FFY 2000 funds that would have otherwise been reverted to the redistribut</w:t>
      </w:r>
      <w:r>
        <w:rPr>
          <w:rFonts w:ascii="Arial" w:hAnsi="Arial" w:cs="Arial"/>
        </w:rPr>
        <w:t xml:space="preserve">ion pool.  The amount Iowa will be able to retain from FFY 2001 unspent funds has yet to be determined.  The remaining 50% will be </w:t>
      </w:r>
      <w:r>
        <w:rPr>
          <w:rFonts w:ascii="Arial" w:hAnsi="Arial" w:cs="Arial"/>
        </w:rPr>
        <w:lastRenderedPageBreak/>
        <w:t xml:space="preserve">redistributed to states and territories that have fully expended their allotments for FFYs 2000 and/or 2001. </w:t>
      </w:r>
    </w:p>
    <w:p w:rsidR="00000000" w:rsidRDefault="00216019">
      <w:pPr>
        <w:pStyle w:val="BodyText2"/>
        <w:rPr>
          <w:rFonts w:ascii="Arial" w:hAnsi="Arial" w:cs="Arial"/>
        </w:rPr>
      </w:pPr>
    </w:p>
    <w:p w:rsidR="00000000" w:rsidRDefault="00216019">
      <w:pPr>
        <w:pStyle w:val="BodyText2"/>
        <w:ind w:left="360"/>
        <w:rPr>
          <w:rFonts w:ascii="Arial" w:hAnsi="Arial" w:cs="Arial"/>
        </w:rPr>
      </w:pPr>
      <w:r>
        <w:rPr>
          <w:rFonts w:ascii="Arial" w:hAnsi="Arial" w:cs="Arial"/>
        </w:rPr>
        <w:t>The three-year</w:t>
      </w:r>
      <w:r>
        <w:rPr>
          <w:rFonts w:ascii="Arial" w:hAnsi="Arial" w:cs="Arial"/>
        </w:rPr>
        <w:t xml:space="preserve"> period in which to spend the 2001 allotment ended on September 30, 2003, so spending is currently from the FFY 02 allotment.  At the point all currently available federal funding is exhausted, Iowa will be eligible to receive additional funds from the red</w:t>
      </w:r>
      <w:r>
        <w:rPr>
          <w:rFonts w:ascii="Arial" w:hAnsi="Arial" w:cs="Arial"/>
        </w:rPr>
        <w:t>istribution pool since all state allotments are decreasing, more states will be relying on redistributed funds to support their programs at the same time.</w:t>
      </w:r>
    </w:p>
    <w:p w:rsidR="00000000" w:rsidRDefault="00216019">
      <w:pPr>
        <w:pStyle w:val="BodyText2"/>
        <w:ind w:left="360"/>
        <w:rPr>
          <w:rFonts w:ascii="Arial" w:hAnsi="Arial" w:cs="Arial"/>
        </w:rPr>
      </w:pPr>
    </w:p>
    <w:p w:rsidR="00000000" w:rsidRDefault="00216019">
      <w:pPr>
        <w:pStyle w:val="BodyText2"/>
        <w:rPr>
          <w:rFonts w:ascii="Arial" w:hAnsi="Arial" w:cs="Arial"/>
          <w:b/>
          <w:bCs/>
        </w:rPr>
      </w:pPr>
      <w:r>
        <w:rPr>
          <w:rFonts w:ascii="Arial" w:hAnsi="Arial" w:cs="Arial"/>
        </w:rPr>
        <w:t xml:space="preserve">B.  </w:t>
      </w:r>
      <w:r>
        <w:rPr>
          <w:rFonts w:ascii="Arial" w:hAnsi="Arial" w:cs="Arial"/>
          <w:b/>
          <w:bCs/>
        </w:rPr>
        <w:t>State Funding Issues:</w:t>
      </w:r>
    </w:p>
    <w:p w:rsidR="00000000" w:rsidRDefault="00216019">
      <w:pPr>
        <w:pStyle w:val="BodyText2"/>
        <w:rPr>
          <w:rFonts w:ascii="Arial" w:hAnsi="Arial" w:cs="Arial"/>
          <w:highlight w:val="yellow"/>
        </w:rPr>
      </w:pPr>
    </w:p>
    <w:p w:rsidR="00000000" w:rsidRDefault="00216019">
      <w:pPr>
        <w:pStyle w:val="BodyText2"/>
        <w:ind w:left="360"/>
        <w:rPr>
          <w:rFonts w:ascii="Arial" w:hAnsi="Arial" w:cs="Arial"/>
        </w:rPr>
      </w:pPr>
      <w:r>
        <w:rPr>
          <w:rFonts w:ascii="Arial" w:hAnsi="Arial" w:cs="Arial"/>
        </w:rPr>
        <w:t>The total appropriation of state funds for SFY ’03 was $14,482,082, inclu</w:t>
      </w:r>
      <w:r>
        <w:rPr>
          <w:rFonts w:ascii="Arial" w:hAnsi="Arial" w:cs="Arial"/>
        </w:rPr>
        <w:t xml:space="preserve">sive of  $2,823,670 </w:t>
      </w:r>
      <w:r>
        <w:rPr>
          <w:rFonts w:ascii="Arial" w:hAnsi="Arial" w:cs="Arial"/>
          <w:b/>
          <w:i/>
        </w:rPr>
        <w:t>hawk</w:t>
      </w:r>
      <w:r>
        <w:rPr>
          <w:rFonts w:ascii="Arial" w:hAnsi="Arial" w:cs="Arial"/>
          <w:b/>
          <w:i/>
        </w:rPr>
        <w:noBreakHyphen/>
        <w:t>i</w:t>
      </w:r>
      <w:r>
        <w:rPr>
          <w:rFonts w:ascii="Arial" w:hAnsi="Arial" w:cs="Arial"/>
        </w:rPr>
        <w:t xml:space="preserve"> Trust Fund dollars held in reserve at SFY ’02 year-end.  Of this amount, $10,091,128 was expended.  Thus, the </w:t>
      </w:r>
      <w:r>
        <w:rPr>
          <w:rFonts w:ascii="Arial" w:hAnsi="Arial" w:cs="Arial"/>
          <w:b/>
          <w:i/>
        </w:rPr>
        <w:t>hawk-i</w:t>
      </w:r>
      <w:r>
        <w:rPr>
          <w:rFonts w:ascii="Arial" w:hAnsi="Arial" w:cs="Arial"/>
        </w:rPr>
        <w:t xml:space="preserve"> Program ended SFY ’03 with a balance of  $4,390,954 in state funds in the </w:t>
      </w:r>
      <w:r>
        <w:rPr>
          <w:rFonts w:ascii="Arial" w:hAnsi="Arial" w:cs="Arial"/>
          <w:b/>
          <w:i/>
        </w:rPr>
        <w:t>hawk-i</w:t>
      </w:r>
      <w:r>
        <w:rPr>
          <w:rFonts w:ascii="Arial" w:hAnsi="Arial" w:cs="Arial"/>
        </w:rPr>
        <w:t xml:space="preserve"> trust fund.  </w:t>
      </w:r>
    </w:p>
    <w:p w:rsidR="00000000" w:rsidRDefault="00216019">
      <w:pPr>
        <w:pStyle w:val="BodyText2"/>
        <w:rPr>
          <w:rFonts w:ascii="Arial" w:hAnsi="Arial" w:cs="Arial"/>
          <w:highlight w:val="yellow"/>
        </w:rPr>
      </w:pPr>
    </w:p>
    <w:p w:rsidR="00000000" w:rsidRDefault="00216019">
      <w:pPr>
        <w:pStyle w:val="BodyText2"/>
        <w:ind w:left="360"/>
        <w:rPr>
          <w:rFonts w:ascii="Arial" w:hAnsi="Arial" w:cs="Arial"/>
        </w:rPr>
      </w:pPr>
      <w:r>
        <w:rPr>
          <w:rFonts w:ascii="Arial" w:hAnsi="Arial" w:cs="Arial"/>
        </w:rPr>
        <w:t xml:space="preserve">By statute, the </w:t>
      </w:r>
      <w:r>
        <w:rPr>
          <w:rFonts w:ascii="Arial" w:hAnsi="Arial" w:cs="Arial"/>
        </w:rPr>
        <w:t>budget request for the upcoming SFY is included in the Department of Human Services' budget request. All Executive Branch agencies were asked to submit a status quo budget for SFY ’05.  The Department requested the same appropriation as SFY 04, $11,118,275</w:t>
      </w:r>
      <w:r>
        <w:rPr>
          <w:rFonts w:ascii="Arial" w:hAnsi="Arial" w:cs="Arial"/>
        </w:rPr>
        <w:t>.  The status quo budget would not allow for any growth in the Program either for normal increased costs or take into consideration that there will be fewer trust fund carryover dollars.  Therefore, no additional children could be enrolled and reduction in</w:t>
      </w:r>
      <w:r>
        <w:rPr>
          <w:rFonts w:ascii="Arial" w:hAnsi="Arial" w:cs="Arial"/>
        </w:rPr>
        <w:t xml:space="preserve"> the number of current children enrolled could become necessary.</w:t>
      </w:r>
    </w:p>
    <w:p w:rsidR="00000000" w:rsidRDefault="00216019">
      <w:pPr>
        <w:pStyle w:val="BodyText2"/>
        <w:ind w:left="360"/>
        <w:rPr>
          <w:rFonts w:ascii="Arial" w:hAnsi="Arial" w:cs="Arial"/>
        </w:rPr>
      </w:pPr>
    </w:p>
    <w:p w:rsidR="00000000" w:rsidRDefault="00216019">
      <w:pPr>
        <w:pStyle w:val="BodyText2"/>
        <w:ind w:left="360"/>
        <w:rPr>
          <w:rFonts w:ascii="Arial" w:hAnsi="Arial" w:cs="Arial"/>
        </w:rPr>
      </w:pPr>
      <w:r>
        <w:rPr>
          <w:rFonts w:ascii="Arial" w:hAnsi="Arial" w:cs="Arial"/>
        </w:rPr>
        <w:t>The Department is aware that several states have implemented waiting lists and have actually disenrolled many children.  Under such a scenario, a status quo budget may well require that a wa</w:t>
      </w:r>
      <w:r>
        <w:rPr>
          <w:rFonts w:ascii="Arial" w:hAnsi="Arial" w:cs="Arial"/>
        </w:rPr>
        <w:t xml:space="preserve">iting list be implemented as early as January 2004 to maintain enrollment at the currently projected level of 16,274 children.  Again on July 1, 2004, approximately 4,106 children would be disenrolled in order to maintain enrollment at 12,168 children for </w:t>
      </w:r>
      <w:r>
        <w:rPr>
          <w:rFonts w:ascii="Arial" w:hAnsi="Arial" w:cs="Arial"/>
        </w:rPr>
        <w:t>the entire year.  It appears the end result of a status quo budget is that 9,610 children would be uninsured; 5,564 not covered due to the waiting list and 4,106 disenrolled as of July 2004.</w:t>
      </w:r>
    </w:p>
    <w:p w:rsidR="00000000" w:rsidRDefault="00216019">
      <w:pPr>
        <w:pStyle w:val="BodyText2"/>
        <w:ind w:left="360"/>
        <w:rPr>
          <w:rFonts w:ascii="Arial" w:hAnsi="Arial" w:cs="Arial"/>
        </w:rPr>
      </w:pPr>
    </w:p>
    <w:p w:rsidR="00000000" w:rsidRDefault="00216019">
      <w:pPr>
        <w:pStyle w:val="BodyText2"/>
        <w:ind w:left="360"/>
        <w:rPr>
          <w:rFonts w:ascii="Arial" w:hAnsi="Arial" w:cs="Arial"/>
        </w:rPr>
      </w:pPr>
      <w:r>
        <w:rPr>
          <w:rFonts w:ascii="Arial" w:hAnsi="Arial" w:cs="Arial"/>
        </w:rPr>
        <w:t>The Board fully appreciates the budget limitation facing the Gov</w:t>
      </w:r>
      <w:r>
        <w:rPr>
          <w:rFonts w:ascii="Arial" w:hAnsi="Arial" w:cs="Arial"/>
        </w:rPr>
        <w:t xml:space="preserve">ernor and Legislature.  The Board also knows that both governmental branches have made special efforts in the past to preserve and, where possible, grow the </w:t>
      </w:r>
      <w:r>
        <w:rPr>
          <w:rFonts w:ascii="Arial" w:hAnsi="Arial" w:cs="Arial"/>
          <w:b/>
          <w:i/>
        </w:rPr>
        <w:t>hawk-i</w:t>
      </w:r>
      <w:r>
        <w:rPr>
          <w:rFonts w:ascii="Arial" w:hAnsi="Arial" w:cs="Arial"/>
        </w:rPr>
        <w:t xml:space="preserve"> Program.  We know the Department will work closely with the Legislature and the Governor’s O</w:t>
      </w:r>
      <w:r>
        <w:rPr>
          <w:rFonts w:ascii="Arial" w:hAnsi="Arial" w:cs="Arial"/>
        </w:rPr>
        <w:t xml:space="preserve">ffice to support the </w:t>
      </w:r>
      <w:r>
        <w:rPr>
          <w:rFonts w:ascii="Arial" w:hAnsi="Arial" w:cs="Arial"/>
          <w:b/>
          <w:i/>
        </w:rPr>
        <w:t>hawk-i</w:t>
      </w:r>
      <w:r>
        <w:rPr>
          <w:rFonts w:ascii="Arial" w:hAnsi="Arial" w:cs="Arial"/>
        </w:rPr>
        <w:t xml:space="preserve"> Program in order that the current enrolled and future coverage of additional children can be accomplished.  </w:t>
      </w:r>
    </w:p>
    <w:p w:rsidR="00000000" w:rsidRDefault="00216019">
      <w:pPr>
        <w:pStyle w:val="BodyText2"/>
        <w:rPr>
          <w:rFonts w:ascii="Arial" w:hAnsi="Arial" w:cs="Arial"/>
          <w:highlight w:val="yellow"/>
        </w:rPr>
      </w:pPr>
    </w:p>
    <w:p w:rsidR="00000000" w:rsidRDefault="00216019">
      <w:pPr>
        <w:pStyle w:val="BodyText2"/>
        <w:ind w:left="360"/>
        <w:rPr>
          <w:rFonts w:ascii="Arial" w:hAnsi="Arial" w:cs="Arial"/>
        </w:rPr>
      </w:pPr>
      <w:r>
        <w:rPr>
          <w:rFonts w:ascii="Arial" w:hAnsi="Arial" w:cs="Arial"/>
        </w:rPr>
        <w:t>A copy of the final SFY ’03 final expenditure report and the SFY ’04 budget are attached.  These reports reflect state</w:t>
      </w:r>
      <w:r>
        <w:rPr>
          <w:rFonts w:ascii="Arial" w:hAnsi="Arial" w:cs="Arial"/>
        </w:rPr>
        <w:t xml:space="preserve"> only dollars.</w:t>
      </w:r>
    </w:p>
    <w:p w:rsidR="00000000" w:rsidRDefault="00216019"/>
    <w:p w:rsidR="00000000" w:rsidRDefault="00216019">
      <w:pPr>
        <w:ind w:left="720"/>
        <w:rPr>
          <w:i/>
          <w:sz w:val="22"/>
        </w:rPr>
      </w:pPr>
      <w:r>
        <w:rPr>
          <w:i/>
          <w:sz w:val="22"/>
        </w:rPr>
        <w:t>Attachment 3:  Allotment Expenditure History, SFY ’03 Expenditure Report, and SFY ’04 Budget</w:t>
      </w:r>
    </w:p>
    <w:p w:rsidR="00000000" w:rsidRDefault="00216019">
      <w:pPr>
        <w:jc w:val="center"/>
        <w:rPr>
          <w:i/>
          <w:sz w:val="22"/>
        </w:rPr>
      </w:pPr>
    </w:p>
    <w:p w:rsidR="00000000" w:rsidRDefault="00216019">
      <w:pPr>
        <w:ind w:left="-576"/>
        <w:rPr>
          <w:b/>
          <w:sz w:val="28"/>
        </w:rPr>
      </w:pPr>
      <w:r>
        <w:rPr>
          <w:rFonts w:ascii="Times New Roman" w:hAnsi="Times New Roman"/>
          <w:b/>
          <w:sz w:val="28"/>
        </w:rPr>
        <w:t>IV</w:t>
      </w:r>
      <w:r>
        <w:rPr>
          <w:b/>
          <w:sz w:val="28"/>
        </w:rPr>
        <w:t xml:space="preserve">.  </w:t>
      </w:r>
      <w:r>
        <w:rPr>
          <w:b/>
          <w:sz w:val="28"/>
          <w:u w:val="single"/>
        </w:rPr>
        <w:t>Outreach</w:t>
      </w:r>
      <w:r>
        <w:rPr>
          <w:b/>
          <w:sz w:val="28"/>
        </w:rPr>
        <w:t>:</w:t>
      </w:r>
    </w:p>
    <w:p w:rsidR="00000000" w:rsidRDefault="00216019">
      <w:pPr>
        <w:pStyle w:val="Header"/>
        <w:tabs>
          <w:tab w:val="clear" w:pos="4320"/>
          <w:tab w:val="clear" w:pos="8640"/>
        </w:tabs>
      </w:pPr>
    </w:p>
    <w:p w:rsidR="00000000" w:rsidRDefault="00216019">
      <w:r>
        <w:t>The Balanced Budget Act of 1997 requires states to conduct outreach activities to communities for local outreach efforts.  The Dep</w:t>
      </w:r>
      <w:r>
        <w:t xml:space="preserve">artment continues to educate the public about the </w:t>
      </w:r>
      <w:r>
        <w:rPr>
          <w:b/>
          <w:i/>
        </w:rPr>
        <w:t>hawk-i</w:t>
      </w:r>
      <w:r>
        <w:t xml:space="preserve"> Program by giving presentations to various groups who can assist in promoting the program.</w:t>
      </w:r>
    </w:p>
    <w:p w:rsidR="00000000" w:rsidRDefault="00216019"/>
    <w:p w:rsidR="00000000" w:rsidRDefault="00216019">
      <w:pPr>
        <w:rPr>
          <w:b/>
          <w:bCs/>
        </w:rPr>
      </w:pPr>
      <w:r>
        <w:t xml:space="preserve">A.  </w:t>
      </w:r>
      <w:r>
        <w:rPr>
          <w:b/>
          <w:bCs/>
        </w:rPr>
        <w:t>Structure:</w:t>
      </w:r>
    </w:p>
    <w:p w:rsidR="00000000" w:rsidRDefault="00216019">
      <w:pPr>
        <w:ind w:left="360"/>
      </w:pPr>
    </w:p>
    <w:p w:rsidR="00000000" w:rsidRDefault="00216019">
      <w:pPr>
        <w:ind w:left="360"/>
      </w:pPr>
      <w:r>
        <w:t>Effective September 1, 2003, the Iowa Department of Human Services (DHS) contracted with th</w:t>
      </w:r>
      <w:r>
        <w:t xml:space="preserve">e Iowa Department of Public Health (IDPH) to provide oversight for a statewide </w:t>
      </w:r>
      <w:r>
        <w:rPr>
          <w:b/>
          <w:i/>
        </w:rPr>
        <w:t>hawk</w:t>
      </w:r>
      <w:r>
        <w:rPr>
          <w:b/>
          <w:i/>
        </w:rPr>
        <w:noBreakHyphen/>
        <w:t>i</w:t>
      </w:r>
      <w:r>
        <w:t xml:space="preserve"> grassroots outreach program.  The Bureau of Family Health in the Iowa Department of Public Health administers the outreach program through 26 community-based child health</w:t>
      </w:r>
      <w:r>
        <w:t xml:space="preserve"> agencies.  Each child health agency designates a Local Outreach Coordinator.  Statewide activities are coordinated by the State Outreach Coordinator who also provides technical assistance and oversight to local efforts.  This includes, but is not limited </w:t>
      </w:r>
      <w:r>
        <w:t>to, e-mail communication, list serve linkages, face-to-face visits, and quarterly statewide training meetings.  The State Outreach Coordinator also serves as the liaison between the local outreach efforts and DHS.  Community-based child health agencies ent</w:t>
      </w:r>
      <w:r>
        <w:t>er into (sub-contracts) with other local entities that have demonstrated successful community outreach and enrollment activities to avoid duplication and assure successful efforts.  Each child health agency implements an approved plan that addresses outrea</w:t>
      </w:r>
      <w:r>
        <w:t>ch to schools, the faith-based community, health care providers, and underserved populations for the communities they serve.</w:t>
      </w:r>
    </w:p>
    <w:p w:rsidR="00000000" w:rsidRDefault="00216019"/>
    <w:p w:rsidR="00000000" w:rsidRDefault="00216019">
      <w:pPr>
        <w:rPr>
          <w:b/>
          <w:bCs/>
        </w:rPr>
      </w:pPr>
      <w:r>
        <w:t xml:space="preserve">B.  </w:t>
      </w:r>
      <w:r>
        <w:rPr>
          <w:b/>
          <w:bCs/>
        </w:rPr>
        <w:t>Progress To-Date:</w:t>
      </w:r>
    </w:p>
    <w:p w:rsidR="00000000" w:rsidRDefault="00216019">
      <w:pPr>
        <w:ind w:left="360"/>
      </w:pPr>
    </w:p>
    <w:p w:rsidR="00000000" w:rsidRDefault="00216019">
      <w:pPr>
        <w:ind w:left="360"/>
      </w:pPr>
      <w:r>
        <w:t xml:space="preserve">DHS has provided the leadership for an effective collaboration between the two state departments and the </w:t>
      </w:r>
      <w:r>
        <w:rPr>
          <w:b/>
          <w:i/>
        </w:rPr>
        <w:t>ha</w:t>
      </w:r>
      <w:r>
        <w:rPr>
          <w:b/>
          <w:i/>
        </w:rPr>
        <w:t>wk</w:t>
      </w:r>
      <w:r>
        <w:rPr>
          <w:b/>
          <w:i/>
        </w:rPr>
        <w:noBreakHyphen/>
        <w:t>i</w:t>
      </w:r>
      <w:r>
        <w:t xml:space="preserve"> Board.  Outreach efforts coordinated through IDPH and the local child health agencies have been very successful.  This collaboration will continue to guide outreach efforts to reach uninsured families in Iowa.  Initial outreach efforts focused on four</w:t>
      </w:r>
      <w:r>
        <w:t xml:space="preserve"> areas: schools, faith-based, medical providers and underserved populations.</w:t>
      </w:r>
    </w:p>
    <w:p w:rsidR="00000000" w:rsidRDefault="00216019">
      <w:pPr>
        <w:ind w:left="360"/>
      </w:pPr>
    </w:p>
    <w:p w:rsidR="00000000" w:rsidRDefault="00216019">
      <w:r>
        <w:t xml:space="preserve">C.  </w:t>
      </w:r>
      <w:r>
        <w:rPr>
          <w:b/>
          <w:bCs/>
        </w:rPr>
        <w:t>Outreach to Schools:</w:t>
      </w:r>
    </w:p>
    <w:p w:rsidR="00000000" w:rsidRDefault="00216019"/>
    <w:p w:rsidR="00000000" w:rsidRDefault="00216019">
      <w:pPr>
        <w:ind w:left="360"/>
      </w:pPr>
      <w:r>
        <w:t>Child health agencies have made strong allies in their local schools to reach uninsured children.  Local outreach activities include, but are not limite</w:t>
      </w:r>
      <w:r>
        <w:t xml:space="preserve">d to, working with school nurses, local Head Start Agencies, Area Education Agencies (AEAs) and Empowerment boards.  In August of 2003, DHS sent </w:t>
      </w:r>
      <w:r>
        <w:rPr>
          <w:b/>
          <w:i/>
        </w:rPr>
        <w:t>hawk</w:t>
      </w:r>
      <w:r>
        <w:rPr>
          <w:b/>
          <w:i/>
        </w:rPr>
        <w:noBreakHyphen/>
        <w:t>i</w:t>
      </w:r>
      <w:r>
        <w:t xml:space="preserve"> brochures to every school in Iowa and asked that a brochure be sent home with every child.  In addition,</w:t>
      </w:r>
      <w:r>
        <w:t xml:space="preserve"> the Covering Kids and Families project and local Outreach Coordinators held “Back to School events” across the state. DHS and the Department of Education (DOE) continue to collaborate to allow schools and childcare providers who participate in </w:t>
      </w:r>
      <w:r>
        <w:lastRenderedPageBreak/>
        <w:t>the Free an</w:t>
      </w:r>
      <w:r>
        <w:t xml:space="preserve">d Reduced Meals Program to make referrals to the </w:t>
      </w:r>
      <w:r>
        <w:rPr>
          <w:b/>
          <w:i/>
        </w:rPr>
        <w:t>hawk</w:t>
      </w:r>
      <w:r>
        <w:rPr>
          <w:b/>
          <w:i/>
        </w:rPr>
        <w:noBreakHyphen/>
        <w:t>i</w:t>
      </w:r>
      <w:r>
        <w:t xml:space="preserve"> Program for outreach purposes.  Additionally, </w:t>
      </w:r>
      <w:r>
        <w:rPr>
          <w:b/>
          <w:i/>
        </w:rPr>
        <w:t>hawk</w:t>
      </w:r>
      <w:r>
        <w:rPr>
          <w:b/>
          <w:i/>
        </w:rPr>
        <w:noBreakHyphen/>
        <w:t>i</w:t>
      </w:r>
      <w:r>
        <w:t xml:space="preserve"> information has also been made available at numerous conferences targeting educators, school administrators and superintendents.  In the months imm</w:t>
      </w:r>
      <w:r>
        <w:t>ediately following this effort, application referrals from schools significantly increased.</w:t>
      </w:r>
    </w:p>
    <w:p w:rsidR="00000000" w:rsidRDefault="00216019">
      <w:pPr>
        <w:ind w:left="360"/>
      </w:pPr>
    </w:p>
    <w:p w:rsidR="00000000" w:rsidRDefault="00216019">
      <w:pPr>
        <w:ind w:left="360"/>
        <w:jc w:val="center"/>
        <w:rPr>
          <w:b/>
          <w:bCs/>
        </w:rPr>
      </w:pPr>
      <w:r>
        <w:rPr>
          <w:b/>
          <w:bCs/>
        </w:rPr>
        <w:t>Applications Referred by Schools</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9"/>
        <w:gridCol w:w="2305"/>
        <w:gridCol w:w="2317"/>
      </w:tblGrid>
      <w:tr w:rsidR="00000000">
        <w:tblPrEx>
          <w:tblCellMar>
            <w:top w:w="0" w:type="dxa"/>
            <w:bottom w:w="0" w:type="dxa"/>
          </w:tblCellMar>
        </w:tblPrEx>
        <w:trPr>
          <w:jc w:val="center"/>
        </w:trPr>
        <w:tc>
          <w:tcPr>
            <w:tcW w:w="2289" w:type="dxa"/>
          </w:tcPr>
          <w:p w:rsidR="00000000" w:rsidRDefault="00216019">
            <w:pPr>
              <w:jc w:val="center"/>
              <w:rPr>
                <w:rFonts w:cs="Arial"/>
                <w:b/>
                <w:bCs/>
              </w:rPr>
            </w:pPr>
            <w:r>
              <w:rPr>
                <w:rFonts w:cs="Arial"/>
                <w:b/>
                <w:bCs/>
              </w:rPr>
              <w:t>Month &amp; Year</w:t>
            </w:r>
          </w:p>
        </w:tc>
        <w:tc>
          <w:tcPr>
            <w:tcW w:w="2305" w:type="dxa"/>
          </w:tcPr>
          <w:p w:rsidR="00000000" w:rsidRDefault="00216019">
            <w:pPr>
              <w:jc w:val="center"/>
              <w:rPr>
                <w:rFonts w:cs="Arial"/>
                <w:b/>
                <w:bCs/>
              </w:rPr>
            </w:pPr>
            <w:r>
              <w:rPr>
                <w:rFonts w:cs="Arial"/>
                <w:b/>
                <w:bCs/>
              </w:rPr>
              <w:t># Applications Referred</w:t>
            </w:r>
          </w:p>
        </w:tc>
        <w:tc>
          <w:tcPr>
            <w:tcW w:w="2317" w:type="dxa"/>
          </w:tcPr>
          <w:p w:rsidR="00000000" w:rsidRDefault="00216019">
            <w:pPr>
              <w:jc w:val="center"/>
              <w:rPr>
                <w:rFonts w:cs="Arial"/>
                <w:b/>
                <w:bCs/>
              </w:rPr>
            </w:pPr>
            <w:r>
              <w:rPr>
                <w:rFonts w:cs="Arial"/>
                <w:b/>
                <w:bCs/>
              </w:rPr>
              <w:t>% Increase In Applications Referred</w:t>
            </w:r>
          </w:p>
        </w:tc>
      </w:tr>
      <w:tr w:rsidR="00000000">
        <w:tblPrEx>
          <w:tblCellMar>
            <w:top w:w="0" w:type="dxa"/>
            <w:bottom w:w="0" w:type="dxa"/>
          </w:tblCellMar>
        </w:tblPrEx>
        <w:trPr>
          <w:jc w:val="center"/>
        </w:trPr>
        <w:tc>
          <w:tcPr>
            <w:tcW w:w="2289" w:type="dxa"/>
          </w:tcPr>
          <w:p w:rsidR="00000000" w:rsidRDefault="00216019">
            <w:pPr>
              <w:pStyle w:val="Header"/>
              <w:tabs>
                <w:tab w:val="clear" w:pos="4320"/>
                <w:tab w:val="clear" w:pos="8640"/>
              </w:tabs>
              <w:rPr>
                <w:rFonts w:cs="Arial"/>
                <w:szCs w:val="24"/>
              </w:rPr>
            </w:pPr>
            <w:r>
              <w:rPr>
                <w:rFonts w:cs="Arial"/>
                <w:szCs w:val="24"/>
              </w:rPr>
              <w:t>July’02</w:t>
            </w:r>
          </w:p>
        </w:tc>
        <w:tc>
          <w:tcPr>
            <w:tcW w:w="2305" w:type="dxa"/>
          </w:tcPr>
          <w:p w:rsidR="00000000" w:rsidRDefault="00216019">
            <w:pPr>
              <w:jc w:val="center"/>
              <w:rPr>
                <w:rFonts w:cs="Arial"/>
              </w:rPr>
            </w:pPr>
            <w:r>
              <w:rPr>
                <w:rFonts w:cs="Arial"/>
              </w:rPr>
              <w:t>57</w:t>
            </w:r>
          </w:p>
        </w:tc>
        <w:tc>
          <w:tcPr>
            <w:tcW w:w="2317" w:type="dxa"/>
          </w:tcPr>
          <w:p w:rsidR="00000000" w:rsidRDefault="00216019">
            <w:pPr>
              <w:rPr>
                <w:rFonts w:cs="Arial"/>
              </w:rPr>
            </w:pPr>
          </w:p>
        </w:tc>
      </w:tr>
      <w:tr w:rsidR="00000000">
        <w:tblPrEx>
          <w:tblCellMar>
            <w:top w:w="0" w:type="dxa"/>
            <w:bottom w:w="0" w:type="dxa"/>
          </w:tblCellMar>
        </w:tblPrEx>
        <w:trPr>
          <w:jc w:val="center"/>
        </w:trPr>
        <w:tc>
          <w:tcPr>
            <w:tcW w:w="2289" w:type="dxa"/>
          </w:tcPr>
          <w:p w:rsidR="00000000" w:rsidRDefault="00216019">
            <w:pPr>
              <w:rPr>
                <w:rFonts w:cs="Arial"/>
              </w:rPr>
            </w:pPr>
            <w:r>
              <w:rPr>
                <w:rFonts w:cs="Arial"/>
              </w:rPr>
              <w:t>September’02</w:t>
            </w:r>
          </w:p>
        </w:tc>
        <w:tc>
          <w:tcPr>
            <w:tcW w:w="2305" w:type="dxa"/>
          </w:tcPr>
          <w:p w:rsidR="00000000" w:rsidRDefault="00216019">
            <w:pPr>
              <w:jc w:val="center"/>
              <w:rPr>
                <w:rFonts w:cs="Arial"/>
              </w:rPr>
            </w:pPr>
            <w:r>
              <w:rPr>
                <w:rFonts w:cs="Arial"/>
              </w:rPr>
              <w:t>134</w:t>
            </w:r>
          </w:p>
        </w:tc>
        <w:tc>
          <w:tcPr>
            <w:tcW w:w="2317" w:type="dxa"/>
          </w:tcPr>
          <w:p w:rsidR="00000000" w:rsidRDefault="00216019">
            <w:pPr>
              <w:jc w:val="center"/>
              <w:rPr>
                <w:rFonts w:cs="Arial"/>
              </w:rPr>
            </w:pPr>
            <w:r>
              <w:rPr>
                <w:rFonts w:cs="Arial"/>
              </w:rPr>
              <w:t>174%</w:t>
            </w:r>
          </w:p>
        </w:tc>
      </w:tr>
      <w:tr w:rsidR="00000000">
        <w:tblPrEx>
          <w:tblCellMar>
            <w:top w:w="0" w:type="dxa"/>
            <w:bottom w:w="0" w:type="dxa"/>
          </w:tblCellMar>
        </w:tblPrEx>
        <w:trPr>
          <w:jc w:val="center"/>
        </w:trPr>
        <w:tc>
          <w:tcPr>
            <w:tcW w:w="2289" w:type="dxa"/>
          </w:tcPr>
          <w:p w:rsidR="00000000" w:rsidRDefault="00216019">
            <w:pPr>
              <w:rPr>
                <w:rFonts w:cs="Arial"/>
              </w:rPr>
            </w:pPr>
          </w:p>
        </w:tc>
        <w:tc>
          <w:tcPr>
            <w:tcW w:w="2305" w:type="dxa"/>
          </w:tcPr>
          <w:p w:rsidR="00000000" w:rsidRDefault="00216019">
            <w:pPr>
              <w:rPr>
                <w:rFonts w:cs="Arial"/>
              </w:rPr>
            </w:pPr>
          </w:p>
        </w:tc>
        <w:tc>
          <w:tcPr>
            <w:tcW w:w="2317" w:type="dxa"/>
          </w:tcPr>
          <w:p w:rsidR="00000000" w:rsidRDefault="00216019">
            <w:pPr>
              <w:jc w:val="center"/>
              <w:rPr>
                <w:rFonts w:cs="Arial"/>
              </w:rPr>
            </w:pPr>
          </w:p>
        </w:tc>
      </w:tr>
      <w:tr w:rsidR="00000000">
        <w:tblPrEx>
          <w:tblCellMar>
            <w:top w:w="0" w:type="dxa"/>
            <w:bottom w:w="0" w:type="dxa"/>
          </w:tblCellMar>
        </w:tblPrEx>
        <w:trPr>
          <w:jc w:val="center"/>
        </w:trPr>
        <w:tc>
          <w:tcPr>
            <w:tcW w:w="2289" w:type="dxa"/>
          </w:tcPr>
          <w:p w:rsidR="00000000" w:rsidRDefault="00216019">
            <w:pPr>
              <w:rPr>
                <w:rFonts w:cs="Arial"/>
              </w:rPr>
            </w:pPr>
            <w:r>
              <w:rPr>
                <w:rFonts w:cs="Arial"/>
              </w:rPr>
              <w:t>July’03</w:t>
            </w:r>
          </w:p>
        </w:tc>
        <w:tc>
          <w:tcPr>
            <w:tcW w:w="2305" w:type="dxa"/>
          </w:tcPr>
          <w:p w:rsidR="00000000" w:rsidRDefault="00216019">
            <w:pPr>
              <w:jc w:val="center"/>
              <w:rPr>
                <w:rFonts w:cs="Arial"/>
              </w:rPr>
            </w:pPr>
            <w:r>
              <w:rPr>
                <w:rFonts w:cs="Arial"/>
              </w:rPr>
              <w:t>61</w:t>
            </w:r>
          </w:p>
        </w:tc>
        <w:tc>
          <w:tcPr>
            <w:tcW w:w="2317" w:type="dxa"/>
          </w:tcPr>
          <w:p w:rsidR="00000000" w:rsidRDefault="00216019">
            <w:pPr>
              <w:jc w:val="center"/>
              <w:rPr>
                <w:rFonts w:cs="Arial"/>
              </w:rPr>
            </w:pPr>
          </w:p>
        </w:tc>
      </w:tr>
      <w:tr w:rsidR="00000000">
        <w:tblPrEx>
          <w:tblCellMar>
            <w:top w:w="0" w:type="dxa"/>
            <w:bottom w:w="0" w:type="dxa"/>
          </w:tblCellMar>
        </w:tblPrEx>
        <w:trPr>
          <w:jc w:val="center"/>
        </w:trPr>
        <w:tc>
          <w:tcPr>
            <w:tcW w:w="2289" w:type="dxa"/>
          </w:tcPr>
          <w:p w:rsidR="00000000" w:rsidRDefault="00216019">
            <w:pPr>
              <w:pStyle w:val="Header"/>
              <w:tabs>
                <w:tab w:val="clear" w:pos="4320"/>
                <w:tab w:val="clear" w:pos="8640"/>
              </w:tabs>
              <w:rPr>
                <w:rFonts w:cs="Arial"/>
                <w:szCs w:val="24"/>
              </w:rPr>
            </w:pPr>
            <w:r>
              <w:rPr>
                <w:rFonts w:cs="Arial"/>
                <w:szCs w:val="24"/>
              </w:rPr>
              <w:t>Sep</w:t>
            </w:r>
            <w:r>
              <w:rPr>
                <w:rFonts w:cs="Arial"/>
                <w:szCs w:val="24"/>
              </w:rPr>
              <w:t>tember’03</w:t>
            </w:r>
          </w:p>
        </w:tc>
        <w:tc>
          <w:tcPr>
            <w:tcW w:w="2305" w:type="dxa"/>
          </w:tcPr>
          <w:p w:rsidR="00000000" w:rsidRDefault="00216019">
            <w:pPr>
              <w:jc w:val="center"/>
              <w:rPr>
                <w:rFonts w:cs="Arial"/>
              </w:rPr>
            </w:pPr>
            <w:r>
              <w:rPr>
                <w:rFonts w:cs="Arial"/>
              </w:rPr>
              <w:t>369</w:t>
            </w:r>
          </w:p>
        </w:tc>
        <w:tc>
          <w:tcPr>
            <w:tcW w:w="2317" w:type="dxa"/>
          </w:tcPr>
          <w:p w:rsidR="00000000" w:rsidRDefault="00216019">
            <w:pPr>
              <w:jc w:val="center"/>
              <w:rPr>
                <w:rFonts w:cs="Arial"/>
              </w:rPr>
            </w:pPr>
            <w:r>
              <w:rPr>
                <w:rFonts w:cs="Arial"/>
              </w:rPr>
              <w:t>505%</w:t>
            </w:r>
          </w:p>
        </w:tc>
      </w:tr>
    </w:tbl>
    <w:p w:rsidR="00000000" w:rsidRDefault="00216019"/>
    <w:p w:rsidR="00000000" w:rsidRDefault="00216019" w:rsidP="00216019">
      <w:pPr>
        <w:numPr>
          <w:ilvl w:val="0"/>
          <w:numId w:val="41"/>
        </w:numPr>
        <w:rPr>
          <w:b/>
          <w:bCs/>
        </w:rPr>
      </w:pPr>
      <w:r>
        <w:rPr>
          <w:b/>
          <w:bCs/>
        </w:rPr>
        <w:t>Outreach to the Faith-based Community:</w:t>
      </w:r>
    </w:p>
    <w:p w:rsidR="00000000" w:rsidRDefault="00216019">
      <w:pPr>
        <w:rPr>
          <w:rFonts w:cs="Arial"/>
          <w:b/>
          <w:bCs/>
        </w:rPr>
      </w:pPr>
    </w:p>
    <w:p w:rsidR="00000000" w:rsidRDefault="00216019">
      <w:pPr>
        <w:pStyle w:val="BodyTextIndent3"/>
        <w:ind w:left="360"/>
        <w:rPr>
          <w:rFonts w:ascii="Arial" w:hAnsi="Arial" w:cs="Arial"/>
        </w:rPr>
      </w:pPr>
      <w:r>
        <w:rPr>
          <w:rFonts w:ascii="Arial" w:hAnsi="Arial" w:cs="Arial"/>
        </w:rPr>
        <w:t xml:space="preserve">Great strides have been made in reaching out to faith-based communities through local efforts.  Outreach coordinators are working with ministerial associations and churches across Iowa including </w:t>
      </w:r>
      <w:r>
        <w:rPr>
          <w:rFonts w:ascii="Arial" w:hAnsi="Arial" w:cs="Arial"/>
        </w:rPr>
        <w:t>working with the Amish and Mennonite communities.  State staff has also engaged the Iowa Family Policy Center to assist in developing a message to reach out to the evangelical community.</w:t>
      </w:r>
    </w:p>
    <w:p w:rsidR="00000000" w:rsidRDefault="00216019">
      <w:pPr>
        <w:pStyle w:val="BodyTextIndent3"/>
        <w:ind w:left="360"/>
        <w:rPr>
          <w:rFonts w:ascii="Arial" w:hAnsi="Arial" w:cs="Arial"/>
        </w:rPr>
      </w:pPr>
    </w:p>
    <w:p w:rsidR="00000000" w:rsidRDefault="00216019">
      <w:pPr>
        <w:pStyle w:val="BodyTextIndent3"/>
        <w:ind w:left="0"/>
        <w:rPr>
          <w:rFonts w:ascii="Arial" w:hAnsi="Arial" w:cs="Arial"/>
          <w:b/>
          <w:bCs/>
        </w:rPr>
      </w:pPr>
      <w:r>
        <w:rPr>
          <w:rFonts w:ascii="Arial" w:hAnsi="Arial" w:cs="Arial"/>
        </w:rPr>
        <w:t xml:space="preserve">E.  </w:t>
      </w:r>
      <w:r>
        <w:rPr>
          <w:rFonts w:ascii="Arial" w:hAnsi="Arial" w:cs="Arial"/>
          <w:b/>
          <w:bCs/>
        </w:rPr>
        <w:t>Outreach to Medical Providers:</w:t>
      </w:r>
    </w:p>
    <w:p w:rsidR="00000000" w:rsidRDefault="00216019">
      <w:pPr>
        <w:ind w:left="360"/>
      </w:pPr>
    </w:p>
    <w:p w:rsidR="00000000" w:rsidRDefault="00216019">
      <w:pPr>
        <w:ind w:left="360"/>
      </w:pPr>
      <w:r>
        <w:t>The medical community has been r</w:t>
      </w:r>
      <w:r>
        <w:t xml:space="preserve">esponsive in assisting with various </w:t>
      </w:r>
      <w:r>
        <w:rPr>
          <w:b/>
          <w:i/>
        </w:rPr>
        <w:t>hawk</w:t>
      </w:r>
      <w:r>
        <w:rPr>
          <w:b/>
          <w:i/>
        </w:rPr>
        <w:noBreakHyphen/>
        <w:t>i</w:t>
      </w:r>
      <w:r>
        <w:t xml:space="preserve"> outreach efforts.  </w:t>
      </w:r>
      <w:r>
        <w:rPr>
          <w:b/>
          <w:i/>
        </w:rPr>
        <w:t>hawk</w:t>
      </w:r>
      <w:r>
        <w:rPr>
          <w:b/>
          <w:i/>
        </w:rPr>
        <w:noBreakHyphen/>
        <w:t>i</w:t>
      </w:r>
      <w:r>
        <w:t xml:space="preserve"> material has been distributed to hospitals and medical clinics and offices across the state.  Local outreach coordinators have been working with not only physicians and nurses but also fr</w:t>
      </w:r>
      <w:r>
        <w:t xml:space="preserve">ont office staff and patient account representatives to ensure comprehensive outreach in the medical community.  A Doctor Kit created by the </w:t>
      </w:r>
      <w:r>
        <w:rPr>
          <w:i/>
          <w:iCs/>
        </w:rPr>
        <w:t>Covering Kids and Families</w:t>
      </w:r>
      <w:r>
        <w:t xml:space="preserve"> initiative has been widely utilized by local outreach coordinators.  A decal has been cr</w:t>
      </w:r>
      <w:r>
        <w:t xml:space="preserve">eated that can be placed in participating providers’ windows to help </w:t>
      </w:r>
      <w:r>
        <w:rPr>
          <w:b/>
          <w:i/>
        </w:rPr>
        <w:t>hawk</w:t>
      </w:r>
      <w:r>
        <w:rPr>
          <w:b/>
          <w:i/>
        </w:rPr>
        <w:noBreakHyphen/>
        <w:t>i</w:t>
      </w:r>
      <w:r>
        <w:t xml:space="preserve"> enrollees easily identify providers who accept patients with coverage through the </w:t>
      </w:r>
      <w:r>
        <w:rPr>
          <w:b/>
          <w:i/>
        </w:rPr>
        <w:t>hawk</w:t>
      </w:r>
      <w:r>
        <w:rPr>
          <w:b/>
          <w:i/>
        </w:rPr>
        <w:noBreakHyphen/>
        <w:t>i</w:t>
      </w:r>
      <w:r>
        <w:t xml:space="preserve"> Program.  Informational material has also been made available at various conferences for he</w:t>
      </w:r>
      <w:r>
        <w:t>alth care providers.</w:t>
      </w:r>
    </w:p>
    <w:p w:rsidR="00000000" w:rsidRDefault="00216019">
      <w:pPr>
        <w:ind w:left="360"/>
      </w:pPr>
    </w:p>
    <w:p w:rsidR="00000000" w:rsidRDefault="00216019">
      <w:pPr>
        <w:rPr>
          <w:b/>
          <w:bCs/>
        </w:rPr>
      </w:pPr>
      <w:r>
        <w:t xml:space="preserve">F.  </w:t>
      </w:r>
      <w:r>
        <w:rPr>
          <w:b/>
          <w:bCs/>
        </w:rPr>
        <w:t>Additional Activities:</w:t>
      </w:r>
    </w:p>
    <w:p w:rsidR="00000000" w:rsidRDefault="00216019">
      <w:pPr>
        <w:ind w:left="720"/>
        <w:rPr>
          <w:b/>
          <w:bCs/>
        </w:rPr>
      </w:pPr>
    </w:p>
    <w:p w:rsidR="00000000" w:rsidRDefault="00216019" w:rsidP="00216019">
      <w:pPr>
        <w:numPr>
          <w:ilvl w:val="1"/>
          <w:numId w:val="39"/>
        </w:numPr>
        <w:tabs>
          <w:tab w:val="clear" w:pos="1440"/>
          <w:tab w:val="num" w:pos="720"/>
        </w:tabs>
        <w:ind w:left="720"/>
      </w:pPr>
      <w:r>
        <w:t xml:space="preserve">Many local outreach coordinators are working with their local businesses, Chambers and workforce offices to assist in local outreach.  Dave Roederer, Executive Director of the Chamber Alliance participated </w:t>
      </w:r>
      <w:r>
        <w:t>in training for Local Outreach Coordinators to offer guidance in outreach to local businesses and chambers.</w:t>
      </w:r>
    </w:p>
    <w:p w:rsidR="00000000" w:rsidRDefault="00216019" w:rsidP="00216019">
      <w:pPr>
        <w:numPr>
          <w:ilvl w:val="1"/>
          <w:numId w:val="39"/>
        </w:numPr>
        <w:tabs>
          <w:tab w:val="clear" w:pos="1440"/>
          <w:tab w:val="num" w:pos="720"/>
        </w:tabs>
        <w:ind w:left="720"/>
      </w:pPr>
      <w:r>
        <w:lastRenderedPageBreak/>
        <w:t>The Iowa Chamber of Commerce Executives Association has also been engaged with outreach activities.</w:t>
      </w:r>
    </w:p>
    <w:p w:rsidR="00000000" w:rsidRDefault="00216019" w:rsidP="00216019">
      <w:pPr>
        <w:numPr>
          <w:ilvl w:val="1"/>
          <w:numId w:val="39"/>
        </w:numPr>
        <w:tabs>
          <w:tab w:val="clear" w:pos="1440"/>
          <w:tab w:val="num" w:pos="720"/>
        </w:tabs>
        <w:ind w:left="720"/>
      </w:pPr>
      <w:r>
        <w:t>A presentation was given to the Association of I</w:t>
      </w:r>
      <w:r>
        <w:t>owa Workforce Partners (AIWP).  AIWP is an association that addresses workforce and employment issues.  Most members of the association are Directors of Iowa’s regional workforce office and administer the PROMISE JOBS Program.</w:t>
      </w:r>
    </w:p>
    <w:p w:rsidR="00000000" w:rsidRDefault="00216019" w:rsidP="00216019">
      <w:pPr>
        <w:numPr>
          <w:ilvl w:val="1"/>
          <w:numId w:val="39"/>
        </w:numPr>
        <w:tabs>
          <w:tab w:val="clear" w:pos="1440"/>
          <w:tab w:val="num" w:pos="720"/>
        </w:tabs>
        <w:ind w:left="720"/>
      </w:pPr>
      <w:r>
        <w:t>The Drake Legal Clinic has al</w:t>
      </w:r>
      <w:r>
        <w:t xml:space="preserve">so agreed to have </w:t>
      </w:r>
      <w:r>
        <w:rPr>
          <w:b/>
          <w:i/>
        </w:rPr>
        <w:t>hawk</w:t>
      </w:r>
      <w:r>
        <w:rPr>
          <w:b/>
          <w:i/>
        </w:rPr>
        <w:noBreakHyphen/>
        <w:t>i</w:t>
      </w:r>
      <w:r>
        <w:t xml:space="preserve"> information available to its clients.</w:t>
      </w:r>
    </w:p>
    <w:p w:rsidR="00000000" w:rsidRDefault="00216019" w:rsidP="00216019">
      <w:pPr>
        <w:numPr>
          <w:ilvl w:val="1"/>
          <w:numId w:val="39"/>
        </w:numPr>
        <w:tabs>
          <w:tab w:val="clear" w:pos="1440"/>
          <w:tab w:val="num" w:pos="720"/>
        </w:tabs>
        <w:ind w:left="720"/>
      </w:pPr>
      <w:r>
        <w:t xml:space="preserve">During September, the Lt. Governor traveled across Iowa to lead seven community roundtable discussions about </w:t>
      </w:r>
      <w:r>
        <w:rPr>
          <w:b/>
          <w:i/>
        </w:rPr>
        <w:t>hawk</w:t>
      </w:r>
      <w:r>
        <w:rPr>
          <w:b/>
          <w:i/>
        </w:rPr>
        <w:noBreakHyphen/>
        <w:t>i</w:t>
      </w:r>
      <w:r>
        <w:t xml:space="preserve"> outreach strategies.  The roundtables were very well attended by a variety of</w:t>
      </w:r>
      <w:r>
        <w:t xml:space="preserve"> community outreach strategies.  The roundtables were very well attended by a variety of community representatives, including school nurses, medical providers, ministers, Farm Bureau agents, legislators, workforce agencies and childcare organizations.</w:t>
      </w:r>
    </w:p>
    <w:p w:rsidR="00000000" w:rsidRDefault="00216019" w:rsidP="00216019">
      <w:pPr>
        <w:numPr>
          <w:ilvl w:val="1"/>
          <w:numId w:val="39"/>
        </w:numPr>
        <w:tabs>
          <w:tab w:val="clear" w:pos="1440"/>
          <w:tab w:val="num" w:pos="720"/>
        </w:tabs>
        <w:ind w:left="720"/>
      </w:pPr>
      <w:r>
        <w:t xml:space="preserve">DHS </w:t>
      </w:r>
      <w:r>
        <w:t xml:space="preserve">and the Department of Education (DOE) continue to collaborate to allow schools and childcare providers who participate in the Free and Reduced Meals Program to make referrals to the </w:t>
      </w:r>
      <w:r>
        <w:rPr>
          <w:b/>
          <w:i/>
        </w:rPr>
        <w:t>hawk</w:t>
      </w:r>
      <w:r>
        <w:rPr>
          <w:b/>
          <w:i/>
        </w:rPr>
        <w:noBreakHyphen/>
        <w:t>i</w:t>
      </w:r>
      <w:r>
        <w:t xml:space="preserve"> Program for outreach purposes.  Under this initiative, the names of</w:t>
      </w:r>
      <w:r>
        <w:t xml:space="preserve"> applicants for the Free and Reduced Meals Program are referred to the </w:t>
      </w:r>
      <w:r>
        <w:rPr>
          <w:b/>
          <w:i/>
        </w:rPr>
        <w:t>hawk</w:t>
      </w:r>
      <w:r>
        <w:rPr>
          <w:b/>
          <w:i/>
        </w:rPr>
        <w:noBreakHyphen/>
        <w:t>i</w:t>
      </w:r>
      <w:r>
        <w:t xml:space="preserve"> Program unless the family specifically asked not to be referred.  Participating schools were asked to submit lists of names to MAXIMUS so an application and information about the</w:t>
      </w:r>
      <w:r>
        <w:t xml:space="preserve"> program can be mailed to the family.</w:t>
      </w:r>
    </w:p>
    <w:p w:rsidR="00000000" w:rsidRDefault="00216019" w:rsidP="00216019">
      <w:pPr>
        <w:numPr>
          <w:ilvl w:val="1"/>
          <w:numId w:val="39"/>
        </w:numPr>
        <w:tabs>
          <w:tab w:val="clear" w:pos="1440"/>
          <w:tab w:val="num" w:pos="720"/>
        </w:tabs>
        <w:ind w:left="720"/>
      </w:pPr>
      <w:r>
        <w:t xml:space="preserve">In March an informational letter and </w:t>
      </w:r>
      <w:r>
        <w:rPr>
          <w:b/>
          <w:i/>
        </w:rPr>
        <w:t>hawk</w:t>
      </w:r>
      <w:r>
        <w:rPr>
          <w:b/>
          <w:i/>
        </w:rPr>
        <w:noBreakHyphen/>
        <w:t>i</w:t>
      </w:r>
      <w:r>
        <w:t xml:space="preserve"> application was included in a mailing to 1,800 food stamp families who had children not identified as Medicaid eligible.   Completed applications have been received in respon</w:t>
      </w:r>
      <w:r>
        <w:t>se to the effort.  The Department will periodically repeat the mailing.</w:t>
      </w:r>
    </w:p>
    <w:p w:rsidR="00000000" w:rsidRDefault="00216019"/>
    <w:p w:rsidR="00000000" w:rsidRDefault="00216019">
      <w:r>
        <w:t xml:space="preserve">G.  </w:t>
      </w:r>
      <w:r>
        <w:rPr>
          <w:b/>
          <w:bCs/>
        </w:rPr>
        <w:t>Covering Kids and Families Grant Project:</w:t>
      </w:r>
    </w:p>
    <w:p w:rsidR="00000000" w:rsidRDefault="00216019">
      <w:pPr>
        <w:rPr>
          <w:b/>
          <w:bCs/>
        </w:rPr>
      </w:pPr>
    </w:p>
    <w:p w:rsidR="00000000" w:rsidRDefault="00216019">
      <w:pPr>
        <w:ind w:left="360"/>
      </w:pPr>
      <w:r>
        <w:t>The Iowa Covering Kids and Families Project is a statewide collaborative effort of state and local community-based agencies, child advoc</w:t>
      </w:r>
      <w:r>
        <w:t xml:space="preserve">acy groups, and professional organizations designed to increase access to health care coverage for all uninsured children in Iowa.  The program is made possible by a grant from the Robert Wood Johnson Foundation.  The statewide component, led by the State </w:t>
      </w:r>
      <w:r>
        <w:t>Covering Kids and Families Coalition and supported by the Iowa Department of Public Health, seeks to identify potential barriers to enrollment into all child health insurance programs and implement system changes to remove barriers.</w:t>
      </w:r>
    </w:p>
    <w:p w:rsidR="00000000" w:rsidRDefault="00216019">
      <w:pPr>
        <w:ind w:left="360"/>
      </w:pPr>
    </w:p>
    <w:p w:rsidR="00000000" w:rsidRDefault="00216019">
      <w:pPr>
        <w:ind w:left="360"/>
      </w:pPr>
      <w:r>
        <w:t xml:space="preserve">Administrators of the </w:t>
      </w:r>
      <w:r>
        <w:t>grant work collaboratively with DHS, Department of Education (DOE), grassroots Outreach Coordinators, advocates, medical providers, child care providers and others.  Covering Kids and Families project staff coordinate their efforts with DHS to promote cove</w:t>
      </w:r>
      <w:r>
        <w:t xml:space="preserve">rage for children and provides updates to the </w:t>
      </w:r>
      <w:r>
        <w:rPr>
          <w:b/>
          <w:i/>
        </w:rPr>
        <w:t>hawk</w:t>
      </w:r>
      <w:r>
        <w:rPr>
          <w:b/>
          <w:i/>
        </w:rPr>
        <w:noBreakHyphen/>
        <w:t>i</w:t>
      </w:r>
      <w:r>
        <w:t xml:space="preserve"> Board on key outreach activities taking place in communities across the state.</w:t>
      </w:r>
    </w:p>
    <w:p w:rsidR="00000000" w:rsidRDefault="00216019">
      <w:pPr>
        <w:ind w:left="-432"/>
        <w:rPr>
          <w:b/>
          <w:sz w:val="28"/>
        </w:rPr>
      </w:pPr>
      <w:r>
        <w:rPr>
          <w:b/>
          <w:sz w:val="28"/>
        </w:rPr>
        <w:br w:type="page"/>
      </w:r>
      <w:r>
        <w:rPr>
          <w:rFonts w:ascii="Times New Roman" w:hAnsi="Times New Roman"/>
          <w:b/>
          <w:sz w:val="28"/>
        </w:rPr>
        <w:lastRenderedPageBreak/>
        <w:t>V</w:t>
      </w:r>
      <w:r>
        <w:rPr>
          <w:b/>
          <w:sz w:val="28"/>
        </w:rPr>
        <w:t>.</w:t>
      </w:r>
      <w:r>
        <w:rPr>
          <w:sz w:val="28"/>
        </w:rPr>
        <w:t xml:space="preserve">  </w:t>
      </w:r>
      <w:r>
        <w:rPr>
          <w:b/>
          <w:i/>
          <w:sz w:val="28"/>
          <w:u w:val="single"/>
        </w:rPr>
        <w:t>hawk-i</w:t>
      </w:r>
      <w:r>
        <w:rPr>
          <w:b/>
          <w:sz w:val="28"/>
          <w:u w:val="single"/>
        </w:rPr>
        <w:t xml:space="preserve"> Enrollment and Referrals to Medicaid</w:t>
      </w:r>
      <w:r>
        <w:rPr>
          <w:b/>
          <w:sz w:val="28"/>
        </w:rPr>
        <w:t>:</w:t>
      </w:r>
    </w:p>
    <w:p w:rsidR="00000000" w:rsidRDefault="00216019">
      <w:pPr>
        <w:rPr>
          <w:b/>
          <w:sz w:val="28"/>
          <w:u w:val="single"/>
        </w:rPr>
      </w:pPr>
    </w:p>
    <w:p w:rsidR="00000000" w:rsidRDefault="00216019">
      <w:r>
        <w:t xml:space="preserve">The </w:t>
      </w:r>
      <w:r>
        <w:rPr>
          <w:b/>
          <w:i/>
        </w:rPr>
        <w:t>hawk-i</w:t>
      </w:r>
      <w:r>
        <w:t xml:space="preserve"> Program continued to experience growth in 2003.  Since January</w:t>
      </w:r>
      <w:r>
        <w:t xml:space="preserve"> 2003, the </w:t>
      </w:r>
      <w:r>
        <w:rPr>
          <w:b/>
          <w:i/>
        </w:rPr>
        <w:t>hawk-i</w:t>
      </w:r>
      <w:r>
        <w:t xml:space="preserve"> Program has received 14,688 applications.  Similar to past years, approximately 40% of all </w:t>
      </w:r>
      <w:r>
        <w:rPr>
          <w:b/>
          <w:i/>
        </w:rPr>
        <w:t>hawk-i</w:t>
      </w:r>
      <w:r>
        <w:t xml:space="preserve"> applications were referred to Medicaid.  Although the Medicaid Expansion component of SCHIP (Title XXI funded) remained constant in 2003, th</w:t>
      </w:r>
      <w:r>
        <w:t xml:space="preserve">e Medicaid program experienced significant growth in the number of children participating.  </w:t>
      </w:r>
    </w:p>
    <w:p w:rsidR="00000000" w:rsidRDefault="00216019">
      <w:pPr>
        <w:rPr>
          <w:b/>
          <w:u w:val="single"/>
        </w:rPr>
      </w:pPr>
    </w:p>
    <w:p w:rsidR="00000000" w:rsidRDefault="00216019">
      <w:pPr>
        <w:rPr>
          <w:b/>
        </w:rPr>
      </w:pPr>
      <w:r>
        <w:t xml:space="preserve">A.  </w:t>
      </w:r>
      <w:r>
        <w:rPr>
          <w:b/>
        </w:rPr>
        <w:t>Enrollment:</w:t>
      </w:r>
    </w:p>
    <w:p w:rsidR="00000000" w:rsidRDefault="00216019"/>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8"/>
        <w:gridCol w:w="2630"/>
        <w:gridCol w:w="2630"/>
      </w:tblGrid>
      <w:tr w:rsidR="00000000">
        <w:tblPrEx>
          <w:tblCellMar>
            <w:top w:w="0" w:type="dxa"/>
            <w:bottom w:w="0" w:type="dxa"/>
          </w:tblCellMar>
        </w:tblPrEx>
        <w:trPr>
          <w:jc w:val="center"/>
        </w:trPr>
        <w:tc>
          <w:tcPr>
            <w:tcW w:w="2858" w:type="dxa"/>
          </w:tcPr>
          <w:p w:rsidR="00000000" w:rsidRDefault="00216019">
            <w:pPr>
              <w:jc w:val="center"/>
            </w:pPr>
          </w:p>
          <w:p w:rsidR="00000000" w:rsidRDefault="00216019">
            <w:pPr>
              <w:jc w:val="center"/>
            </w:pPr>
            <w:r>
              <w:t>Program</w:t>
            </w:r>
          </w:p>
        </w:tc>
        <w:tc>
          <w:tcPr>
            <w:tcW w:w="2630" w:type="dxa"/>
          </w:tcPr>
          <w:p w:rsidR="00000000" w:rsidRDefault="00216019">
            <w:pPr>
              <w:jc w:val="center"/>
            </w:pPr>
            <w:r>
              <w:t>Enrollment as of</w:t>
            </w:r>
          </w:p>
          <w:p w:rsidR="00000000" w:rsidRDefault="00216019">
            <w:pPr>
              <w:jc w:val="center"/>
            </w:pPr>
            <w:r>
              <w:t>November 30, 2002</w:t>
            </w:r>
          </w:p>
        </w:tc>
        <w:tc>
          <w:tcPr>
            <w:tcW w:w="2630" w:type="dxa"/>
          </w:tcPr>
          <w:p w:rsidR="00000000" w:rsidRDefault="00216019">
            <w:pPr>
              <w:jc w:val="center"/>
            </w:pPr>
            <w:r>
              <w:t>Enrollment as of</w:t>
            </w:r>
          </w:p>
          <w:p w:rsidR="00000000" w:rsidRDefault="00216019">
            <w:pPr>
              <w:jc w:val="center"/>
            </w:pPr>
            <w:r>
              <w:t>November 30, 2003</w:t>
            </w:r>
          </w:p>
        </w:tc>
      </w:tr>
      <w:tr w:rsidR="00000000">
        <w:tblPrEx>
          <w:tblCellMar>
            <w:top w:w="0" w:type="dxa"/>
            <w:bottom w:w="0" w:type="dxa"/>
          </w:tblCellMar>
        </w:tblPrEx>
        <w:trPr>
          <w:jc w:val="center"/>
        </w:trPr>
        <w:tc>
          <w:tcPr>
            <w:tcW w:w="2858" w:type="dxa"/>
          </w:tcPr>
          <w:p w:rsidR="00000000" w:rsidRDefault="00216019">
            <w:r>
              <w:t>Medicaid Expansion</w:t>
            </w:r>
          </w:p>
        </w:tc>
        <w:tc>
          <w:tcPr>
            <w:tcW w:w="2630" w:type="dxa"/>
          </w:tcPr>
          <w:p w:rsidR="00000000" w:rsidRDefault="00216019">
            <w:pPr>
              <w:jc w:val="center"/>
            </w:pPr>
            <w:r>
              <w:t>12,203</w:t>
            </w:r>
          </w:p>
        </w:tc>
        <w:tc>
          <w:tcPr>
            <w:tcW w:w="2630" w:type="dxa"/>
          </w:tcPr>
          <w:p w:rsidR="00000000" w:rsidRDefault="00216019">
            <w:pPr>
              <w:jc w:val="center"/>
            </w:pPr>
            <w:r>
              <w:t>13,820</w:t>
            </w:r>
          </w:p>
        </w:tc>
      </w:tr>
      <w:tr w:rsidR="00000000">
        <w:tblPrEx>
          <w:tblCellMar>
            <w:top w:w="0" w:type="dxa"/>
            <w:bottom w:w="0" w:type="dxa"/>
          </w:tblCellMar>
        </w:tblPrEx>
        <w:trPr>
          <w:jc w:val="center"/>
        </w:trPr>
        <w:tc>
          <w:tcPr>
            <w:tcW w:w="2858" w:type="dxa"/>
          </w:tcPr>
          <w:p w:rsidR="00000000" w:rsidRDefault="00216019">
            <w:r>
              <w:rPr>
                <w:b/>
                <w:i/>
              </w:rPr>
              <w:t>hawk-i</w:t>
            </w:r>
            <w:r>
              <w:t xml:space="preserve"> Program</w:t>
            </w:r>
          </w:p>
        </w:tc>
        <w:tc>
          <w:tcPr>
            <w:tcW w:w="2630" w:type="dxa"/>
          </w:tcPr>
          <w:p w:rsidR="00000000" w:rsidRDefault="00216019">
            <w:pPr>
              <w:jc w:val="center"/>
            </w:pPr>
            <w:r>
              <w:t>13,998</w:t>
            </w:r>
          </w:p>
        </w:tc>
        <w:tc>
          <w:tcPr>
            <w:tcW w:w="2630" w:type="dxa"/>
          </w:tcPr>
          <w:p w:rsidR="00000000" w:rsidRDefault="00216019">
            <w:pPr>
              <w:jc w:val="center"/>
            </w:pPr>
            <w:r>
              <w:t>15,710</w:t>
            </w:r>
          </w:p>
        </w:tc>
      </w:tr>
      <w:tr w:rsidR="00000000">
        <w:tblPrEx>
          <w:tblCellMar>
            <w:top w:w="0" w:type="dxa"/>
            <w:bottom w:w="0" w:type="dxa"/>
          </w:tblCellMar>
        </w:tblPrEx>
        <w:trPr>
          <w:jc w:val="center"/>
        </w:trPr>
        <w:tc>
          <w:tcPr>
            <w:tcW w:w="2858" w:type="dxa"/>
          </w:tcPr>
          <w:p w:rsidR="00000000" w:rsidRDefault="00216019">
            <w:r>
              <w:t>T</w:t>
            </w:r>
            <w:r>
              <w:t>otal SCHIP Enrollment</w:t>
            </w:r>
          </w:p>
        </w:tc>
        <w:tc>
          <w:tcPr>
            <w:tcW w:w="2630" w:type="dxa"/>
          </w:tcPr>
          <w:p w:rsidR="00000000" w:rsidRDefault="00216019">
            <w:pPr>
              <w:jc w:val="center"/>
            </w:pPr>
            <w:r>
              <w:t>26,201</w:t>
            </w:r>
          </w:p>
        </w:tc>
        <w:tc>
          <w:tcPr>
            <w:tcW w:w="2630" w:type="dxa"/>
          </w:tcPr>
          <w:p w:rsidR="00000000" w:rsidRDefault="00216019">
            <w:pPr>
              <w:jc w:val="center"/>
            </w:pPr>
            <w:r>
              <w:t>29,530</w:t>
            </w:r>
          </w:p>
        </w:tc>
      </w:tr>
    </w:tbl>
    <w:p w:rsidR="00000000" w:rsidRDefault="00216019">
      <w:pPr>
        <w:rPr>
          <w:b/>
          <w:u w:val="single"/>
        </w:rPr>
      </w:pPr>
    </w:p>
    <w:p w:rsidR="00000000" w:rsidRDefault="00216019">
      <w:pPr>
        <w:tabs>
          <w:tab w:val="left" w:pos="360"/>
        </w:tabs>
        <w:ind w:left="720"/>
        <w:rPr>
          <w:i/>
        </w:rPr>
      </w:pPr>
      <w:r>
        <w:rPr>
          <w:i/>
        </w:rPr>
        <w:t xml:space="preserve">Attachment 4: Organization of the </w:t>
      </w:r>
      <w:r>
        <w:rPr>
          <w:b/>
          <w:i/>
        </w:rPr>
        <w:t xml:space="preserve">hawk-i </w:t>
      </w:r>
      <w:r>
        <w:rPr>
          <w:i/>
        </w:rPr>
        <w:t>Program Chart, History of Participation of Children in Medicaid and</w:t>
      </w:r>
      <w:r>
        <w:rPr>
          <w:b/>
          <w:i/>
        </w:rPr>
        <w:t xml:space="preserve"> hawk-i, </w:t>
      </w:r>
      <w:r>
        <w:rPr>
          <w:i/>
        </w:rPr>
        <w:t xml:space="preserve">Iowa’s SCHIP Program Combination Medicaid Expansion and </w:t>
      </w:r>
      <w:r>
        <w:rPr>
          <w:b/>
          <w:i/>
        </w:rPr>
        <w:t xml:space="preserve">hawk-i, </w:t>
      </w:r>
      <w:r>
        <w:rPr>
          <w:i/>
        </w:rPr>
        <w:t>Enrollee Demographic Summary by Feder</w:t>
      </w:r>
      <w:r>
        <w:rPr>
          <w:i/>
        </w:rPr>
        <w:t xml:space="preserve">al Poverty Level, Enrollee Demographic Summary by Age, Enrollee Demographic Summary by Gender </w:t>
      </w:r>
    </w:p>
    <w:p w:rsidR="00000000" w:rsidRDefault="00216019"/>
    <w:p w:rsidR="00000000" w:rsidRDefault="00216019">
      <w:pPr>
        <w:rPr>
          <w:b/>
          <w:u w:val="single"/>
        </w:rPr>
      </w:pPr>
      <w:r>
        <w:t xml:space="preserve">B.  </w:t>
      </w:r>
      <w:r>
        <w:rPr>
          <w:b/>
        </w:rPr>
        <w:t>Unduplicated Number of Children Enrolled by Federal Fiscal Year:</w:t>
      </w:r>
    </w:p>
    <w:p w:rsidR="00000000" w:rsidRDefault="00216019">
      <w:pPr>
        <w:ind w:left="360"/>
        <w:rPr>
          <w:snapToGrid w:val="0"/>
        </w:rPr>
      </w:pPr>
    </w:p>
    <w:p w:rsidR="00000000" w:rsidRDefault="00216019">
      <w:pPr>
        <w:ind w:left="360"/>
        <w:rPr>
          <w:snapToGrid w:val="0"/>
        </w:rPr>
      </w:pPr>
      <w:r>
        <w:rPr>
          <w:snapToGrid w:val="0"/>
        </w:rPr>
        <w:t>The Department developed a table of the number identifying children enrolled (unduplicated</w:t>
      </w:r>
      <w:r>
        <w:rPr>
          <w:snapToGrid w:val="0"/>
        </w:rPr>
        <w:t xml:space="preserve">) in the </w:t>
      </w:r>
      <w:r>
        <w:rPr>
          <w:b/>
          <w:i/>
          <w:snapToGrid w:val="0"/>
        </w:rPr>
        <w:t xml:space="preserve">hawk-i </w:t>
      </w:r>
      <w:r>
        <w:rPr>
          <w:snapToGrid w:val="0"/>
        </w:rPr>
        <w:t xml:space="preserve">Program at any time during the FFY (October 1 through September 30) by federal poverty level for FFYs 2000, 2001, 2002 and 2003.  Each child enrolled in </w:t>
      </w:r>
      <w:r>
        <w:rPr>
          <w:b/>
          <w:i/>
          <w:snapToGrid w:val="0"/>
        </w:rPr>
        <w:t>hawk-i</w:t>
      </w:r>
      <w:r>
        <w:rPr>
          <w:snapToGrid w:val="0"/>
        </w:rPr>
        <w:t xml:space="preserve"> is counted </w:t>
      </w:r>
      <w:r>
        <w:rPr>
          <w:snapToGrid w:val="0"/>
          <w:u w:val="single"/>
        </w:rPr>
        <w:t>once</w:t>
      </w:r>
      <w:r>
        <w:rPr>
          <w:snapToGrid w:val="0"/>
        </w:rPr>
        <w:t xml:space="preserve"> regardless of the number of times he or she was enrolled or re-e</w:t>
      </w:r>
      <w:r>
        <w:rPr>
          <w:snapToGrid w:val="0"/>
        </w:rPr>
        <w:t>nrolled in the program during the year.  This unduplicated count represents the total children served by the program rather than point-in-time enrollment.</w:t>
      </w:r>
    </w:p>
    <w:p w:rsidR="00000000" w:rsidRDefault="00216019">
      <w:pPr>
        <w:rPr>
          <w:snapToGrid w:val="0"/>
        </w:rPr>
      </w:pPr>
    </w:p>
    <w:p w:rsidR="00000000" w:rsidRDefault="00216019">
      <w:pPr>
        <w:jc w:val="center"/>
        <w:rPr>
          <w:b/>
          <w:bCs/>
          <w:snapToGrid w:val="0"/>
          <w:sz w:val="28"/>
        </w:rPr>
      </w:pPr>
      <w:r>
        <w:rPr>
          <w:b/>
          <w:bCs/>
          <w:snapToGrid w:val="0"/>
          <w:sz w:val="28"/>
        </w:rPr>
        <w:t xml:space="preserve">Unduplicated Number of </w:t>
      </w:r>
      <w:r>
        <w:rPr>
          <w:b/>
          <w:bCs/>
          <w:i/>
          <w:snapToGrid w:val="0"/>
          <w:sz w:val="28"/>
        </w:rPr>
        <w:t>hawk</w:t>
      </w:r>
      <w:r>
        <w:rPr>
          <w:b/>
          <w:bCs/>
          <w:i/>
          <w:snapToGrid w:val="0"/>
          <w:sz w:val="28"/>
        </w:rPr>
        <w:noBreakHyphen/>
        <w:t>i</w:t>
      </w:r>
      <w:r>
        <w:rPr>
          <w:b/>
          <w:bCs/>
          <w:snapToGrid w:val="0"/>
          <w:sz w:val="28"/>
        </w:rPr>
        <w:t xml:space="preserve"> Children Enrolled by FFY</w:t>
      </w:r>
    </w:p>
    <w:tbl>
      <w:tblPr>
        <w:tblW w:w="0" w:type="auto"/>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1"/>
        <w:gridCol w:w="1036"/>
        <w:gridCol w:w="1827"/>
        <w:gridCol w:w="1827"/>
        <w:gridCol w:w="1284"/>
        <w:gridCol w:w="1351"/>
      </w:tblGrid>
      <w:tr w:rsidR="00000000">
        <w:tblPrEx>
          <w:tblCellMar>
            <w:top w:w="0" w:type="dxa"/>
            <w:bottom w:w="0" w:type="dxa"/>
          </w:tblCellMar>
        </w:tblPrEx>
        <w:trPr>
          <w:cantSplit/>
          <w:jc w:val="center"/>
        </w:trPr>
        <w:tc>
          <w:tcPr>
            <w:tcW w:w="1431" w:type="dxa"/>
            <w:vMerge w:val="restart"/>
          </w:tcPr>
          <w:p w:rsidR="00000000" w:rsidRDefault="00216019"/>
        </w:tc>
        <w:tc>
          <w:tcPr>
            <w:tcW w:w="5974" w:type="dxa"/>
            <w:gridSpan w:val="4"/>
            <w:vAlign w:val="center"/>
          </w:tcPr>
          <w:p w:rsidR="00000000" w:rsidRDefault="00216019">
            <w:pPr>
              <w:pStyle w:val="Heading1"/>
              <w:jc w:val="center"/>
              <w:rPr>
                <w:b/>
                <w:bCs/>
                <w:sz w:val="28"/>
              </w:rPr>
            </w:pPr>
            <w:r>
              <w:rPr>
                <w:b/>
                <w:bCs/>
                <w:sz w:val="28"/>
              </w:rPr>
              <w:t>Federal Poverty Level</w:t>
            </w:r>
          </w:p>
        </w:tc>
        <w:tc>
          <w:tcPr>
            <w:tcW w:w="1351" w:type="dxa"/>
            <w:vMerge w:val="restart"/>
            <w:vAlign w:val="center"/>
          </w:tcPr>
          <w:p w:rsidR="00000000" w:rsidRDefault="00216019">
            <w:pPr>
              <w:jc w:val="center"/>
              <w:rPr>
                <w:b/>
                <w:sz w:val="22"/>
              </w:rPr>
            </w:pPr>
            <w:r>
              <w:rPr>
                <w:b/>
                <w:sz w:val="22"/>
              </w:rPr>
              <w:t>Total Children Served</w:t>
            </w:r>
          </w:p>
        </w:tc>
      </w:tr>
      <w:tr w:rsidR="00000000">
        <w:tblPrEx>
          <w:tblCellMar>
            <w:top w:w="0" w:type="dxa"/>
            <w:bottom w:w="0" w:type="dxa"/>
          </w:tblCellMar>
        </w:tblPrEx>
        <w:trPr>
          <w:cantSplit/>
          <w:jc w:val="center"/>
        </w:trPr>
        <w:tc>
          <w:tcPr>
            <w:tcW w:w="1431" w:type="dxa"/>
            <w:vMerge/>
          </w:tcPr>
          <w:p w:rsidR="00000000" w:rsidRDefault="00216019"/>
        </w:tc>
        <w:tc>
          <w:tcPr>
            <w:tcW w:w="1036" w:type="dxa"/>
          </w:tcPr>
          <w:p w:rsidR="00000000" w:rsidRDefault="00216019">
            <w:pPr>
              <w:rPr>
                <w:b/>
                <w:sz w:val="22"/>
              </w:rPr>
            </w:pPr>
          </w:p>
          <w:p w:rsidR="00000000" w:rsidRDefault="00216019">
            <w:pPr>
              <w:rPr>
                <w:b/>
                <w:sz w:val="22"/>
              </w:rPr>
            </w:pPr>
            <w:r>
              <w:rPr>
                <w:b/>
                <w:sz w:val="22"/>
              </w:rPr>
              <w:t>&lt;=100%</w:t>
            </w:r>
          </w:p>
        </w:tc>
        <w:tc>
          <w:tcPr>
            <w:tcW w:w="1827" w:type="dxa"/>
          </w:tcPr>
          <w:p w:rsidR="00000000" w:rsidRDefault="00216019">
            <w:pPr>
              <w:rPr>
                <w:b/>
                <w:sz w:val="22"/>
              </w:rPr>
            </w:pPr>
          </w:p>
          <w:p w:rsidR="00000000" w:rsidRDefault="00216019">
            <w:pPr>
              <w:rPr>
                <w:b/>
                <w:sz w:val="22"/>
              </w:rPr>
            </w:pPr>
            <w:r>
              <w:rPr>
                <w:b/>
                <w:sz w:val="22"/>
              </w:rPr>
              <w:t>&gt;100%&lt;=150%</w:t>
            </w:r>
          </w:p>
        </w:tc>
        <w:tc>
          <w:tcPr>
            <w:tcW w:w="1827" w:type="dxa"/>
          </w:tcPr>
          <w:p w:rsidR="00000000" w:rsidRDefault="00216019">
            <w:pPr>
              <w:rPr>
                <w:b/>
                <w:sz w:val="22"/>
              </w:rPr>
            </w:pPr>
          </w:p>
          <w:p w:rsidR="00000000" w:rsidRDefault="00216019">
            <w:pPr>
              <w:rPr>
                <w:b/>
                <w:sz w:val="22"/>
              </w:rPr>
            </w:pPr>
            <w:r>
              <w:rPr>
                <w:b/>
                <w:sz w:val="22"/>
              </w:rPr>
              <w:t>&gt;150%&lt;=200%</w:t>
            </w:r>
          </w:p>
        </w:tc>
        <w:tc>
          <w:tcPr>
            <w:tcW w:w="1284" w:type="dxa"/>
          </w:tcPr>
          <w:p w:rsidR="00000000" w:rsidRDefault="00216019">
            <w:pPr>
              <w:rPr>
                <w:b/>
                <w:sz w:val="22"/>
              </w:rPr>
            </w:pPr>
          </w:p>
          <w:p w:rsidR="00000000" w:rsidRDefault="00216019">
            <w:pPr>
              <w:rPr>
                <w:b/>
                <w:sz w:val="22"/>
              </w:rPr>
            </w:pPr>
            <w:r>
              <w:rPr>
                <w:b/>
                <w:sz w:val="22"/>
              </w:rPr>
              <w:t>&gt;200%</w:t>
            </w:r>
          </w:p>
        </w:tc>
        <w:tc>
          <w:tcPr>
            <w:tcW w:w="1351" w:type="dxa"/>
            <w:vMerge/>
          </w:tcPr>
          <w:p w:rsidR="00000000" w:rsidRDefault="00216019">
            <w:pPr>
              <w:rPr>
                <w:b/>
              </w:rPr>
            </w:pPr>
          </w:p>
        </w:tc>
      </w:tr>
      <w:tr w:rsidR="00000000">
        <w:tblPrEx>
          <w:tblCellMar>
            <w:top w:w="0" w:type="dxa"/>
            <w:bottom w:w="0" w:type="dxa"/>
          </w:tblCellMar>
        </w:tblPrEx>
        <w:trPr>
          <w:jc w:val="center"/>
        </w:trPr>
        <w:tc>
          <w:tcPr>
            <w:tcW w:w="1431" w:type="dxa"/>
          </w:tcPr>
          <w:p w:rsidR="00000000" w:rsidRDefault="00216019">
            <w:pPr>
              <w:pStyle w:val="BodyText"/>
              <w:rPr>
                <w:b/>
                <w:bCs/>
                <w:i w:val="0"/>
                <w:iCs/>
                <w:sz w:val="20"/>
              </w:rPr>
            </w:pPr>
            <w:r>
              <w:rPr>
                <w:b/>
                <w:bCs/>
                <w:i w:val="0"/>
                <w:iCs/>
                <w:sz w:val="20"/>
              </w:rPr>
              <w:t>Federal Fiscal</w:t>
            </w:r>
          </w:p>
          <w:p w:rsidR="00000000" w:rsidRDefault="00216019">
            <w:pPr>
              <w:rPr>
                <w:b/>
                <w:bCs/>
                <w:iCs/>
                <w:sz w:val="20"/>
              </w:rPr>
            </w:pPr>
            <w:r>
              <w:rPr>
                <w:b/>
                <w:bCs/>
                <w:iCs/>
                <w:sz w:val="20"/>
              </w:rPr>
              <w:t>Year 2000</w:t>
            </w:r>
          </w:p>
        </w:tc>
        <w:tc>
          <w:tcPr>
            <w:tcW w:w="1036" w:type="dxa"/>
          </w:tcPr>
          <w:p w:rsidR="00000000" w:rsidRDefault="00216019">
            <w:pPr>
              <w:jc w:val="center"/>
            </w:pPr>
          </w:p>
          <w:p w:rsidR="00000000" w:rsidRDefault="00216019">
            <w:pPr>
              <w:jc w:val="center"/>
            </w:pPr>
            <w:r>
              <w:t>285</w:t>
            </w:r>
          </w:p>
        </w:tc>
        <w:tc>
          <w:tcPr>
            <w:tcW w:w="1827" w:type="dxa"/>
          </w:tcPr>
          <w:p w:rsidR="00000000" w:rsidRDefault="00216019">
            <w:pPr>
              <w:jc w:val="center"/>
            </w:pPr>
          </w:p>
          <w:p w:rsidR="00000000" w:rsidRDefault="00216019">
            <w:pPr>
              <w:jc w:val="center"/>
            </w:pPr>
            <w:r>
              <w:t>4,840</w:t>
            </w:r>
          </w:p>
        </w:tc>
        <w:tc>
          <w:tcPr>
            <w:tcW w:w="1827" w:type="dxa"/>
          </w:tcPr>
          <w:p w:rsidR="00000000" w:rsidRDefault="00216019">
            <w:pPr>
              <w:jc w:val="center"/>
            </w:pPr>
          </w:p>
          <w:p w:rsidR="00000000" w:rsidRDefault="00216019">
            <w:pPr>
              <w:jc w:val="center"/>
            </w:pPr>
            <w:r>
              <w:t>3,416</w:t>
            </w:r>
          </w:p>
        </w:tc>
        <w:tc>
          <w:tcPr>
            <w:tcW w:w="1284" w:type="dxa"/>
          </w:tcPr>
          <w:p w:rsidR="00000000" w:rsidRDefault="00216019">
            <w:pPr>
              <w:jc w:val="center"/>
            </w:pPr>
          </w:p>
          <w:p w:rsidR="00000000" w:rsidRDefault="00216019">
            <w:pPr>
              <w:jc w:val="center"/>
            </w:pPr>
            <w:r>
              <w:t>158</w:t>
            </w:r>
          </w:p>
        </w:tc>
        <w:tc>
          <w:tcPr>
            <w:tcW w:w="1351" w:type="dxa"/>
          </w:tcPr>
          <w:p w:rsidR="00000000" w:rsidRDefault="00216019">
            <w:pPr>
              <w:jc w:val="center"/>
            </w:pPr>
          </w:p>
          <w:p w:rsidR="00000000" w:rsidRDefault="00216019">
            <w:pPr>
              <w:jc w:val="center"/>
            </w:pPr>
            <w:r>
              <w:t>8,699</w:t>
            </w:r>
          </w:p>
        </w:tc>
      </w:tr>
      <w:tr w:rsidR="00000000">
        <w:tblPrEx>
          <w:tblCellMar>
            <w:top w:w="0" w:type="dxa"/>
            <w:bottom w:w="0" w:type="dxa"/>
          </w:tblCellMar>
        </w:tblPrEx>
        <w:trPr>
          <w:jc w:val="center"/>
        </w:trPr>
        <w:tc>
          <w:tcPr>
            <w:tcW w:w="1431" w:type="dxa"/>
          </w:tcPr>
          <w:p w:rsidR="00000000" w:rsidRDefault="00216019">
            <w:pPr>
              <w:rPr>
                <w:b/>
                <w:bCs/>
                <w:sz w:val="20"/>
              </w:rPr>
            </w:pPr>
            <w:r>
              <w:rPr>
                <w:b/>
                <w:bCs/>
                <w:sz w:val="20"/>
              </w:rPr>
              <w:t>Federal Fiscal</w:t>
            </w:r>
          </w:p>
          <w:p w:rsidR="00000000" w:rsidRDefault="00216019">
            <w:pPr>
              <w:rPr>
                <w:b/>
                <w:bCs/>
                <w:sz w:val="20"/>
              </w:rPr>
            </w:pPr>
            <w:r>
              <w:rPr>
                <w:b/>
                <w:bCs/>
                <w:sz w:val="20"/>
              </w:rPr>
              <w:t>Year 2001</w:t>
            </w:r>
          </w:p>
        </w:tc>
        <w:tc>
          <w:tcPr>
            <w:tcW w:w="1036" w:type="dxa"/>
          </w:tcPr>
          <w:p w:rsidR="00000000" w:rsidRDefault="00216019">
            <w:pPr>
              <w:jc w:val="center"/>
            </w:pPr>
          </w:p>
          <w:p w:rsidR="00000000" w:rsidRDefault="00216019">
            <w:pPr>
              <w:jc w:val="center"/>
            </w:pPr>
            <w:r>
              <w:t>679</w:t>
            </w:r>
          </w:p>
        </w:tc>
        <w:tc>
          <w:tcPr>
            <w:tcW w:w="1827" w:type="dxa"/>
          </w:tcPr>
          <w:p w:rsidR="00000000" w:rsidRDefault="00216019">
            <w:pPr>
              <w:jc w:val="center"/>
            </w:pPr>
          </w:p>
          <w:p w:rsidR="00000000" w:rsidRDefault="00216019">
            <w:pPr>
              <w:jc w:val="center"/>
            </w:pPr>
            <w:r>
              <w:t>8,760</w:t>
            </w:r>
          </w:p>
        </w:tc>
        <w:tc>
          <w:tcPr>
            <w:tcW w:w="1827" w:type="dxa"/>
          </w:tcPr>
          <w:p w:rsidR="00000000" w:rsidRDefault="00216019">
            <w:pPr>
              <w:jc w:val="center"/>
            </w:pPr>
          </w:p>
          <w:p w:rsidR="00000000" w:rsidRDefault="00216019">
            <w:pPr>
              <w:jc w:val="center"/>
            </w:pPr>
            <w:r>
              <w:t>6,977</w:t>
            </w:r>
          </w:p>
        </w:tc>
        <w:tc>
          <w:tcPr>
            <w:tcW w:w="1284" w:type="dxa"/>
          </w:tcPr>
          <w:p w:rsidR="00000000" w:rsidRDefault="00216019">
            <w:pPr>
              <w:jc w:val="center"/>
            </w:pPr>
          </w:p>
          <w:p w:rsidR="00000000" w:rsidRDefault="00216019">
            <w:pPr>
              <w:jc w:val="center"/>
            </w:pPr>
            <w:r>
              <w:t>256</w:t>
            </w:r>
          </w:p>
        </w:tc>
        <w:tc>
          <w:tcPr>
            <w:tcW w:w="1351" w:type="dxa"/>
          </w:tcPr>
          <w:p w:rsidR="00000000" w:rsidRDefault="00216019">
            <w:pPr>
              <w:jc w:val="center"/>
            </w:pPr>
          </w:p>
          <w:p w:rsidR="00000000" w:rsidRDefault="00216019">
            <w:pPr>
              <w:jc w:val="center"/>
            </w:pPr>
            <w:r>
              <w:t>16,672</w:t>
            </w:r>
          </w:p>
        </w:tc>
      </w:tr>
      <w:tr w:rsidR="00000000">
        <w:tblPrEx>
          <w:tblCellMar>
            <w:top w:w="0" w:type="dxa"/>
            <w:bottom w:w="0" w:type="dxa"/>
          </w:tblCellMar>
        </w:tblPrEx>
        <w:trPr>
          <w:jc w:val="center"/>
        </w:trPr>
        <w:tc>
          <w:tcPr>
            <w:tcW w:w="1431" w:type="dxa"/>
          </w:tcPr>
          <w:p w:rsidR="00000000" w:rsidRDefault="00216019">
            <w:pPr>
              <w:rPr>
                <w:b/>
                <w:bCs/>
                <w:sz w:val="20"/>
              </w:rPr>
            </w:pPr>
            <w:r>
              <w:rPr>
                <w:b/>
                <w:bCs/>
                <w:sz w:val="20"/>
              </w:rPr>
              <w:t>Federal Fiscal</w:t>
            </w:r>
          </w:p>
          <w:p w:rsidR="00000000" w:rsidRDefault="00216019">
            <w:pPr>
              <w:rPr>
                <w:b/>
                <w:bCs/>
                <w:sz w:val="20"/>
              </w:rPr>
            </w:pPr>
            <w:r>
              <w:rPr>
                <w:b/>
                <w:bCs/>
                <w:sz w:val="20"/>
              </w:rPr>
              <w:t>Year 2002</w:t>
            </w:r>
          </w:p>
        </w:tc>
        <w:tc>
          <w:tcPr>
            <w:tcW w:w="1036" w:type="dxa"/>
          </w:tcPr>
          <w:p w:rsidR="00000000" w:rsidRDefault="00216019">
            <w:pPr>
              <w:jc w:val="center"/>
            </w:pPr>
          </w:p>
          <w:p w:rsidR="00000000" w:rsidRDefault="00216019">
            <w:pPr>
              <w:jc w:val="center"/>
            </w:pPr>
            <w:r>
              <w:t>682</w:t>
            </w:r>
          </w:p>
        </w:tc>
        <w:tc>
          <w:tcPr>
            <w:tcW w:w="1827" w:type="dxa"/>
          </w:tcPr>
          <w:p w:rsidR="00000000" w:rsidRDefault="00216019">
            <w:pPr>
              <w:jc w:val="center"/>
            </w:pPr>
          </w:p>
          <w:p w:rsidR="00000000" w:rsidRDefault="00216019">
            <w:pPr>
              <w:jc w:val="center"/>
            </w:pPr>
            <w:r>
              <w:t>10,415</w:t>
            </w:r>
          </w:p>
        </w:tc>
        <w:tc>
          <w:tcPr>
            <w:tcW w:w="1827" w:type="dxa"/>
          </w:tcPr>
          <w:p w:rsidR="00000000" w:rsidRDefault="00216019">
            <w:pPr>
              <w:jc w:val="center"/>
            </w:pPr>
          </w:p>
          <w:p w:rsidR="00000000" w:rsidRDefault="00216019">
            <w:pPr>
              <w:jc w:val="center"/>
            </w:pPr>
            <w:r>
              <w:t>10,034</w:t>
            </w:r>
          </w:p>
        </w:tc>
        <w:tc>
          <w:tcPr>
            <w:tcW w:w="1284" w:type="dxa"/>
          </w:tcPr>
          <w:p w:rsidR="00000000" w:rsidRDefault="00216019">
            <w:pPr>
              <w:jc w:val="center"/>
            </w:pPr>
          </w:p>
          <w:p w:rsidR="00000000" w:rsidRDefault="00216019">
            <w:pPr>
              <w:jc w:val="center"/>
            </w:pPr>
            <w:r>
              <w:t>3</w:t>
            </w:r>
          </w:p>
        </w:tc>
        <w:tc>
          <w:tcPr>
            <w:tcW w:w="1351" w:type="dxa"/>
          </w:tcPr>
          <w:p w:rsidR="00000000" w:rsidRDefault="00216019">
            <w:pPr>
              <w:jc w:val="center"/>
            </w:pPr>
          </w:p>
          <w:p w:rsidR="00000000" w:rsidRDefault="00216019">
            <w:pPr>
              <w:jc w:val="center"/>
            </w:pPr>
            <w:r>
              <w:t>21,134</w:t>
            </w:r>
          </w:p>
        </w:tc>
      </w:tr>
      <w:tr w:rsidR="00000000">
        <w:tblPrEx>
          <w:tblCellMar>
            <w:top w:w="0" w:type="dxa"/>
            <w:bottom w:w="0" w:type="dxa"/>
          </w:tblCellMar>
        </w:tblPrEx>
        <w:trPr>
          <w:jc w:val="center"/>
        </w:trPr>
        <w:tc>
          <w:tcPr>
            <w:tcW w:w="1431" w:type="dxa"/>
          </w:tcPr>
          <w:p w:rsidR="00000000" w:rsidRDefault="00216019">
            <w:pPr>
              <w:rPr>
                <w:b/>
                <w:bCs/>
                <w:sz w:val="20"/>
              </w:rPr>
            </w:pPr>
            <w:r>
              <w:rPr>
                <w:b/>
                <w:bCs/>
                <w:sz w:val="20"/>
              </w:rPr>
              <w:t>Federal Fiscal</w:t>
            </w:r>
          </w:p>
          <w:p w:rsidR="00000000" w:rsidRDefault="00216019">
            <w:pPr>
              <w:rPr>
                <w:b/>
                <w:bCs/>
                <w:sz w:val="20"/>
              </w:rPr>
            </w:pPr>
            <w:r>
              <w:rPr>
                <w:b/>
                <w:bCs/>
                <w:sz w:val="20"/>
              </w:rPr>
              <w:t>Year 2003</w:t>
            </w:r>
          </w:p>
        </w:tc>
        <w:tc>
          <w:tcPr>
            <w:tcW w:w="1036" w:type="dxa"/>
          </w:tcPr>
          <w:p w:rsidR="00000000" w:rsidRDefault="00216019">
            <w:pPr>
              <w:jc w:val="center"/>
            </w:pPr>
          </w:p>
          <w:p w:rsidR="00000000" w:rsidRDefault="00216019">
            <w:pPr>
              <w:jc w:val="center"/>
            </w:pPr>
            <w:r>
              <w:t>956</w:t>
            </w:r>
          </w:p>
        </w:tc>
        <w:tc>
          <w:tcPr>
            <w:tcW w:w="1827" w:type="dxa"/>
          </w:tcPr>
          <w:p w:rsidR="00000000" w:rsidRDefault="00216019">
            <w:pPr>
              <w:jc w:val="center"/>
            </w:pPr>
          </w:p>
          <w:p w:rsidR="00000000" w:rsidRDefault="00216019">
            <w:pPr>
              <w:jc w:val="center"/>
            </w:pPr>
            <w:r>
              <w:t>10,617</w:t>
            </w:r>
          </w:p>
        </w:tc>
        <w:tc>
          <w:tcPr>
            <w:tcW w:w="1827" w:type="dxa"/>
          </w:tcPr>
          <w:p w:rsidR="00000000" w:rsidRDefault="00216019">
            <w:pPr>
              <w:jc w:val="center"/>
            </w:pPr>
          </w:p>
          <w:p w:rsidR="00000000" w:rsidRDefault="00216019">
            <w:pPr>
              <w:jc w:val="center"/>
            </w:pPr>
            <w:r>
              <w:t>11,486</w:t>
            </w:r>
          </w:p>
        </w:tc>
        <w:tc>
          <w:tcPr>
            <w:tcW w:w="1284" w:type="dxa"/>
          </w:tcPr>
          <w:p w:rsidR="00000000" w:rsidRDefault="00216019">
            <w:pPr>
              <w:jc w:val="center"/>
            </w:pPr>
          </w:p>
          <w:p w:rsidR="00000000" w:rsidRDefault="00216019">
            <w:pPr>
              <w:jc w:val="center"/>
            </w:pPr>
            <w:r>
              <w:t>0</w:t>
            </w:r>
          </w:p>
        </w:tc>
        <w:tc>
          <w:tcPr>
            <w:tcW w:w="1351" w:type="dxa"/>
          </w:tcPr>
          <w:p w:rsidR="00000000" w:rsidRDefault="00216019">
            <w:pPr>
              <w:jc w:val="center"/>
            </w:pPr>
          </w:p>
          <w:p w:rsidR="00000000" w:rsidRDefault="00216019">
            <w:pPr>
              <w:jc w:val="center"/>
            </w:pPr>
            <w:r>
              <w:t>23,059</w:t>
            </w:r>
          </w:p>
        </w:tc>
      </w:tr>
    </w:tbl>
    <w:p w:rsidR="00000000" w:rsidRDefault="00216019"/>
    <w:p w:rsidR="00000000" w:rsidRDefault="00216019">
      <w:pPr>
        <w:rPr>
          <w:b/>
          <w:sz w:val="28"/>
        </w:rPr>
      </w:pPr>
      <w:r>
        <w:rPr>
          <w:bCs/>
        </w:rPr>
        <w:t xml:space="preserve">C. </w:t>
      </w:r>
      <w:r>
        <w:rPr>
          <w:b/>
        </w:rPr>
        <w:t>Uninsured Projections</w:t>
      </w:r>
      <w:r>
        <w:rPr>
          <w:b/>
          <w:sz w:val="28"/>
        </w:rPr>
        <w:t xml:space="preserve">: </w:t>
      </w:r>
    </w:p>
    <w:p w:rsidR="00000000" w:rsidRDefault="00216019"/>
    <w:p w:rsidR="00000000" w:rsidRDefault="00216019">
      <w:pPr>
        <w:ind w:left="288"/>
      </w:pPr>
      <w:r>
        <w:t>In 1977 the Census Bureau estimated there were 67,000 uninsured children in Iowa, between the ages of 1 – 19, who lived in households with income under 200% of the federal poverty level.  States questioned t</w:t>
      </w:r>
      <w:r>
        <w:t>he reliability of the original projections and in 2001 the Census Bureau changed the methodology used to project uninsured children.  Most recent Census Current Population Survey (1998, 1999, and 2000) estimates indicated that the number of uninsured child</w:t>
      </w:r>
      <w:r>
        <w:t xml:space="preserve">ren in Iowa dropped considerably.  The decline, in part, can be attributed to the number of children enrolled in Medicaid, Medicaid Expansion, and </w:t>
      </w:r>
      <w:r>
        <w:rPr>
          <w:b/>
          <w:i/>
        </w:rPr>
        <w:t>hawk-i</w:t>
      </w:r>
      <w:r>
        <w:rPr>
          <w:i/>
        </w:rPr>
        <w:t xml:space="preserve">.  </w:t>
      </w:r>
    </w:p>
    <w:p w:rsidR="00000000" w:rsidRDefault="00216019">
      <w:pPr>
        <w:ind w:left="288"/>
      </w:pPr>
    </w:p>
    <w:p w:rsidR="00000000" w:rsidRDefault="00216019">
      <w:pPr>
        <w:ind w:left="288"/>
      </w:pPr>
      <w:r>
        <w:t xml:space="preserve">The Department developed new projections in August 2002.  Reference information was used from the </w:t>
      </w:r>
      <w:r>
        <w:t>U.S. Census Bureau, Iowa State County Extension Service, University of Minnesota-SHADAC, and Creighton University Department of Economics.  Census current population survey 2000 indicated that there are 245,000 children 0 to 19 year of ages, at or below 20</w:t>
      </w:r>
      <w:r>
        <w:t xml:space="preserve">0% of FPL in Iowa.  </w:t>
      </w:r>
    </w:p>
    <w:p w:rsidR="00000000" w:rsidRDefault="00216019">
      <w:pPr>
        <w:ind w:left="288"/>
      </w:pPr>
    </w:p>
    <w:p w:rsidR="00000000" w:rsidRDefault="00216019">
      <w:pPr>
        <w:ind w:left="288"/>
      </w:pPr>
      <w:r>
        <w:t>The data was updated in SFY 2002/2003, taking into consideration the economic downturn.  This methodology assumed an increase in the number of children falling into the 200% FPL and a decrease in the number of children with private in</w:t>
      </w:r>
      <w:r>
        <w:t xml:space="preserve">surance. The SFY 2002/2003 projected uninsured rate potentially eligible for Medicaid, Medicaid Expansion, and </w:t>
      </w:r>
      <w:r>
        <w:rPr>
          <w:b/>
          <w:i/>
        </w:rPr>
        <w:t>hawk-i</w:t>
      </w:r>
      <w:r>
        <w:t xml:space="preserve"> is estimated to be 32,500.  This estimate represented only those children yet to be covered at the time the estimates were developed and d</w:t>
      </w:r>
      <w:r>
        <w:t>oes not consider those who have already attained coverage.</w:t>
      </w:r>
    </w:p>
    <w:p w:rsidR="00000000" w:rsidRDefault="00216019">
      <w:pPr>
        <w:ind w:left="288"/>
      </w:pPr>
    </w:p>
    <w:p w:rsidR="00000000" w:rsidRDefault="00216019">
      <w:pPr>
        <w:ind w:left="288"/>
      </w:pPr>
      <w:r>
        <w:t>The Department is currently in the process of updating uninsured projections for SFY 2004/2005 based on new census data and economic indicators.  Iowa has historically been identified as having on</w:t>
      </w:r>
      <w:r>
        <w:t>e of the lowest percentages of uninsured children in the country, every year the number of uninsured children decreases.</w:t>
      </w:r>
    </w:p>
    <w:p w:rsidR="00000000" w:rsidRDefault="00216019">
      <w:pPr>
        <w:ind w:left="288"/>
      </w:pPr>
    </w:p>
    <w:p w:rsidR="00000000" w:rsidRDefault="00216019">
      <w:pPr>
        <w:ind w:left="-180"/>
        <w:rPr>
          <w:b/>
          <w:sz w:val="28"/>
          <w:u w:val="single"/>
        </w:rPr>
      </w:pPr>
      <w:r>
        <w:rPr>
          <w:b/>
          <w:sz w:val="28"/>
        </w:rPr>
        <w:t xml:space="preserve">VI.  </w:t>
      </w:r>
      <w:r>
        <w:rPr>
          <w:b/>
          <w:sz w:val="28"/>
          <w:u w:val="single"/>
        </w:rPr>
        <w:t>New Enrollment Initiatives:</w:t>
      </w:r>
    </w:p>
    <w:p w:rsidR="00000000" w:rsidRDefault="00216019">
      <w:pPr>
        <w:ind w:left="-180" w:firstLine="450"/>
        <w:rPr>
          <w:bCs/>
          <w:sz w:val="28"/>
        </w:rPr>
      </w:pPr>
    </w:p>
    <w:p w:rsidR="00000000" w:rsidRDefault="00216019" w:rsidP="00216019">
      <w:pPr>
        <w:numPr>
          <w:ilvl w:val="0"/>
          <w:numId w:val="43"/>
        </w:numPr>
        <w:rPr>
          <w:bCs/>
        </w:rPr>
      </w:pPr>
      <w:r>
        <w:rPr>
          <w:b/>
        </w:rPr>
        <w:t>Electronic Application:</w:t>
      </w:r>
    </w:p>
    <w:p w:rsidR="00000000" w:rsidRDefault="00216019">
      <w:pPr>
        <w:rPr>
          <w:bCs/>
        </w:rPr>
      </w:pPr>
    </w:p>
    <w:p w:rsidR="00000000" w:rsidRDefault="00216019">
      <w:pPr>
        <w:ind w:left="639"/>
      </w:pPr>
      <w:r>
        <w:t>The Department began work with the Third Party Administrator on development</w:t>
      </w:r>
      <w:r>
        <w:t xml:space="preserve"> of an electronic version of the </w:t>
      </w:r>
      <w:r>
        <w:rPr>
          <w:b/>
          <w:i/>
        </w:rPr>
        <w:t>hawk</w:t>
      </w:r>
      <w:r>
        <w:rPr>
          <w:b/>
          <w:i/>
        </w:rPr>
        <w:noBreakHyphen/>
        <w:t>i</w:t>
      </w:r>
      <w:r>
        <w:t xml:space="preserve"> application.  The electronic application will be available for completion on the Internet.  The electronic application will be more efficient and cost effective.  Upon submission, the application will automatically p</w:t>
      </w:r>
      <w:r>
        <w:t>opulate data into the Third Party Administrator’s database, thus eliminating data entry errors.  It will not allow an incomplete application to be submitted and will print out a list of the verifications that will need to be submitted by mail.  The electro</w:t>
      </w:r>
      <w:r>
        <w:t>nic application will also reduce printing costs because it is anticipated that fewer paper applications will be needed.  The electronic application has been tested by the general public, other agency staff and Department staff and is scheduled for implemen</w:t>
      </w:r>
      <w:r>
        <w:t>tation in late December 2003 or early January 2004.</w:t>
      </w:r>
    </w:p>
    <w:p w:rsidR="00000000" w:rsidRDefault="00216019">
      <w:pPr>
        <w:ind w:left="639"/>
      </w:pPr>
    </w:p>
    <w:p w:rsidR="00000000" w:rsidRDefault="00216019">
      <w:pPr>
        <w:ind w:left="219"/>
        <w:rPr>
          <w:b/>
          <w:bCs/>
        </w:rPr>
      </w:pPr>
      <w:r>
        <w:t xml:space="preserve">B.  </w:t>
      </w:r>
      <w:r>
        <w:rPr>
          <w:b/>
          <w:bCs/>
        </w:rPr>
        <w:t>Medicaid Referral Process Improvement Plan</w:t>
      </w:r>
    </w:p>
    <w:p w:rsidR="00000000" w:rsidRDefault="00216019">
      <w:pPr>
        <w:tabs>
          <w:tab w:val="left" w:pos="900"/>
        </w:tabs>
        <w:autoSpaceDE w:val="0"/>
        <w:autoSpaceDN w:val="0"/>
        <w:adjustRightInd w:val="0"/>
        <w:rPr>
          <w:rFonts w:cs="Arial"/>
        </w:rPr>
      </w:pPr>
    </w:p>
    <w:p w:rsidR="00000000" w:rsidRDefault="00216019">
      <w:pPr>
        <w:tabs>
          <w:tab w:val="left" w:pos="900"/>
        </w:tabs>
        <w:autoSpaceDE w:val="0"/>
        <w:autoSpaceDN w:val="0"/>
        <w:adjustRightInd w:val="0"/>
        <w:ind w:left="639"/>
      </w:pPr>
      <w:r>
        <w:t xml:space="preserve">A new process for referring children who have become ineligible for Medicaid to the </w:t>
      </w:r>
    </w:p>
    <w:p w:rsidR="00000000" w:rsidRDefault="00216019">
      <w:pPr>
        <w:tabs>
          <w:tab w:val="left" w:pos="900"/>
        </w:tabs>
        <w:autoSpaceDE w:val="0"/>
        <w:autoSpaceDN w:val="0"/>
        <w:adjustRightInd w:val="0"/>
        <w:ind w:left="639"/>
      </w:pPr>
      <w:r>
        <w:rPr>
          <w:b/>
          <w:bCs/>
          <w:i/>
          <w:iCs/>
        </w:rPr>
        <w:t>hawk-i</w:t>
      </w:r>
      <w:r>
        <w:t xml:space="preserve"> Program is being implemented.  Although a process is currently </w:t>
      </w:r>
      <w:r>
        <w:t>in place, it is somewhat labor intensive and cumbersome for field staff.  It is anticipated that this project will be implemented in the spring of 2004.  The following improvements are being made:</w:t>
      </w:r>
    </w:p>
    <w:p w:rsidR="00000000" w:rsidRDefault="00216019">
      <w:pPr>
        <w:tabs>
          <w:tab w:val="left" w:pos="900"/>
        </w:tabs>
        <w:autoSpaceDE w:val="0"/>
        <w:autoSpaceDN w:val="0"/>
        <w:adjustRightInd w:val="0"/>
        <w:ind w:left="639"/>
      </w:pPr>
    </w:p>
    <w:p w:rsidR="00000000" w:rsidRDefault="00216019" w:rsidP="00216019">
      <w:pPr>
        <w:numPr>
          <w:ilvl w:val="0"/>
          <w:numId w:val="34"/>
        </w:numPr>
        <w:tabs>
          <w:tab w:val="left" w:pos="900"/>
        </w:tabs>
        <w:autoSpaceDE w:val="0"/>
        <w:autoSpaceDN w:val="0"/>
        <w:adjustRightInd w:val="0"/>
      </w:pPr>
      <w:r>
        <w:t>A system is being developed so that DHS income maintenance</w:t>
      </w:r>
      <w:r>
        <w:t xml:space="preserve"> workers can refer children automatically through the system electronically, rather than having to manually complete the forms and copy all the paperwork.  </w:t>
      </w:r>
    </w:p>
    <w:p w:rsidR="00000000" w:rsidRDefault="00216019" w:rsidP="00216019">
      <w:pPr>
        <w:numPr>
          <w:ilvl w:val="0"/>
          <w:numId w:val="34"/>
        </w:numPr>
        <w:tabs>
          <w:tab w:val="left" w:pos="900"/>
        </w:tabs>
        <w:autoSpaceDE w:val="0"/>
        <w:autoSpaceDN w:val="0"/>
        <w:adjustRightInd w:val="0"/>
      </w:pPr>
      <w:r>
        <w:t>The Medicaid notice of cancellation is being modified so that if a family with children is cancelle</w:t>
      </w:r>
      <w:r>
        <w:t xml:space="preserve">d from Medicaid due to excess income, the notice will include a statement that the children are being referred to </w:t>
      </w:r>
      <w:r>
        <w:rPr>
          <w:b/>
          <w:bCs/>
          <w:i/>
          <w:iCs/>
        </w:rPr>
        <w:t>hawk-i</w:t>
      </w:r>
      <w:r>
        <w:t xml:space="preserve"> automatically.</w:t>
      </w:r>
    </w:p>
    <w:p w:rsidR="00000000" w:rsidRDefault="00216019" w:rsidP="00216019">
      <w:pPr>
        <w:numPr>
          <w:ilvl w:val="0"/>
          <w:numId w:val="34"/>
        </w:numPr>
        <w:tabs>
          <w:tab w:val="left" w:pos="900"/>
        </w:tabs>
        <w:autoSpaceDE w:val="0"/>
        <w:autoSpaceDN w:val="0"/>
        <w:adjustRightInd w:val="0"/>
      </w:pPr>
      <w:r>
        <w:t>A monthly management report of all the families that were cancelled from Medicaid due to excess income will be created s</w:t>
      </w:r>
      <w:r>
        <w:t>o that follow-up can be made to ensure referrals are being made.</w:t>
      </w:r>
    </w:p>
    <w:p w:rsidR="00000000" w:rsidRDefault="00216019" w:rsidP="00216019">
      <w:pPr>
        <w:numPr>
          <w:ilvl w:val="0"/>
          <w:numId w:val="34"/>
        </w:numPr>
        <w:tabs>
          <w:tab w:val="left" w:pos="900"/>
        </w:tabs>
        <w:autoSpaceDE w:val="0"/>
        <w:autoSpaceDN w:val="0"/>
        <w:adjustRightInd w:val="0"/>
      </w:pPr>
      <w:r>
        <w:t>Upon the generation of a cancellation notice, as described above, the income maintenance worker will receive an e-mail reminder to remind them to complete the referral process.</w:t>
      </w:r>
    </w:p>
    <w:p w:rsidR="00000000" w:rsidRDefault="00216019">
      <w:pPr>
        <w:tabs>
          <w:tab w:val="left" w:pos="900"/>
        </w:tabs>
        <w:autoSpaceDE w:val="0"/>
        <w:autoSpaceDN w:val="0"/>
        <w:adjustRightInd w:val="0"/>
      </w:pPr>
    </w:p>
    <w:p w:rsidR="00000000" w:rsidRDefault="00216019">
      <w:pPr>
        <w:tabs>
          <w:tab w:val="left" w:pos="720"/>
          <w:tab w:val="left" w:pos="900"/>
        </w:tabs>
        <w:autoSpaceDE w:val="0"/>
        <w:autoSpaceDN w:val="0"/>
        <w:adjustRightInd w:val="0"/>
        <w:ind w:left="180"/>
        <w:rPr>
          <w:b/>
          <w:bCs/>
        </w:rPr>
      </w:pPr>
      <w:r>
        <w:t xml:space="preserve">C.  </w:t>
      </w:r>
      <w:r>
        <w:rPr>
          <w:b/>
          <w:bCs/>
        </w:rPr>
        <w:t xml:space="preserve">Reminder </w:t>
      </w:r>
      <w:r>
        <w:rPr>
          <w:b/>
          <w:bCs/>
        </w:rPr>
        <w:t>Postcard for Renewals</w:t>
      </w:r>
    </w:p>
    <w:p w:rsidR="00000000" w:rsidRDefault="00216019">
      <w:pPr>
        <w:tabs>
          <w:tab w:val="left" w:pos="720"/>
          <w:tab w:val="left" w:pos="900"/>
        </w:tabs>
        <w:autoSpaceDE w:val="0"/>
        <w:autoSpaceDN w:val="0"/>
        <w:adjustRightInd w:val="0"/>
        <w:ind w:left="180"/>
      </w:pPr>
    </w:p>
    <w:p w:rsidR="00000000" w:rsidRDefault="00216019">
      <w:pPr>
        <w:tabs>
          <w:tab w:val="left" w:pos="540"/>
          <w:tab w:val="left" w:pos="900"/>
        </w:tabs>
        <w:autoSpaceDE w:val="0"/>
        <w:autoSpaceDN w:val="0"/>
        <w:adjustRightInd w:val="0"/>
        <w:ind w:left="540" w:hanging="353"/>
      </w:pPr>
      <w:r>
        <w:tab/>
        <w:t xml:space="preserve">A test pilot project for </w:t>
      </w:r>
      <w:r>
        <w:rPr>
          <w:b/>
          <w:bCs/>
          <w:i/>
          <w:iCs/>
        </w:rPr>
        <w:t>hawk-i</w:t>
      </w:r>
      <w:r>
        <w:t xml:space="preserve"> renewals will be conducted in December and January.  A renewal reminder postcard has been developed to send to families advising them that they will be receiving a renewal form in the mail in the near</w:t>
      </w:r>
      <w:r>
        <w:t xml:space="preserve"> future and that they should start gathering their income information.  The card asks that if they are not planning on renewing, to call and tell us why.</w:t>
      </w:r>
    </w:p>
    <w:p w:rsidR="00000000" w:rsidRDefault="00216019">
      <w:pPr>
        <w:tabs>
          <w:tab w:val="left" w:pos="540"/>
          <w:tab w:val="left" w:pos="900"/>
        </w:tabs>
        <w:autoSpaceDE w:val="0"/>
        <w:autoSpaceDN w:val="0"/>
        <w:adjustRightInd w:val="0"/>
        <w:ind w:left="540" w:hanging="353"/>
      </w:pPr>
    </w:p>
    <w:p w:rsidR="00000000" w:rsidRDefault="00216019">
      <w:pPr>
        <w:tabs>
          <w:tab w:val="left" w:pos="540"/>
          <w:tab w:val="left" w:pos="900"/>
        </w:tabs>
        <w:autoSpaceDE w:val="0"/>
        <w:autoSpaceDN w:val="0"/>
        <w:adjustRightInd w:val="0"/>
        <w:ind w:left="540" w:hanging="353"/>
      </w:pPr>
      <w:r>
        <w:tab/>
        <w:t>The purpose of the project is to determine whether the reminder postcards have an impact on increasi</w:t>
      </w:r>
      <w:r>
        <w:t>ng the number of families who send in renewal forms to renew their child’s coverage for the next 12-month enrollment period.  Additionally, it will assist the Department in gathering data on why families don’t renew.</w:t>
      </w:r>
    </w:p>
    <w:p w:rsidR="00000000" w:rsidRDefault="00216019">
      <w:pPr>
        <w:tabs>
          <w:tab w:val="left" w:pos="900"/>
        </w:tabs>
        <w:autoSpaceDE w:val="0"/>
        <w:autoSpaceDN w:val="0"/>
        <w:adjustRightInd w:val="0"/>
        <w:ind w:left="720"/>
      </w:pPr>
    </w:p>
    <w:p w:rsidR="00000000" w:rsidRDefault="00216019">
      <w:pPr>
        <w:ind w:left="-576"/>
        <w:rPr>
          <w:b/>
          <w:sz w:val="28"/>
        </w:rPr>
      </w:pPr>
      <w:r>
        <w:rPr>
          <w:rFonts w:ascii="Times New Roman" w:hAnsi="Times New Roman"/>
          <w:b/>
          <w:sz w:val="28"/>
        </w:rPr>
        <w:t>VII</w:t>
      </w:r>
      <w:r>
        <w:rPr>
          <w:b/>
          <w:sz w:val="28"/>
        </w:rPr>
        <w:t xml:space="preserve">.  </w:t>
      </w:r>
      <w:r>
        <w:rPr>
          <w:b/>
          <w:sz w:val="28"/>
          <w:u w:val="single"/>
        </w:rPr>
        <w:t>Evaluations and Surveys</w:t>
      </w:r>
      <w:r>
        <w:rPr>
          <w:b/>
          <w:sz w:val="28"/>
        </w:rPr>
        <w:t>:</w:t>
      </w:r>
    </w:p>
    <w:p w:rsidR="00000000" w:rsidRDefault="00216019">
      <w:pPr>
        <w:rPr>
          <w:b/>
          <w:sz w:val="28"/>
          <w:u w:val="single"/>
        </w:rPr>
      </w:pPr>
    </w:p>
    <w:p w:rsidR="00000000" w:rsidRDefault="00216019">
      <w:r>
        <w:t>Result</w:t>
      </w:r>
      <w:r>
        <w:t xml:space="preserve">s of the second, third and fourth </w:t>
      </w:r>
      <w:r>
        <w:rPr>
          <w:b/>
          <w:i/>
        </w:rPr>
        <w:t xml:space="preserve">hawk-i </w:t>
      </w:r>
      <w:r>
        <w:t xml:space="preserve">"Impact on Access and Health Status" evaluation reports were provided to the Board.  The reports present an estimate of the effect that providing </w:t>
      </w:r>
      <w:r>
        <w:rPr>
          <w:b/>
          <w:i/>
        </w:rPr>
        <w:t>hawk-i</w:t>
      </w:r>
      <w:r>
        <w:t xml:space="preserve"> health coverage had on uninsured children.  The study compares</w:t>
      </w:r>
      <w:r>
        <w:t xml:space="preserve"> the results of a survey that asked about children’s access to care, health status, and family environment in the year prior to joining </w:t>
      </w:r>
      <w:r>
        <w:rPr>
          <w:b/>
          <w:i/>
        </w:rPr>
        <w:t>hawk-i</w:t>
      </w:r>
      <w:r>
        <w:t xml:space="preserve"> with one that asked about their experiences while in </w:t>
      </w:r>
      <w:r>
        <w:rPr>
          <w:b/>
          <w:i/>
        </w:rPr>
        <w:t>hawk-i</w:t>
      </w:r>
      <w:r>
        <w:t xml:space="preserve"> using standard statistical tests to evaluate differen</w:t>
      </w:r>
      <w:r>
        <w:t xml:space="preserve">ces in responses before and after </w:t>
      </w:r>
      <w:r>
        <w:rPr>
          <w:b/>
          <w:i/>
        </w:rPr>
        <w:t>hawk-i</w:t>
      </w:r>
      <w:r>
        <w:t>.</w:t>
      </w:r>
    </w:p>
    <w:p w:rsidR="00000000" w:rsidRDefault="00216019"/>
    <w:p w:rsidR="00000000" w:rsidRDefault="00216019">
      <w:r>
        <w:t xml:space="preserve">A.  </w:t>
      </w:r>
      <w:r>
        <w:rPr>
          <w:b/>
        </w:rPr>
        <w:t>Summary of Second, Third and FourthEvaluation Reports</w:t>
      </w:r>
      <w:r>
        <w:t>:</w:t>
      </w:r>
    </w:p>
    <w:p w:rsidR="00000000" w:rsidRDefault="002160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980"/>
        <w:gridCol w:w="1980"/>
        <w:gridCol w:w="1980"/>
      </w:tblGrid>
      <w:tr w:rsidR="00000000">
        <w:tblPrEx>
          <w:tblCellMar>
            <w:top w:w="0" w:type="dxa"/>
            <w:bottom w:w="0" w:type="dxa"/>
          </w:tblCellMar>
        </w:tblPrEx>
        <w:trPr>
          <w:tblHeader/>
        </w:trPr>
        <w:tc>
          <w:tcPr>
            <w:tcW w:w="2790" w:type="dxa"/>
            <w:tcBorders>
              <w:bottom w:val="nil"/>
            </w:tcBorders>
            <w:shd w:val="clear" w:color="auto" w:fill="C0C0C0"/>
          </w:tcPr>
          <w:p w:rsidR="00000000" w:rsidRDefault="00216019">
            <w:pPr>
              <w:rPr>
                <w:sz w:val="20"/>
              </w:rPr>
            </w:pPr>
          </w:p>
          <w:p w:rsidR="00000000" w:rsidRDefault="00216019">
            <w:pPr>
              <w:rPr>
                <w:sz w:val="20"/>
              </w:rPr>
            </w:pPr>
            <w:r>
              <w:rPr>
                <w:sz w:val="20"/>
              </w:rPr>
              <w:t xml:space="preserve">After being in </w:t>
            </w:r>
            <w:r>
              <w:rPr>
                <w:b/>
                <w:i/>
                <w:sz w:val="20"/>
              </w:rPr>
              <w:t>hawk-i</w:t>
            </w:r>
            <w:r>
              <w:rPr>
                <w:sz w:val="20"/>
              </w:rPr>
              <w:t xml:space="preserve"> </w:t>
            </w:r>
          </w:p>
          <w:p w:rsidR="00000000" w:rsidRDefault="00216019">
            <w:pPr>
              <w:rPr>
                <w:sz w:val="20"/>
              </w:rPr>
            </w:pPr>
            <w:r>
              <w:rPr>
                <w:sz w:val="20"/>
              </w:rPr>
              <w:t>for a year:</w:t>
            </w:r>
          </w:p>
        </w:tc>
        <w:tc>
          <w:tcPr>
            <w:tcW w:w="1980" w:type="dxa"/>
            <w:tcBorders>
              <w:bottom w:val="nil"/>
            </w:tcBorders>
            <w:shd w:val="clear" w:color="auto" w:fill="C0C0C0"/>
          </w:tcPr>
          <w:p w:rsidR="00000000" w:rsidRDefault="00216019">
            <w:pPr>
              <w:jc w:val="center"/>
              <w:rPr>
                <w:sz w:val="20"/>
              </w:rPr>
            </w:pPr>
            <w:r>
              <w:rPr>
                <w:sz w:val="20"/>
              </w:rPr>
              <w:t>Second Evaluation Report</w:t>
            </w:r>
          </w:p>
          <w:p w:rsidR="00000000" w:rsidRDefault="00216019">
            <w:pPr>
              <w:jc w:val="center"/>
              <w:rPr>
                <w:sz w:val="20"/>
              </w:rPr>
            </w:pPr>
            <w:r>
              <w:rPr>
                <w:sz w:val="20"/>
              </w:rPr>
              <w:t xml:space="preserve"> Data Used</w:t>
            </w:r>
          </w:p>
          <w:p w:rsidR="00000000" w:rsidRDefault="00216019">
            <w:pPr>
              <w:jc w:val="center"/>
              <w:rPr>
                <w:sz w:val="20"/>
              </w:rPr>
            </w:pPr>
            <w:r>
              <w:rPr>
                <w:sz w:val="20"/>
              </w:rPr>
              <w:t>January 1999 - October 2000</w:t>
            </w:r>
          </w:p>
        </w:tc>
        <w:tc>
          <w:tcPr>
            <w:tcW w:w="1980" w:type="dxa"/>
            <w:tcBorders>
              <w:bottom w:val="nil"/>
            </w:tcBorders>
            <w:shd w:val="clear" w:color="auto" w:fill="C0C0C0"/>
          </w:tcPr>
          <w:p w:rsidR="00000000" w:rsidRDefault="00216019">
            <w:pPr>
              <w:jc w:val="center"/>
              <w:rPr>
                <w:sz w:val="20"/>
              </w:rPr>
            </w:pPr>
            <w:r>
              <w:rPr>
                <w:sz w:val="20"/>
              </w:rPr>
              <w:t>Third Evaluation Report</w:t>
            </w:r>
          </w:p>
          <w:p w:rsidR="00000000" w:rsidRDefault="00216019">
            <w:pPr>
              <w:jc w:val="center"/>
              <w:rPr>
                <w:sz w:val="20"/>
              </w:rPr>
            </w:pPr>
            <w:r>
              <w:rPr>
                <w:sz w:val="20"/>
              </w:rPr>
              <w:t xml:space="preserve"> Data Used</w:t>
            </w:r>
          </w:p>
          <w:p w:rsidR="00000000" w:rsidRDefault="00216019">
            <w:pPr>
              <w:jc w:val="center"/>
              <w:rPr>
                <w:sz w:val="20"/>
              </w:rPr>
            </w:pPr>
            <w:r>
              <w:rPr>
                <w:sz w:val="20"/>
              </w:rPr>
              <w:t>July 2001 - Octobe</w:t>
            </w:r>
            <w:r>
              <w:rPr>
                <w:sz w:val="20"/>
              </w:rPr>
              <w:t>r 2002</w:t>
            </w:r>
          </w:p>
        </w:tc>
        <w:tc>
          <w:tcPr>
            <w:tcW w:w="1980" w:type="dxa"/>
            <w:tcBorders>
              <w:bottom w:val="nil"/>
            </w:tcBorders>
            <w:shd w:val="clear" w:color="auto" w:fill="C0C0C0"/>
          </w:tcPr>
          <w:p w:rsidR="00000000" w:rsidRDefault="00216019">
            <w:pPr>
              <w:jc w:val="center"/>
              <w:rPr>
                <w:sz w:val="20"/>
              </w:rPr>
            </w:pPr>
            <w:r>
              <w:rPr>
                <w:sz w:val="20"/>
              </w:rPr>
              <w:t>Fourth Evaluation Report</w:t>
            </w:r>
          </w:p>
          <w:p w:rsidR="00000000" w:rsidRDefault="00216019">
            <w:pPr>
              <w:jc w:val="center"/>
              <w:rPr>
                <w:sz w:val="20"/>
              </w:rPr>
            </w:pPr>
            <w:r>
              <w:rPr>
                <w:sz w:val="20"/>
              </w:rPr>
              <w:t>Data Used</w:t>
            </w:r>
          </w:p>
          <w:p w:rsidR="00000000" w:rsidRDefault="00216019">
            <w:pPr>
              <w:jc w:val="center"/>
              <w:rPr>
                <w:sz w:val="20"/>
              </w:rPr>
            </w:pPr>
            <w:r>
              <w:rPr>
                <w:sz w:val="20"/>
              </w:rPr>
              <w:t>July 2002 – October 2003</w:t>
            </w:r>
          </w:p>
        </w:tc>
      </w:tr>
      <w:tr w:rsidR="00000000">
        <w:tblPrEx>
          <w:tblCellMar>
            <w:top w:w="0" w:type="dxa"/>
            <w:bottom w:w="0" w:type="dxa"/>
          </w:tblCellMar>
        </w:tblPrEx>
        <w:tc>
          <w:tcPr>
            <w:tcW w:w="2790" w:type="dxa"/>
            <w:tcBorders>
              <w:bottom w:val="nil"/>
            </w:tcBorders>
          </w:tcPr>
          <w:p w:rsidR="00000000" w:rsidRDefault="00216019">
            <w:pPr>
              <w:rPr>
                <w:b/>
                <w:sz w:val="22"/>
                <w:u w:val="single"/>
              </w:rPr>
            </w:pPr>
            <w:r>
              <w:rPr>
                <w:b/>
                <w:sz w:val="22"/>
                <w:u w:val="single"/>
              </w:rPr>
              <w:t>Medical Care</w:t>
            </w:r>
            <w:r>
              <w:rPr>
                <w:sz w:val="22"/>
              </w:rPr>
              <w:t xml:space="preserve"> </w:t>
            </w:r>
            <w:r>
              <w:rPr>
                <w:b/>
                <w:sz w:val="22"/>
              </w:rPr>
              <w:t>–</w:t>
            </w:r>
            <w:r>
              <w:rPr>
                <w:b/>
                <w:sz w:val="22"/>
                <w:u w:val="single"/>
              </w:rPr>
              <w:t xml:space="preserve"> </w:t>
            </w:r>
            <w:r>
              <w:rPr>
                <w:sz w:val="22"/>
              </w:rPr>
              <w:t>Children needed health care at rates similar to when they joined, however:</w:t>
            </w:r>
          </w:p>
        </w:tc>
        <w:tc>
          <w:tcPr>
            <w:tcW w:w="1980" w:type="dxa"/>
            <w:tcBorders>
              <w:bottom w:val="nil"/>
            </w:tcBorders>
          </w:tcPr>
          <w:p w:rsidR="00000000" w:rsidRDefault="00216019">
            <w:pPr>
              <w:rPr>
                <w:sz w:val="22"/>
              </w:rPr>
            </w:pPr>
          </w:p>
        </w:tc>
        <w:tc>
          <w:tcPr>
            <w:tcW w:w="1980" w:type="dxa"/>
            <w:tcBorders>
              <w:bottom w:val="nil"/>
            </w:tcBorders>
          </w:tcPr>
          <w:p w:rsidR="00000000" w:rsidRDefault="00216019">
            <w:pPr>
              <w:rPr>
                <w:sz w:val="22"/>
              </w:rPr>
            </w:pPr>
          </w:p>
        </w:tc>
        <w:tc>
          <w:tcPr>
            <w:tcW w:w="1980" w:type="dxa"/>
            <w:tcBorders>
              <w:bottom w:val="nil"/>
            </w:tcBorders>
          </w:tcPr>
          <w:p w:rsidR="00000000" w:rsidRDefault="00216019">
            <w:pPr>
              <w:rPr>
                <w:sz w:val="22"/>
              </w:rPr>
            </w:pP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3"/>
              </w:numPr>
              <w:rPr>
                <w:sz w:val="22"/>
              </w:rPr>
            </w:pPr>
            <w:r>
              <w:rPr>
                <w:sz w:val="22"/>
              </w:rPr>
              <w:t>they were less likely to be stopped from getting needed care.</w:t>
            </w:r>
          </w:p>
        </w:tc>
        <w:tc>
          <w:tcPr>
            <w:tcW w:w="1980" w:type="dxa"/>
            <w:tcBorders>
              <w:top w:val="nil"/>
              <w:bottom w:val="nil"/>
            </w:tcBorders>
          </w:tcPr>
          <w:p w:rsidR="00000000" w:rsidRDefault="00216019">
            <w:pPr>
              <w:rPr>
                <w:sz w:val="22"/>
              </w:rPr>
            </w:pPr>
            <w:r>
              <w:rPr>
                <w:sz w:val="22"/>
              </w:rPr>
              <w:t>21% before vs. 6% after</w:t>
            </w:r>
          </w:p>
          <w:p w:rsidR="00000000" w:rsidRDefault="00216019">
            <w:pPr>
              <w:rPr>
                <w:sz w:val="22"/>
              </w:rPr>
            </w:pPr>
          </w:p>
        </w:tc>
        <w:tc>
          <w:tcPr>
            <w:tcW w:w="1980" w:type="dxa"/>
            <w:tcBorders>
              <w:top w:val="nil"/>
              <w:bottom w:val="nil"/>
            </w:tcBorders>
          </w:tcPr>
          <w:p w:rsidR="00000000" w:rsidRDefault="00216019">
            <w:pPr>
              <w:rPr>
                <w:sz w:val="22"/>
              </w:rPr>
            </w:pPr>
            <w:r>
              <w:rPr>
                <w:sz w:val="22"/>
              </w:rPr>
              <w:t>19% bef</w:t>
            </w:r>
            <w:r>
              <w:rPr>
                <w:sz w:val="22"/>
              </w:rPr>
              <w:t>ore vs. 6% after</w:t>
            </w:r>
          </w:p>
        </w:tc>
        <w:tc>
          <w:tcPr>
            <w:tcW w:w="1980" w:type="dxa"/>
            <w:tcBorders>
              <w:top w:val="nil"/>
              <w:bottom w:val="nil"/>
            </w:tcBorders>
          </w:tcPr>
          <w:p w:rsidR="00000000" w:rsidRDefault="00216019">
            <w:pPr>
              <w:rPr>
                <w:sz w:val="22"/>
              </w:rPr>
            </w:pPr>
            <w:r>
              <w:rPr>
                <w:sz w:val="22"/>
              </w:rPr>
              <w:t>17% before vs. 4% after</w:t>
            </w: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4"/>
              </w:numPr>
              <w:rPr>
                <w:sz w:val="22"/>
              </w:rPr>
            </w:pPr>
            <w:r>
              <w:rPr>
                <w:sz w:val="22"/>
              </w:rPr>
              <w:t>they were less likely to be delayed from getting needed care.</w:t>
            </w:r>
          </w:p>
        </w:tc>
        <w:tc>
          <w:tcPr>
            <w:tcW w:w="1980" w:type="dxa"/>
            <w:tcBorders>
              <w:top w:val="nil"/>
              <w:bottom w:val="nil"/>
            </w:tcBorders>
          </w:tcPr>
          <w:p w:rsidR="00000000" w:rsidRDefault="00216019">
            <w:pPr>
              <w:rPr>
                <w:sz w:val="22"/>
              </w:rPr>
            </w:pPr>
            <w:r>
              <w:rPr>
                <w:sz w:val="22"/>
              </w:rPr>
              <w:t>34% before vs. 10% after</w:t>
            </w:r>
          </w:p>
        </w:tc>
        <w:tc>
          <w:tcPr>
            <w:tcW w:w="1980" w:type="dxa"/>
            <w:tcBorders>
              <w:top w:val="nil"/>
              <w:bottom w:val="nil"/>
            </w:tcBorders>
          </w:tcPr>
          <w:p w:rsidR="00000000" w:rsidRDefault="00216019">
            <w:pPr>
              <w:rPr>
                <w:sz w:val="22"/>
              </w:rPr>
            </w:pPr>
            <w:r>
              <w:rPr>
                <w:sz w:val="22"/>
              </w:rPr>
              <w:t>32% before vs. 10% after</w:t>
            </w:r>
          </w:p>
        </w:tc>
        <w:tc>
          <w:tcPr>
            <w:tcW w:w="1980" w:type="dxa"/>
            <w:tcBorders>
              <w:top w:val="nil"/>
              <w:bottom w:val="nil"/>
            </w:tcBorders>
          </w:tcPr>
          <w:p w:rsidR="00000000" w:rsidRDefault="00216019">
            <w:pPr>
              <w:rPr>
                <w:sz w:val="22"/>
              </w:rPr>
            </w:pPr>
            <w:r>
              <w:rPr>
                <w:sz w:val="22"/>
              </w:rPr>
              <w:t>23% before vs. 7% after</w:t>
            </w: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5"/>
              </w:numPr>
              <w:rPr>
                <w:sz w:val="22"/>
              </w:rPr>
            </w:pPr>
            <w:r>
              <w:rPr>
                <w:sz w:val="22"/>
              </w:rPr>
              <w:t>children were more likely to have ‘always’ received needed care for an illnes</w:t>
            </w:r>
            <w:r>
              <w:rPr>
                <w:sz w:val="22"/>
              </w:rPr>
              <w:t>s or injury</w:t>
            </w:r>
          </w:p>
        </w:tc>
        <w:tc>
          <w:tcPr>
            <w:tcW w:w="1980" w:type="dxa"/>
            <w:tcBorders>
              <w:top w:val="nil"/>
              <w:bottom w:val="nil"/>
            </w:tcBorders>
          </w:tcPr>
          <w:p w:rsidR="00000000" w:rsidRDefault="00216019">
            <w:pPr>
              <w:rPr>
                <w:sz w:val="22"/>
              </w:rPr>
            </w:pPr>
            <w:r>
              <w:rPr>
                <w:sz w:val="22"/>
              </w:rPr>
              <w:t>Data not available.</w:t>
            </w:r>
          </w:p>
        </w:tc>
        <w:tc>
          <w:tcPr>
            <w:tcW w:w="1980" w:type="dxa"/>
            <w:tcBorders>
              <w:top w:val="nil"/>
              <w:bottom w:val="nil"/>
            </w:tcBorders>
          </w:tcPr>
          <w:p w:rsidR="00000000" w:rsidRDefault="00216019">
            <w:pPr>
              <w:rPr>
                <w:sz w:val="22"/>
              </w:rPr>
            </w:pPr>
            <w:r>
              <w:rPr>
                <w:sz w:val="22"/>
              </w:rPr>
              <w:t>61% before vs. 80% after</w:t>
            </w:r>
          </w:p>
        </w:tc>
        <w:tc>
          <w:tcPr>
            <w:tcW w:w="1980" w:type="dxa"/>
            <w:tcBorders>
              <w:top w:val="nil"/>
              <w:bottom w:val="nil"/>
            </w:tcBorders>
          </w:tcPr>
          <w:p w:rsidR="00000000" w:rsidRDefault="00216019">
            <w:pPr>
              <w:rPr>
                <w:sz w:val="22"/>
              </w:rPr>
            </w:pPr>
            <w:r>
              <w:rPr>
                <w:sz w:val="22"/>
              </w:rPr>
              <w:t>65% before vs. 82% after</w:t>
            </w:r>
          </w:p>
        </w:tc>
      </w:tr>
      <w:tr w:rsidR="00000000">
        <w:tblPrEx>
          <w:tblCellMar>
            <w:top w:w="0" w:type="dxa"/>
            <w:bottom w:w="0" w:type="dxa"/>
          </w:tblCellMar>
        </w:tblPrEx>
        <w:tc>
          <w:tcPr>
            <w:tcW w:w="2790" w:type="dxa"/>
            <w:tcBorders>
              <w:bottom w:val="nil"/>
            </w:tcBorders>
          </w:tcPr>
          <w:p w:rsidR="00000000" w:rsidRDefault="00216019">
            <w:pPr>
              <w:rPr>
                <w:sz w:val="22"/>
              </w:rPr>
            </w:pPr>
            <w:r>
              <w:rPr>
                <w:b/>
                <w:sz w:val="22"/>
                <w:u w:val="single"/>
              </w:rPr>
              <w:t>Specialty Care</w:t>
            </w:r>
            <w:r>
              <w:rPr>
                <w:b/>
                <w:sz w:val="22"/>
              </w:rPr>
              <w:t xml:space="preserve"> – </w:t>
            </w:r>
            <w:r>
              <w:rPr>
                <w:sz w:val="22"/>
              </w:rPr>
              <w:t>Children needed to see a specialist at rates similar to when they joined, however:</w:t>
            </w:r>
          </w:p>
        </w:tc>
        <w:tc>
          <w:tcPr>
            <w:tcW w:w="1980" w:type="dxa"/>
            <w:tcBorders>
              <w:bottom w:val="nil"/>
            </w:tcBorders>
          </w:tcPr>
          <w:p w:rsidR="00000000" w:rsidRDefault="00216019">
            <w:pPr>
              <w:rPr>
                <w:sz w:val="22"/>
              </w:rPr>
            </w:pPr>
          </w:p>
        </w:tc>
        <w:tc>
          <w:tcPr>
            <w:tcW w:w="1980" w:type="dxa"/>
            <w:tcBorders>
              <w:bottom w:val="nil"/>
            </w:tcBorders>
          </w:tcPr>
          <w:p w:rsidR="00000000" w:rsidRDefault="00216019">
            <w:pPr>
              <w:rPr>
                <w:sz w:val="22"/>
              </w:rPr>
            </w:pPr>
          </w:p>
        </w:tc>
        <w:tc>
          <w:tcPr>
            <w:tcW w:w="1980" w:type="dxa"/>
            <w:tcBorders>
              <w:bottom w:val="nil"/>
            </w:tcBorders>
          </w:tcPr>
          <w:p w:rsidR="00000000" w:rsidRDefault="00216019">
            <w:pPr>
              <w:rPr>
                <w:sz w:val="22"/>
              </w:rPr>
            </w:pP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6"/>
              </w:numPr>
              <w:rPr>
                <w:sz w:val="22"/>
              </w:rPr>
            </w:pPr>
            <w:r>
              <w:rPr>
                <w:sz w:val="22"/>
              </w:rPr>
              <w:t>they were less likely to be stopped from getting specialty care.</w:t>
            </w:r>
          </w:p>
        </w:tc>
        <w:tc>
          <w:tcPr>
            <w:tcW w:w="1980" w:type="dxa"/>
            <w:tcBorders>
              <w:top w:val="nil"/>
              <w:bottom w:val="nil"/>
            </w:tcBorders>
          </w:tcPr>
          <w:p w:rsidR="00000000" w:rsidRDefault="00216019">
            <w:pPr>
              <w:rPr>
                <w:sz w:val="22"/>
              </w:rPr>
            </w:pPr>
            <w:r>
              <w:rPr>
                <w:sz w:val="22"/>
              </w:rPr>
              <w:t xml:space="preserve">38% </w:t>
            </w:r>
            <w:r>
              <w:rPr>
                <w:sz w:val="22"/>
              </w:rPr>
              <w:t>before vs. 13% after</w:t>
            </w:r>
          </w:p>
          <w:p w:rsidR="00000000" w:rsidRDefault="00216019">
            <w:pPr>
              <w:rPr>
                <w:sz w:val="22"/>
              </w:rPr>
            </w:pPr>
          </w:p>
        </w:tc>
        <w:tc>
          <w:tcPr>
            <w:tcW w:w="1980" w:type="dxa"/>
            <w:tcBorders>
              <w:top w:val="nil"/>
              <w:bottom w:val="nil"/>
            </w:tcBorders>
          </w:tcPr>
          <w:p w:rsidR="00000000" w:rsidRDefault="00216019">
            <w:pPr>
              <w:rPr>
                <w:sz w:val="22"/>
              </w:rPr>
            </w:pPr>
            <w:r>
              <w:rPr>
                <w:sz w:val="22"/>
              </w:rPr>
              <w:t>21% before vs. 15% after</w:t>
            </w:r>
          </w:p>
        </w:tc>
        <w:tc>
          <w:tcPr>
            <w:tcW w:w="1980" w:type="dxa"/>
            <w:tcBorders>
              <w:top w:val="nil"/>
              <w:bottom w:val="nil"/>
            </w:tcBorders>
          </w:tcPr>
          <w:p w:rsidR="00000000" w:rsidRDefault="00216019">
            <w:pPr>
              <w:rPr>
                <w:sz w:val="22"/>
              </w:rPr>
            </w:pPr>
            <w:r>
              <w:rPr>
                <w:sz w:val="22"/>
              </w:rPr>
              <w:t>18% before vs. 10% after</w:t>
            </w: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7"/>
              </w:numPr>
              <w:rPr>
                <w:sz w:val="22"/>
              </w:rPr>
            </w:pPr>
            <w:r>
              <w:rPr>
                <w:sz w:val="22"/>
              </w:rPr>
              <w:t>they were less likely to be delayed from   getting specialty care</w:t>
            </w:r>
          </w:p>
        </w:tc>
        <w:tc>
          <w:tcPr>
            <w:tcW w:w="1980" w:type="dxa"/>
            <w:tcBorders>
              <w:top w:val="nil"/>
              <w:bottom w:val="nil"/>
            </w:tcBorders>
          </w:tcPr>
          <w:p w:rsidR="00000000" w:rsidRDefault="00216019">
            <w:pPr>
              <w:rPr>
                <w:sz w:val="22"/>
              </w:rPr>
            </w:pPr>
            <w:r>
              <w:rPr>
                <w:sz w:val="22"/>
              </w:rPr>
              <w:t>39% before vs. 23% after</w:t>
            </w:r>
          </w:p>
        </w:tc>
        <w:tc>
          <w:tcPr>
            <w:tcW w:w="1980" w:type="dxa"/>
            <w:tcBorders>
              <w:top w:val="nil"/>
              <w:bottom w:val="nil"/>
            </w:tcBorders>
          </w:tcPr>
          <w:p w:rsidR="00000000" w:rsidRDefault="00216019">
            <w:pPr>
              <w:rPr>
                <w:sz w:val="22"/>
              </w:rPr>
            </w:pPr>
            <w:r>
              <w:rPr>
                <w:sz w:val="22"/>
              </w:rPr>
              <w:t>33% before vs. 15% after</w:t>
            </w:r>
          </w:p>
        </w:tc>
        <w:tc>
          <w:tcPr>
            <w:tcW w:w="1980" w:type="dxa"/>
            <w:tcBorders>
              <w:top w:val="nil"/>
              <w:bottom w:val="nil"/>
            </w:tcBorders>
          </w:tcPr>
          <w:p w:rsidR="00000000" w:rsidRDefault="00216019">
            <w:pPr>
              <w:rPr>
                <w:sz w:val="22"/>
              </w:rPr>
            </w:pPr>
            <w:r>
              <w:rPr>
                <w:sz w:val="22"/>
              </w:rPr>
              <w:t>27% before vs. 13% after</w:t>
            </w:r>
          </w:p>
        </w:tc>
      </w:tr>
      <w:tr w:rsidR="00000000">
        <w:tblPrEx>
          <w:tblCellMar>
            <w:top w:w="0" w:type="dxa"/>
            <w:bottom w:w="0" w:type="dxa"/>
          </w:tblCellMar>
        </w:tblPrEx>
        <w:tc>
          <w:tcPr>
            <w:tcW w:w="2790" w:type="dxa"/>
            <w:tcBorders>
              <w:bottom w:val="nil"/>
            </w:tcBorders>
          </w:tcPr>
          <w:p w:rsidR="00000000" w:rsidRDefault="00216019">
            <w:pPr>
              <w:rPr>
                <w:sz w:val="22"/>
              </w:rPr>
            </w:pPr>
            <w:r>
              <w:rPr>
                <w:b/>
                <w:sz w:val="22"/>
                <w:u w:val="single"/>
              </w:rPr>
              <w:t xml:space="preserve">Dental Care – </w:t>
            </w:r>
            <w:r>
              <w:rPr>
                <w:sz w:val="22"/>
              </w:rPr>
              <w:t>Children needed dental care</w:t>
            </w:r>
            <w:r>
              <w:rPr>
                <w:sz w:val="22"/>
              </w:rPr>
              <w:t xml:space="preserve"> at the same rate as when they joined, however:</w:t>
            </w:r>
          </w:p>
        </w:tc>
        <w:tc>
          <w:tcPr>
            <w:tcW w:w="1980" w:type="dxa"/>
            <w:tcBorders>
              <w:bottom w:val="nil"/>
            </w:tcBorders>
          </w:tcPr>
          <w:p w:rsidR="00000000" w:rsidRDefault="00216019">
            <w:pPr>
              <w:rPr>
                <w:sz w:val="22"/>
              </w:rPr>
            </w:pPr>
          </w:p>
        </w:tc>
        <w:tc>
          <w:tcPr>
            <w:tcW w:w="1980" w:type="dxa"/>
            <w:tcBorders>
              <w:bottom w:val="nil"/>
            </w:tcBorders>
          </w:tcPr>
          <w:p w:rsidR="00000000" w:rsidRDefault="00216019">
            <w:pPr>
              <w:rPr>
                <w:sz w:val="22"/>
              </w:rPr>
            </w:pPr>
          </w:p>
        </w:tc>
        <w:tc>
          <w:tcPr>
            <w:tcW w:w="1980" w:type="dxa"/>
            <w:tcBorders>
              <w:bottom w:val="nil"/>
            </w:tcBorders>
          </w:tcPr>
          <w:p w:rsidR="00000000" w:rsidRDefault="00216019">
            <w:pPr>
              <w:rPr>
                <w:sz w:val="22"/>
              </w:rPr>
            </w:pP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8"/>
              </w:numPr>
              <w:rPr>
                <w:sz w:val="22"/>
              </w:rPr>
            </w:pPr>
            <w:r>
              <w:rPr>
                <w:sz w:val="22"/>
              </w:rPr>
              <w:t>they were more likely to have a regular source of dental care.</w:t>
            </w:r>
          </w:p>
        </w:tc>
        <w:tc>
          <w:tcPr>
            <w:tcW w:w="1980" w:type="dxa"/>
            <w:tcBorders>
              <w:top w:val="nil"/>
              <w:bottom w:val="nil"/>
            </w:tcBorders>
          </w:tcPr>
          <w:p w:rsidR="00000000" w:rsidRDefault="00216019">
            <w:pPr>
              <w:rPr>
                <w:sz w:val="22"/>
              </w:rPr>
            </w:pPr>
            <w:r>
              <w:rPr>
                <w:sz w:val="22"/>
              </w:rPr>
              <w:t>84% before vs. 88% after</w:t>
            </w:r>
          </w:p>
        </w:tc>
        <w:tc>
          <w:tcPr>
            <w:tcW w:w="1980" w:type="dxa"/>
            <w:tcBorders>
              <w:top w:val="nil"/>
              <w:bottom w:val="nil"/>
            </w:tcBorders>
          </w:tcPr>
          <w:p w:rsidR="00000000" w:rsidRDefault="00216019">
            <w:pPr>
              <w:rPr>
                <w:sz w:val="22"/>
              </w:rPr>
            </w:pPr>
            <w:r>
              <w:rPr>
                <w:sz w:val="22"/>
              </w:rPr>
              <w:t>81% before vs. 88% after</w:t>
            </w:r>
          </w:p>
        </w:tc>
        <w:tc>
          <w:tcPr>
            <w:tcW w:w="1980" w:type="dxa"/>
            <w:tcBorders>
              <w:top w:val="nil"/>
              <w:bottom w:val="nil"/>
            </w:tcBorders>
          </w:tcPr>
          <w:p w:rsidR="00000000" w:rsidRDefault="00216019">
            <w:pPr>
              <w:rPr>
                <w:sz w:val="22"/>
              </w:rPr>
            </w:pPr>
            <w:r>
              <w:rPr>
                <w:sz w:val="22"/>
              </w:rPr>
              <w:t>82% before vs.86% after</w:t>
            </w: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9"/>
              </w:numPr>
              <w:rPr>
                <w:sz w:val="22"/>
              </w:rPr>
            </w:pPr>
            <w:r>
              <w:rPr>
                <w:sz w:val="22"/>
              </w:rPr>
              <w:t>they were less likely to be stopped from getting dental care</w:t>
            </w:r>
          </w:p>
        </w:tc>
        <w:tc>
          <w:tcPr>
            <w:tcW w:w="1980" w:type="dxa"/>
            <w:tcBorders>
              <w:top w:val="nil"/>
              <w:bottom w:val="nil"/>
            </w:tcBorders>
          </w:tcPr>
          <w:p w:rsidR="00000000" w:rsidRDefault="00216019">
            <w:pPr>
              <w:rPr>
                <w:sz w:val="22"/>
              </w:rPr>
            </w:pPr>
            <w:r>
              <w:rPr>
                <w:sz w:val="22"/>
              </w:rPr>
              <w:t>25% b</w:t>
            </w:r>
            <w:r>
              <w:rPr>
                <w:sz w:val="22"/>
              </w:rPr>
              <w:t>efore vs. 8% after</w:t>
            </w:r>
          </w:p>
        </w:tc>
        <w:tc>
          <w:tcPr>
            <w:tcW w:w="1980" w:type="dxa"/>
            <w:tcBorders>
              <w:top w:val="nil"/>
              <w:bottom w:val="nil"/>
            </w:tcBorders>
          </w:tcPr>
          <w:p w:rsidR="00000000" w:rsidRDefault="00216019">
            <w:pPr>
              <w:rPr>
                <w:sz w:val="22"/>
              </w:rPr>
            </w:pPr>
            <w:r>
              <w:rPr>
                <w:sz w:val="22"/>
              </w:rPr>
              <w:t>23% before vs. 8% after</w:t>
            </w:r>
          </w:p>
        </w:tc>
        <w:tc>
          <w:tcPr>
            <w:tcW w:w="1980" w:type="dxa"/>
            <w:tcBorders>
              <w:top w:val="nil"/>
              <w:bottom w:val="nil"/>
            </w:tcBorders>
          </w:tcPr>
          <w:p w:rsidR="00000000" w:rsidRDefault="00216019">
            <w:pPr>
              <w:rPr>
                <w:sz w:val="22"/>
              </w:rPr>
            </w:pPr>
            <w:r>
              <w:rPr>
                <w:sz w:val="22"/>
              </w:rPr>
              <w:t>22% before vs. 8% after</w:t>
            </w: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10"/>
              </w:numPr>
              <w:tabs>
                <w:tab w:val="left" w:pos="720"/>
              </w:tabs>
              <w:rPr>
                <w:sz w:val="22"/>
              </w:rPr>
            </w:pPr>
            <w:r>
              <w:rPr>
                <w:sz w:val="22"/>
              </w:rPr>
              <w:t>they were less likely to be delayed from getting dental care</w:t>
            </w:r>
          </w:p>
        </w:tc>
        <w:tc>
          <w:tcPr>
            <w:tcW w:w="1980" w:type="dxa"/>
            <w:tcBorders>
              <w:top w:val="nil"/>
              <w:bottom w:val="nil"/>
            </w:tcBorders>
          </w:tcPr>
          <w:p w:rsidR="00000000" w:rsidRDefault="00216019">
            <w:pPr>
              <w:rPr>
                <w:sz w:val="22"/>
              </w:rPr>
            </w:pPr>
            <w:r>
              <w:rPr>
                <w:sz w:val="22"/>
              </w:rPr>
              <w:t>27% before vs. 9% after</w:t>
            </w:r>
          </w:p>
        </w:tc>
        <w:tc>
          <w:tcPr>
            <w:tcW w:w="1980" w:type="dxa"/>
            <w:tcBorders>
              <w:top w:val="nil"/>
              <w:bottom w:val="nil"/>
            </w:tcBorders>
          </w:tcPr>
          <w:p w:rsidR="00000000" w:rsidRDefault="00216019">
            <w:pPr>
              <w:rPr>
                <w:sz w:val="22"/>
              </w:rPr>
            </w:pPr>
            <w:r>
              <w:rPr>
                <w:sz w:val="22"/>
              </w:rPr>
              <w:t>26% before vs 9% after</w:t>
            </w:r>
          </w:p>
        </w:tc>
        <w:tc>
          <w:tcPr>
            <w:tcW w:w="1980" w:type="dxa"/>
            <w:tcBorders>
              <w:top w:val="nil"/>
              <w:bottom w:val="nil"/>
            </w:tcBorders>
          </w:tcPr>
          <w:p w:rsidR="00000000" w:rsidRDefault="00216019">
            <w:pPr>
              <w:rPr>
                <w:sz w:val="22"/>
              </w:rPr>
            </w:pPr>
            <w:r>
              <w:rPr>
                <w:sz w:val="22"/>
              </w:rPr>
              <w:t>23% before vs.9% after</w:t>
            </w:r>
          </w:p>
        </w:tc>
      </w:tr>
      <w:tr w:rsidR="00000000">
        <w:tblPrEx>
          <w:tblCellMar>
            <w:top w:w="0" w:type="dxa"/>
            <w:bottom w:w="0" w:type="dxa"/>
          </w:tblCellMar>
        </w:tblPrEx>
        <w:tc>
          <w:tcPr>
            <w:tcW w:w="2790" w:type="dxa"/>
            <w:tcBorders>
              <w:top w:val="nil"/>
            </w:tcBorders>
          </w:tcPr>
          <w:p w:rsidR="00000000" w:rsidRDefault="00216019" w:rsidP="00216019">
            <w:pPr>
              <w:numPr>
                <w:ilvl w:val="0"/>
                <w:numId w:val="1"/>
              </w:numPr>
              <w:rPr>
                <w:sz w:val="22"/>
              </w:rPr>
            </w:pPr>
            <w:r>
              <w:rPr>
                <w:sz w:val="22"/>
              </w:rPr>
              <w:t xml:space="preserve">they were more likely to have had a dental visit in the </w:t>
            </w:r>
            <w:r>
              <w:rPr>
                <w:sz w:val="22"/>
              </w:rPr>
              <w:t>past year</w:t>
            </w:r>
          </w:p>
          <w:p w:rsidR="00000000" w:rsidRDefault="00216019">
            <w:pPr>
              <w:rPr>
                <w:sz w:val="22"/>
              </w:rPr>
            </w:pPr>
          </w:p>
        </w:tc>
        <w:tc>
          <w:tcPr>
            <w:tcW w:w="1980" w:type="dxa"/>
            <w:tcBorders>
              <w:top w:val="nil"/>
            </w:tcBorders>
          </w:tcPr>
          <w:p w:rsidR="00000000" w:rsidRDefault="00216019">
            <w:pPr>
              <w:rPr>
                <w:sz w:val="22"/>
              </w:rPr>
            </w:pPr>
            <w:r>
              <w:rPr>
                <w:sz w:val="22"/>
              </w:rPr>
              <w:t>55% before vs. 69% after</w:t>
            </w:r>
          </w:p>
        </w:tc>
        <w:tc>
          <w:tcPr>
            <w:tcW w:w="1980" w:type="dxa"/>
            <w:tcBorders>
              <w:top w:val="nil"/>
            </w:tcBorders>
          </w:tcPr>
          <w:p w:rsidR="00000000" w:rsidRDefault="00216019">
            <w:pPr>
              <w:rPr>
                <w:sz w:val="22"/>
              </w:rPr>
            </w:pPr>
            <w:r>
              <w:rPr>
                <w:sz w:val="22"/>
              </w:rPr>
              <w:t>54% before vs. 71% after</w:t>
            </w:r>
          </w:p>
        </w:tc>
        <w:tc>
          <w:tcPr>
            <w:tcW w:w="1980" w:type="dxa"/>
            <w:tcBorders>
              <w:top w:val="nil"/>
            </w:tcBorders>
          </w:tcPr>
          <w:p w:rsidR="00000000" w:rsidRDefault="00216019">
            <w:pPr>
              <w:rPr>
                <w:sz w:val="22"/>
              </w:rPr>
            </w:pPr>
            <w:r>
              <w:rPr>
                <w:sz w:val="22"/>
              </w:rPr>
              <w:t>56% before vs.69% after</w:t>
            </w:r>
          </w:p>
        </w:tc>
      </w:tr>
      <w:tr w:rsidR="00000000">
        <w:tblPrEx>
          <w:tblCellMar>
            <w:top w:w="0" w:type="dxa"/>
            <w:bottom w:w="0" w:type="dxa"/>
          </w:tblCellMar>
        </w:tblPrEx>
        <w:tc>
          <w:tcPr>
            <w:tcW w:w="2790" w:type="dxa"/>
            <w:tcBorders>
              <w:bottom w:val="nil"/>
            </w:tcBorders>
          </w:tcPr>
          <w:p w:rsidR="00000000" w:rsidRDefault="00216019">
            <w:pPr>
              <w:rPr>
                <w:sz w:val="22"/>
              </w:rPr>
            </w:pPr>
            <w:r>
              <w:rPr>
                <w:b/>
                <w:sz w:val="22"/>
                <w:u w:val="single"/>
              </w:rPr>
              <w:lastRenderedPageBreak/>
              <w:t>Preventive Care</w:t>
            </w:r>
            <w:r>
              <w:rPr>
                <w:b/>
                <w:sz w:val="22"/>
              </w:rPr>
              <w:t xml:space="preserve"> </w:t>
            </w:r>
            <w:r>
              <w:rPr>
                <w:sz w:val="22"/>
              </w:rPr>
              <w:t>–</w:t>
            </w:r>
          </w:p>
        </w:tc>
        <w:tc>
          <w:tcPr>
            <w:tcW w:w="1980" w:type="dxa"/>
            <w:tcBorders>
              <w:bottom w:val="nil"/>
            </w:tcBorders>
          </w:tcPr>
          <w:p w:rsidR="00000000" w:rsidRDefault="00216019">
            <w:r>
              <w:rPr>
                <w:sz w:val="22"/>
              </w:rPr>
              <w:t>Children were more likely to have ‘always’ received needed routine preventative care (e.g. physical exams or vaccinations) (percentage not available).</w:t>
            </w:r>
          </w:p>
        </w:tc>
        <w:tc>
          <w:tcPr>
            <w:tcW w:w="1980" w:type="dxa"/>
            <w:tcBorders>
              <w:bottom w:val="nil"/>
            </w:tcBorders>
          </w:tcPr>
          <w:p w:rsidR="00000000" w:rsidRDefault="00216019">
            <w:r>
              <w:rPr>
                <w:sz w:val="22"/>
              </w:rPr>
              <w:t>C</w:t>
            </w:r>
            <w:r>
              <w:rPr>
                <w:sz w:val="22"/>
              </w:rPr>
              <w:t>hildren were more likely to have ‘always’ received needed routine preventative care (e.g. physical exams or vaccinations)  (60% before vs. 82% after).</w:t>
            </w:r>
          </w:p>
        </w:tc>
        <w:tc>
          <w:tcPr>
            <w:tcW w:w="1980" w:type="dxa"/>
            <w:tcBorders>
              <w:bottom w:val="nil"/>
            </w:tcBorders>
          </w:tcPr>
          <w:p w:rsidR="00000000" w:rsidRDefault="00216019">
            <w:pPr>
              <w:rPr>
                <w:sz w:val="22"/>
              </w:rPr>
            </w:pPr>
            <w:r>
              <w:rPr>
                <w:sz w:val="22"/>
              </w:rPr>
              <w:t>Children were more likely to have “always” received needed routine preventive care (e.g. physical exams o</w:t>
            </w:r>
            <w:r>
              <w:rPr>
                <w:sz w:val="22"/>
              </w:rPr>
              <w:t xml:space="preserve">r vaccinations) (65% before vs. 82% after) </w:t>
            </w:r>
          </w:p>
          <w:p w:rsidR="00000000" w:rsidRDefault="00216019">
            <w:pPr>
              <w:rPr>
                <w:sz w:val="22"/>
              </w:rPr>
            </w:pPr>
          </w:p>
          <w:p w:rsidR="00000000" w:rsidRDefault="00216019">
            <w:pPr>
              <w:rPr>
                <w:sz w:val="22"/>
              </w:rPr>
            </w:pPr>
            <w:r>
              <w:rPr>
                <w:sz w:val="22"/>
              </w:rPr>
              <w:t>Children were also as likely to receive anticipatory guidance (preventive counseling) as before they joined.</w:t>
            </w:r>
          </w:p>
        </w:tc>
      </w:tr>
      <w:tr w:rsidR="00000000">
        <w:tblPrEx>
          <w:tblCellMar>
            <w:top w:w="0" w:type="dxa"/>
            <w:bottom w:w="0" w:type="dxa"/>
          </w:tblCellMar>
        </w:tblPrEx>
        <w:tc>
          <w:tcPr>
            <w:tcW w:w="2790" w:type="dxa"/>
            <w:tcBorders>
              <w:bottom w:val="nil"/>
            </w:tcBorders>
          </w:tcPr>
          <w:p w:rsidR="00000000" w:rsidRDefault="00216019">
            <w:pPr>
              <w:rPr>
                <w:sz w:val="22"/>
              </w:rPr>
            </w:pPr>
            <w:r>
              <w:rPr>
                <w:b/>
                <w:sz w:val="22"/>
                <w:u w:val="single"/>
              </w:rPr>
              <w:t>Other Care</w:t>
            </w:r>
            <w:r>
              <w:rPr>
                <w:b/>
                <w:sz w:val="22"/>
              </w:rPr>
              <w:t xml:space="preserve"> – </w:t>
            </w:r>
            <w:r>
              <w:rPr>
                <w:sz w:val="22"/>
              </w:rPr>
              <w:t>Children had similar need for vision care, however:</w:t>
            </w:r>
          </w:p>
        </w:tc>
        <w:tc>
          <w:tcPr>
            <w:tcW w:w="1980" w:type="dxa"/>
            <w:tcBorders>
              <w:bottom w:val="nil"/>
            </w:tcBorders>
          </w:tcPr>
          <w:p w:rsidR="00000000" w:rsidRDefault="00216019">
            <w:pPr>
              <w:rPr>
                <w:sz w:val="22"/>
              </w:rPr>
            </w:pPr>
          </w:p>
        </w:tc>
        <w:tc>
          <w:tcPr>
            <w:tcW w:w="1980" w:type="dxa"/>
            <w:tcBorders>
              <w:bottom w:val="nil"/>
            </w:tcBorders>
          </w:tcPr>
          <w:p w:rsidR="00000000" w:rsidRDefault="00216019">
            <w:pPr>
              <w:rPr>
                <w:sz w:val="22"/>
              </w:rPr>
            </w:pPr>
          </w:p>
        </w:tc>
        <w:tc>
          <w:tcPr>
            <w:tcW w:w="1980" w:type="dxa"/>
            <w:tcBorders>
              <w:bottom w:val="nil"/>
            </w:tcBorders>
          </w:tcPr>
          <w:p w:rsidR="00000000" w:rsidRDefault="00216019">
            <w:pPr>
              <w:rPr>
                <w:sz w:val="22"/>
              </w:rPr>
            </w:pP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11"/>
              </w:numPr>
              <w:rPr>
                <w:sz w:val="22"/>
              </w:rPr>
            </w:pPr>
            <w:r>
              <w:rPr>
                <w:sz w:val="22"/>
              </w:rPr>
              <w:t>they were less likely to have be</w:t>
            </w:r>
            <w:r>
              <w:rPr>
                <w:sz w:val="22"/>
              </w:rPr>
              <w:t>en stopped from receiving vision care.</w:t>
            </w:r>
          </w:p>
        </w:tc>
        <w:tc>
          <w:tcPr>
            <w:tcW w:w="1980" w:type="dxa"/>
            <w:tcBorders>
              <w:top w:val="nil"/>
              <w:bottom w:val="nil"/>
            </w:tcBorders>
          </w:tcPr>
          <w:p w:rsidR="00000000" w:rsidRDefault="00216019">
            <w:pPr>
              <w:rPr>
                <w:sz w:val="22"/>
              </w:rPr>
            </w:pPr>
            <w:r>
              <w:rPr>
                <w:sz w:val="22"/>
              </w:rPr>
              <w:t>41% before vs. 15% after</w:t>
            </w:r>
          </w:p>
        </w:tc>
        <w:tc>
          <w:tcPr>
            <w:tcW w:w="1980" w:type="dxa"/>
            <w:tcBorders>
              <w:top w:val="nil"/>
              <w:bottom w:val="nil"/>
            </w:tcBorders>
          </w:tcPr>
          <w:p w:rsidR="00000000" w:rsidRDefault="00216019">
            <w:pPr>
              <w:rPr>
                <w:sz w:val="22"/>
              </w:rPr>
            </w:pPr>
            <w:r>
              <w:rPr>
                <w:sz w:val="22"/>
              </w:rPr>
              <w:t>38% before vs. 14% after</w:t>
            </w:r>
          </w:p>
        </w:tc>
        <w:tc>
          <w:tcPr>
            <w:tcW w:w="1980" w:type="dxa"/>
            <w:tcBorders>
              <w:top w:val="nil"/>
              <w:bottom w:val="nil"/>
            </w:tcBorders>
          </w:tcPr>
          <w:p w:rsidR="00000000" w:rsidRDefault="00216019">
            <w:pPr>
              <w:rPr>
                <w:sz w:val="22"/>
              </w:rPr>
            </w:pPr>
            <w:r>
              <w:rPr>
                <w:sz w:val="22"/>
              </w:rPr>
              <w:t>32% before vs. 9% after</w:t>
            </w:r>
          </w:p>
        </w:tc>
      </w:tr>
      <w:tr w:rsidR="00000000">
        <w:tblPrEx>
          <w:tblCellMar>
            <w:top w:w="0" w:type="dxa"/>
            <w:bottom w:w="0" w:type="dxa"/>
          </w:tblCellMar>
        </w:tblPrEx>
        <w:tc>
          <w:tcPr>
            <w:tcW w:w="2790" w:type="dxa"/>
            <w:tcBorders>
              <w:top w:val="nil"/>
              <w:bottom w:val="nil"/>
            </w:tcBorders>
          </w:tcPr>
          <w:p w:rsidR="00000000" w:rsidRDefault="00216019">
            <w:pPr>
              <w:rPr>
                <w:sz w:val="22"/>
              </w:rPr>
            </w:pPr>
            <w:r>
              <w:rPr>
                <w:sz w:val="22"/>
              </w:rPr>
              <w:t>Children had a similar need for behavioral or emotional care, however:</w:t>
            </w:r>
          </w:p>
        </w:tc>
        <w:tc>
          <w:tcPr>
            <w:tcW w:w="1980" w:type="dxa"/>
            <w:tcBorders>
              <w:top w:val="nil"/>
              <w:bottom w:val="nil"/>
            </w:tcBorders>
          </w:tcPr>
          <w:p w:rsidR="00000000" w:rsidRDefault="00216019">
            <w:pPr>
              <w:rPr>
                <w:sz w:val="22"/>
              </w:rPr>
            </w:pPr>
          </w:p>
        </w:tc>
        <w:tc>
          <w:tcPr>
            <w:tcW w:w="1980" w:type="dxa"/>
            <w:tcBorders>
              <w:top w:val="nil"/>
              <w:bottom w:val="nil"/>
            </w:tcBorders>
          </w:tcPr>
          <w:p w:rsidR="00000000" w:rsidRDefault="00216019">
            <w:pPr>
              <w:rPr>
                <w:sz w:val="22"/>
              </w:rPr>
            </w:pPr>
          </w:p>
        </w:tc>
        <w:tc>
          <w:tcPr>
            <w:tcW w:w="1980" w:type="dxa"/>
            <w:tcBorders>
              <w:top w:val="nil"/>
              <w:bottom w:val="nil"/>
            </w:tcBorders>
          </w:tcPr>
          <w:p w:rsidR="00000000" w:rsidRDefault="00216019">
            <w:pPr>
              <w:rPr>
                <w:sz w:val="22"/>
              </w:rPr>
            </w:pP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12"/>
              </w:numPr>
              <w:rPr>
                <w:sz w:val="22"/>
              </w:rPr>
            </w:pPr>
            <w:r>
              <w:rPr>
                <w:sz w:val="22"/>
              </w:rPr>
              <w:t>they were less likely to have been stopped from receiving behaviora</w:t>
            </w:r>
            <w:r>
              <w:rPr>
                <w:sz w:val="22"/>
              </w:rPr>
              <w:t>l or emotional care.</w:t>
            </w:r>
          </w:p>
        </w:tc>
        <w:tc>
          <w:tcPr>
            <w:tcW w:w="1980" w:type="dxa"/>
            <w:tcBorders>
              <w:top w:val="nil"/>
              <w:bottom w:val="nil"/>
            </w:tcBorders>
          </w:tcPr>
          <w:p w:rsidR="00000000" w:rsidRDefault="00216019">
            <w:pPr>
              <w:rPr>
                <w:sz w:val="22"/>
              </w:rPr>
            </w:pPr>
            <w:r>
              <w:rPr>
                <w:sz w:val="22"/>
              </w:rPr>
              <w:t>44% before vs. 15% after</w:t>
            </w:r>
          </w:p>
        </w:tc>
        <w:tc>
          <w:tcPr>
            <w:tcW w:w="1980" w:type="dxa"/>
            <w:tcBorders>
              <w:top w:val="nil"/>
              <w:bottom w:val="nil"/>
            </w:tcBorders>
          </w:tcPr>
          <w:p w:rsidR="00000000" w:rsidRDefault="00216019">
            <w:pPr>
              <w:rPr>
                <w:sz w:val="22"/>
              </w:rPr>
            </w:pPr>
            <w:r>
              <w:rPr>
                <w:sz w:val="22"/>
              </w:rPr>
              <w:t>39% before vs. 17% after</w:t>
            </w:r>
          </w:p>
        </w:tc>
        <w:tc>
          <w:tcPr>
            <w:tcW w:w="1980" w:type="dxa"/>
            <w:tcBorders>
              <w:top w:val="nil"/>
              <w:bottom w:val="nil"/>
            </w:tcBorders>
          </w:tcPr>
          <w:p w:rsidR="00000000" w:rsidRDefault="00216019">
            <w:pPr>
              <w:rPr>
                <w:sz w:val="22"/>
              </w:rPr>
            </w:pPr>
            <w:r>
              <w:rPr>
                <w:sz w:val="22"/>
              </w:rPr>
              <w:t>39% before vs. 16% after</w:t>
            </w:r>
          </w:p>
        </w:tc>
      </w:tr>
      <w:tr w:rsidR="00000000">
        <w:tblPrEx>
          <w:tblCellMar>
            <w:top w:w="0" w:type="dxa"/>
            <w:bottom w:w="0" w:type="dxa"/>
          </w:tblCellMar>
        </w:tblPrEx>
        <w:tc>
          <w:tcPr>
            <w:tcW w:w="2790" w:type="dxa"/>
            <w:tcBorders>
              <w:top w:val="nil"/>
              <w:bottom w:val="nil"/>
            </w:tcBorders>
          </w:tcPr>
          <w:p w:rsidR="00000000" w:rsidRDefault="00216019">
            <w:pPr>
              <w:rPr>
                <w:sz w:val="22"/>
              </w:rPr>
            </w:pPr>
            <w:r>
              <w:rPr>
                <w:sz w:val="22"/>
              </w:rPr>
              <w:t>Children had a similar need for prescription medicine, however:</w:t>
            </w:r>
          </w:p>
        </w:tc>
        <w:tc>
          <w:tcPr>
            <w:tcW w:w="1980" w:type="dxa"/>
            <w:tcBorders>
              <w:top w:val="nil"/>
              <w:bottom w:val="nil"/>
            </w:tcBorders>
          </w:tcPr>
          <w:p w:rsidR="00000000" w:rsidRDefault="00216019">
            <w:pPr>
              <w:rPr>
                <w:sz w:val="22"/>
              </w:rPr>
            </w:pPr>
          </w:p>
        </w:tc>
        <w:tc>
          <w:tcPr>
            <w:tcW w:w="1980" w:type="dxa"/>
            <w:tcBorders>
              <w:top w:val="nil"/>
              <w:bottom w:val="nil"/>
            </w:tcBorders>
          </w:tcPr>
          <w:p w:rsidR="00000000" w:rsidRDefault="00216019">
            <w:pPr>
              <w:rPr>
                <w:sz w:val="22"/>
              </w:rPr>
            </w:pPr>
          </w:p>
        </w:tc>
        <w:tc>
          <w:tcPr>
            <w:tcW w:w="1980" w:type="dxa"/>
            <w:tcBorders>
              <w:top w:val="nil"/>
              <w:bottom w:val="nil"/>
            </w:tcBorders>
          </w:tcPr>
          <w:p w:rsidR="00000000" w:rsidRDefault="00216019">
            <w:pPr>
              <w:rPr>
                <w:sz w:val="22"/>
              </w:rPr>
            </w:pPr>
            <w:r>
              <w:rPr>
                <w:sz w:val="22"/>
              </w:rPr>
              <w:t>Perceived need for prescription medicine increased from 70% to 75%, however,</w:t>
            </w:r>
          </w:p>
        </w:tc>
      </w:tr>
      <w:tr w:rsidR="00000000">
        <w:tblPrEx>
          <w:tblCellMar>
            <w:top w:w="0" w:type="dxa"/>
            <w:bottom w:w="0" w:type="dxa"/>
          </w:tblCellMar>
        </w:tblPrEx>
        <w:tc>
          <w:tcPr>
            <w:tcW w:w="2790" w:type="dxa"/>
            <w:tcBorders>
              <w:top w:val="nil"/>
              <w:bottom w:val="single" w:sz="4" w:space="0" w:color="auto"/>
            </w:tcBorders>
          </w:tcPr>
          <w:p w:rsidR="00000000" w:rsidRDefault="00216019" w:rsidP="00216019">
            <w:pPr>
              <w:numPr>
                <w:ilvl w:val="0"/>
                <w:numId w:val="13"/>
              </w:numPr>
              <w:rPr>
                <w:sz w:val="22"/>
              </w:rPr>
            </w:pPr>
            <w:r>
              <w:rPr>
                <w:sz w:val="22"/>
              </w:rPr>
              <w:t xml:space="preserve">they were less </w:t>
            </w:r>
            <w:r>
              <w:rPr>
                <w:sz w:val="22"/>
              </w:rPr>
              <w:t>likely to have been stopped from receiving prescription medicines.</w:t>
            </w:r>
          </w:p>
        </w:tc>
        <w:tc>
          <w:tcPr>
            <w:tcW w:w="1980" w:type="dxa"/>
            <w:tcBorders>
              <w:top w:val="nil"/>
              <w:bottom w:val="single" w:sz="4" w:space="0" w:color="auto"/>
            </w:tcBorders>
          </w:tcPr>
          <w:p w:rsidR="00000000" w:rsidRDefault="00216019">
            <w:pPr>
              <w:rPr>
                <w:sz w:val="22"/>
              </w:rPr>
            </w:pPr>
            <w:r>
              <w:rPr>
                <w:sz w:val="22"/>
              </w:rPr>
              <w:t>20% before vs. 10% after</w:t>
            </w:r>
          </w:p>
        </w:tc>
        <w:tc>
          <w:tcPr>
            <w:tcW w:w="1980" w:type="dxa"/>
            <w:tcBorders>
              <w:top w:val="nil"/>
              <w:bottom w:val="single" w:sz="4" w:space="0" w:color="auto"/>
            </w:tcBorders>
          </w:tcPr>
          <w:p w:rsidR="00000000" w:rsidRDefault="00216019">
            <w:pPr>
              <w:rPr>
                <w:sz w:val="22"/>
              </w:rPr>
            </w:pPr>
            <w:r>
              <w:rPr>
                <w:sz w:val="22"/>
              </w:rPr>
              <w:t>17% before vs. 8% after</w:t>
            </w:r>
          </w:p>
        </w:tc>
        <w:tc>
          <w:tcPr>
            <w:tcW w:w="1980" w:type="dxa"/>
            <w:tcBorders>
              <w:top w:val="nil"/>
              <w:bottom w:val="single" w:sz="4" w:space="0" w:color="auto"/>
            </w:tcBorders>
          </w:tcPr>
          <w:p w:rsidR="00000000" w:rsidRDefault="00216019">
            <w:pPr>
              <w:rPr>
                <w:sz w:val="22"/>
              </w:rPr>
            </w:pPr>
            <w:r>
              <w:rPr>
                <w:sz w:val="22"/>
              </w:rPr>
              <w:t>15% before vs. 10% after</w:t>
            </w:r>
          </w:p>
        </w:tc>
      </w:tr>
      <w:tr w:rsidR="00000000">
        <w:tblPrEx>
          <w:tblCellMar>
            <w:top w:w="0" w:type="dxa"/>
            <w:bottom w:w="0" w:type="dxa"/>
          </w:tblCellMar>
        </w:tblPrEx>
        <w:tc>
          <w:tcPr>
            <w:tcW w:w="2790" w:type="dxa"/>
            <w:tcBorders>
              <w:top w:val="nil"/>
              <w:bottom w:val="nil"/>
            </w:tcBorders>
          </w:tcPr>
          <w:p w:rsidR="00000000" w:rsidRDefault="00216019">
            <w:pPr>
              <w:rPr>
                <w:sz w:val="22"/>
              </w:rPr>
            </w:pPr>
            <w:r>
              <w:rPr>
                <w:b/>
                <w:sz w:val="22"/>
                <w:u w:val="single"/>
              </w:rPr>
              <w:lastRenderedPageBreak/>
              <w:t>Health Status</w:t>
            </w:r>
            <w:r>
              <w:rPr>
                <w:b/>
                <w:sz w:val="22"/>
              </w:rPr>
              <w:t xml:space="preserve"> –</w:t>
            </w:r>
          </w:p>
        </w:tc>
        <w:tc>
          <w:tcPr>
            <w:tcW w:w="1980" w:type="dxa"/>
            <w:tcBorders>
              <w:top w:val="nil"/>
              <w:bottom w:val="nil"/>
            </w:tcBorders>
          </w:tcPr>
          <w:p w:rsidR="00000000" w:rsidRDefault="00216019">
            <w:pPr>
              <w:rPr>
                <w:sz w:val="22"/>
              </w:rPr>
            </w:pPr>
          </w:p>
        </w:tc>
        <w:tc>
          <w:tcPr>
            <w:tcW w:w="1980" w:type="dxa"/>
            <w:tcBorders>
              <w:top w:val="nil"/>
              <w:bottom w:val="nil"/>
            </w:tcBorders>
          </w:tcPr>
          <w:p w:rsidR="00000000" w:rsidRDefault="00216019">
            <w:pPr>
              <w:rPr>
                <w:sz w:val="22"/>
              </w:rPr>
            </w:pPr>
          </w:p>
        </w:tc>
        <w:tc>
          <w:tcPr>
            <w:tcW w:w="1980" w:type="dxa"/>
            <w:tcBorders>
              <w:top w:val="nil"/>
              <w:bottom w:val="nil"/>
            </w:tcBorders>
          </w:tcPr>
          <w:p w:rsidR="00000000" w:rsidRDefault="00216019">
            <w:pPr>
              <w:rPr>
                <w:sz w:val="22"/>
              </w:rPr>
            </w:pP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14"/>
              </w:numPr>
              <w:rPr>
                <w:sz w:val="22"/>
              </w:rPr>
            </w:pPr>
            <w:r>
              <w:rPr>
                <w:sz w:val="22"/>
              </w:rPr>
              <w:t>children’s overall health status was rated higher</w:t>
            </w:r>
          </w:p>
        </w:tc>
        <w:tc>
          <w:tcPr>
            <w:tcW w:w="1980" w:type="dxa"/>
            <w:tcBorders>
              <w:top w:val="nil"/>
              <w:bottom w:val="nil"/>
            </w:tcBorders>
          </w:tcPr>
          <w:p w:rsidR="00000000" w:rsidRDefault="00216019">
            <w:pPr>
              <w:rPr>
                <w:sz w:val="22"/>
              </w:rPr>
            </w:pPr>
            <w:r>
              <w:rPr>
                <w:sz w:val="22"/>
              </w:rPr>
              <w:t>43% were rated in excellent health before vs</w:t>
            </w:r>
            <w:r>
              <w:rPr>
                <w:sz w:val="22"/>
              </w:rPr>
              <w:t>. 47% after</w:t>
            </w:r>
          </w:p>
        </w:tc>
        <w:tc>
          <w:tcPr>
            <w:tcW w:w="1980" w:type="dxa"/>
            <w:tcBorders>
              <w:top w:val="nil"/>
              <w:bottom w:val="nil"/>
            </w:tcBorders>
          </w:tcPr>
          <w:p w:rsidR="00000000" w:rsidRDefault="00216019">
            <w:pPr>
              <w:rPr>
                <w:sz w:val="22"/>
              </w:rPr>
            </w:pPr>
            <w:r>
              <w:rPr>
                <w:sz w:val="22"/>
              </w:rPr>
              <w:t>44% were rated in excellent health before vs. 50% after</w:t>
            </w:r>
          </w:p>
        </w:tc>
        <w:tc>
          <w:tcPr>
            <w:tcW w:w="1980" w:type="dxa"/>
            <w:tcBorders>
              <w:top w:val="nil"/>
              <w:bottom w:val="nil"/>
            </w:tcBorders>
          </w:tcPr>
          <w:p w:rsidR="00000000" w:rsidRDefault="00216019">
            <w:pPr>
              <w:rPr>
                <w:sz w:val="22"/>
              </w:rPr>
            </w:pPr>
            <w:r>
              <w:rPr>
                <w:sz w:val="22"/>
              </w:rPr>
              <w:t>45% were rated in excellent health before vs. 46% after</w:t>
            </w:r>
          </w:p>
          <w:p w:rsidR="00000000" w:rsidRDefault="00216019">
            <w:pPr>
              <w:rPr>
                <w:sz w:val="22"/>
              </w:rPr>
            </w:pP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15"/>
              </w:numPr>
              <w:rPr>
                <w:sz w:val="22"/>
              </w:rPr>
            </w:pPr>
            <w:r>
              <w:rPr>
                <w:sz w:val="22"/>
              </w:rPr>
              <w:t>more children’s health  was thought to be     better than one year earlier.</w:t>
            </w:r>
          </w:p>
        </w:tc>
        <w:tc>
          <w:tcPr>
            <w:tcW w:w="1980" w:type="dxa"/>
            <w:tcBorders>
              <w:top w:val="nil"/>
              <w:bottom w:val="nil"/>
            </w:tcBorders>
          </w:tcPr>
          <w:p w:rsidR="00000000" w:rsidRDefault="00216019">
            <w:pPr>
              <w:rPr>
                <w:sz w:val="22"/>
              </w:rPr>
            </w:pPr>
            <w:r>
              <w:rPr>
                <w:sz w:val="22"/>
              </w:rPr>
              <w:t>26% before vs. 32% after</w:t>
            </w:r>
          </w:p>
        </w:tc>
        <w:tc>
          <w:tcPr>
            <w:tcW w:w="1980" w:type="dxa"/>
            <w:tcBorders>
              <w:top w:val="nil"/>
              <w:bottom w:val="nil"/>
            </w:tcBorders>
          </w:tcPr>
          <w:p w:rsidR="00000000" w:rsidRDefault="00216019">
            <w:pPr>
              <w:rPr>
                <w:sz w:val="22"/>
              </w:rPr>
            </w:pPr>
            <w:r>
              <w:rPr>
                <w:sz w:val="22"/>
              </w:rPr>
              <w:t>26% before vs. 31% after</w:t>
            </w:r>
          </w:p>
        </w:tc>
        <w:tc>
          <w:tcPr>
            <w:tcW w:w="1980" w:type="dxa"/>
            <w:tcBorders>
              <w:top w:val="nil"/>
              <w:bottom w:val="nil"/>
            </w:tcBorders>
          </w:tcPr>
          <w:p w:rsidR="00000000" w:rsidRDefault="00216019">
            <w:pPr>
              <w:rPr>
                <w:sz w:val="22"/>
              </w:rPr>
            </w:pPr>
            <w:r>
              <w:rPr>
                <w:sz w:val="22"/>
              </w:rPr>
              <w:t xml:space="preserve">24% </w:t>
            </w:r>
            <w:r>
              <w:rPr>
                <w:sz w:val="22"/>
              </w:rPr>
              <w:t>before vs. 30% after</w:t>
            </w: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16"/>
              </w:numPr>
              <w:rPr>
                <w:sz w:val="22"/>
              </w:rPr>
            </w:pPr>
            <w:r>
              <w:rPr>
                <w:sz w:val="22"/>
              </w:rPr>
              <w:t>children had fewer sick days in the previous four weeks</w:t>
            </w:r>
          </w:p>
        </w:tc>
        <w:tc>
          <w:tcPr>
            <w:tcW w:w="1980" w:type="dxa"/>
            <w:tcBorders>
              <w:top w:val="nil"/>
              <w:bottom w:val="nil"/>
            </w:tcBorders>
          </w:tcPr>
          <w:p w:rsidR="00000000" w:rsidRDefault="00216019">
            <w:pPr>
              <w:rPr>
                <w:sz w:val="22"/>
              </w:rPr>
            </w:pPr>
            <w:r>
              <w:rPr>
                <w:sz w:val="22"/>
              </w:rPr>
              <w:t>74% before without a sick day vs. 82% after</w:t>
            </w:r>
          </w:p>
        </w:tc>
        <w:tc>
          <w:tcPr>
            <w:tcW w:w="1980" w:type="dxa"/>
            <w:tcBorders>
              <w:top w:val="nil"/>
              <w:bottom w:val="nil"/>
            </w:tcBorders>
          </w:tcPr>
          <w:p w:rsidR="00000000" w:rsidRDefault="00216019">
            <w:pPr>
              <w:rPr>
                <w:sz w:val="22"/>
              </w:rPr>
            </w:pPr>
            <w:r>
              <w:rPr>
                <w:sz w:val="22"/>
              </w:rPr>
              <w:t>80% before without a sick day vs. 83% after</w:t>
            </w:r>
          </w:p>
        </w:tc>
        <w:tc>
          <w:tcPr>
            <w:tcW w:w="1980" w:type="dxa"/>
            <w:tcBorders>
              <w:top w:val="nil"/>
              <w:bottom w:val="nil"/>
            </w:tcBorders>
          </w:tcPr>
          <w:p w:rsidR="00000000" w:rsidRDefault="00216019">
            <w:pPr>
              <w:rPr>
                <w:sz w:val="22"/>
              </w:rPr>
            </w:pPr>
            <w:r>
              <w:rPr>
                <w:sz w:val="22"/>
              </w:rPr>
              <w:t>79% before without a sick day vs. 82% after</w:t>
            </w:r>
          </w:p>
          <w:p w:rsidR="00000000" w:rsidRDefault="00216019">
            <w:pPr>
              <w:rPr>
                <w:sz w:val="22"/>
              </w:rPr>
            </w:pPr>
          </w:p>
        </w:tc>
      </w:tr>
      <w:tr w:rsidR="00000000">
        <w:tblPrEx>
          <w:tblCellMar>
            <w:top w:w="0" w:type="dxa"/>
            <w:bottom w:w="0" w:type="dxa"/>
          </w:tblCellMar>
        </w:tblPrEx>
        <w:tc>
          <w:tcPr>
            <w:tcW w:w="2790" w:type="dxa"/>
            <w:tcBorders>
              <w:top w:val="nil"/>
              <w:bottom w:val="single" w:sz="4" w:space="0" w:color="auto"/>
            </w:tcBorders>
          </w:tcPr>
          <w:p w:rsidR="00000000" w:rsidRDefault="00216019" w:rsidP="00216019">
            <w:pPr>
              <w:numPr>
                <w:ilvl w:val="0"/>
                <w:numId w:val="17"/>
              </w:numPr>
              <w:rPr>
                <w:sz w:val="22"/>
              </w:rPr>
            </w:pPr>
            <w:r>
              <w:rPr>
                <w:sz w:val="22"/>
              </w:rPr>
              <w:t>1 in 4 children with a chronic condition had</w:t>
            </w:r>
            <w:r>
              <w:rPr>
                <w:sz w:val="22"/>
              </w:rPr>
              <w:t xml:space="preserve"> the condition detected because of care provided while in the </w:t>
            </w:r>
            <w:r>
              <w:rPr>
                <w:b/>
                <w:i/>
                <w:sz w:val="22"/>
              </w:rPr>
              <w:t>hawk-i</w:t>
            </w:r>
            <w:r>
              <w:rPr>
                <w:sz w:val="22"/>
              </w:rPr>
              <w:t xml:space="preserve"> Program.</w:t>
            </w:r>
          </w:p>
        </w:tc>
        <w:tc>
          <w:tcPr>
            <w:tcW w:w="1980" w:type="dxa"/>
            <w:tcBorders>
              <w:top w:val="nil"/>
              <w:bottom w:val="single" w:sz="4" w:space="0" w:color="auto"/>
            </w:tcBorders>
          </w:tcPr>
          <w:p w:rsidR="00000000" w:rsidRDefault="00216019">
            <w:pPr>
              <w:rPr>
                <w:sz w:val="22"/>
              </w:rPr>
            </w:pPr>
            <w:r>
              <w:rPr>
                <w:sz w:val="22"/>
              </w:rPr>
              <w:t>Percentage not available.</w:t>
            </w:r>
          </w:p>
        </w:tc>
        <w:tc>
          <w:tcPr>
            <w:tcW w:w="1980" w:type="dxa"/>
            <w:tcBorders>
              <w:top w:val="nil"/>
              <w:bottom w:val="single" w:sz="4" w:space="0" w:color="auto"/>
            </w:tcBorders>
          </w:tcPr>
          <w:p w:rsidR="00000000" w:rsidRDefault="00216019">
            <w:pPr>
              <w:rPr>
                <w:sz w:val="22"/>
              </w:rPr>
            </w:pPr>
            <w:r>
              <w:rPr>
                <w:sz w:val="22"/>
              </w:rPr>
              <w:t>28%</w:t>
            </w:r>
          </w:p>
        </w:tc>
        <w:tc>
          <w:tcPr>
            <w:tcW w:w="1980" w:type="dxa"/>
            <w:tcBorders>
              <w:top w:val="nil"/>
              <w:bottom w:val="single" w:sz="4" w:space="0" w:color="auto"/>
            </w:tcBorders>
          </w:tcPr>
          <w:p w:rsidR="00000000" w:rsidRDefault="00216019">
            <w:pPr>
              <w:rPr>
                <w:sz w:val="22"/>
              </w:rPr>
            </w:pPr>
            <w:r>
              <w:rPr>
                <w:sz w:val="22"/>
              </w:rPr>
              <w:t>Percentage not available.</w:t>
            </w:r>
          </w:p>
        </w:tc>
      </w:tr>
      <w:tr w:rsidR="00000000">
        <w:tblPrEx>
          <w:tblCellMar>
            <w:top w:w="0" w:type="dxa"/>
            <w:bottom w:w="0" w:type="dxa"/>
          </w:tblCellMar>
        </w:tblPrEx>
        <w:tc>
          <w:tcPr>
            <w:tcW w:w="2790" w:type="dxa"/>
            <w:tcBorders>
              <w:top w:val="nil"/>
              <w:bottom w:val="nil"/>
            </w:tcBorders>
          </w:tcPr>
          <w:p w:rsidR="00000000" w:rsidRDefault="00216019">
            <w:pPr>
              <w:tabs>
                <w:tab w:val="num" w:pos="765"/>
              </w:tabs>
              <w:rPr>
                <w:sz w:val="22"/>
              </w:rPr>
            </w:pPr>
            <w:r>
              <w:rPr>
                <w:b/>
                <w:sz w:val="22"/>
                <w:u w:val="single"/>
              </w:rPr>
              <w:t>Impact on Families</w:t>
            </w:r>
            <w:r>
              <w:rPr>
                <w:b/>
                <w:sz w:val="22"/>
              </w:rPr>
              <w:t xml:space="preserve"> –</w:t>
            </w:r>
          </w:p>
        </w:tc>
        <w:tc>
          <w:tcPr>
            <w:tcW w:w="1980" w:type="dxa"/>
            <w:tcBorders>
              <w:top w:val="nil"/>
              <w:bottom w:val="nil"/>
            </w:tcBorders>
          </w:tcPr>
          <w:p w:rsidR="00000000" w:rsidRDefault="00216019">
            <w:pPr>
              <w:rPr>
                <w:sz w:val="22"/>
              </w:rPr>
            </w:pPr>
          </w:p>
        </w:tc>
        <w:tc>
          <w:tcPr>
            <w:tcW w:w="1980" w:type="dxa"/>
            <w:tcBorders>
              <w:top w:val="nil"/>
              <w:bottom w:val="nil"/>
            </w:tcBorders>
          </w:tcPr>
          <w:p w:rsidR="00000000" w:rsidRDefault="00216019">
            <w:pPr>
              <w:rPr>
                <w:sz w:val="22"/>
              </w:rPr>
            </w:pPr>
          </w:p>
        </w:tc>
        <w:tc>
          <w:tcPr>
            <w:tcW w:w="1980" w:type="dxa"/>
            <w:tcBorders>
              <w:top w:val="nil"/>
              <w:bottom w:val="nil"/>
            </w:tcBorders>
          </w:tcPr>
          <w:p w:rsidR="00000000" w:rsidRDefault="00216019">
            <w:pPr>
              <w:rPr>
                <w:sz w:val="22"/>
              </w:rPr>
            </w:pP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18"/>
              </w:numPr>
              <w:rPr>
                <w:sz w:val="22"/>
              </w:rPr>
            </w:pPr>
            <w:r>
              <w:rPr>
                <w:sz w:val="22"/>
              </w:rPr>
              <w:t>stress was reduced</w:t>
            </w:r>
          </w:p>
        </w:tc>
        <w:tc>
          <w:tcPr>
            <w:tcW w:w="1980" w:type="dxa"/>
            <w:tcBorders>
              <w:top w:val="nil"/>
              <w:bottom w:val="nil"/>
            </w:tcBorders>
          </w:tcPr>
          <w:p w:rsidR="00000000" w:rsidRDefault="00216019">
            <w:pPr>
              <w:rPr>
                <w:sz w:val="22"/>
              </w:rPr>
            </w:pPr>
            <w:r>
              <w:rPr>
                <w:sz w:val="22"/>
              </w:rPr>
              <w:t xml:space="preserve">In 95% of families - more than 75% of families said it had reduced stress “a </w:t>
            </w:r>
            <w:r>
              <w:rPr>
                <w:sz w:val="22"/>
              </w:rPr>
              <w:t>lot”</w:t>
            </w:r>
          </w:p>
        </w:tc>
        <w:tc>
          <w:tcPr>
            <w:tcW w:w="1980" w:type="dxa"/>
            <w:tcBorders>
              <w:top w:val="nil"/>
              <w:bottom w:val="nil"/>
            </w:tcBorders>
          </w:tcPr>
          <w:p w:rsidR="00000000" w:rsidRDefault="00216019">
            <w:pPr>
              <w:rPr>
                <w:sz w:val="22"/>
              </w:rPr>
            </w:pPr>
            <w:r>
              <w:rPr>
                <w:sz w:val="22"/>
              </w:rPr>
              <w:t>In 96% of families - more than 75% of families said it had reduced stress “a lot”</w:t>
            </w:r>
          </w:p>
        </w:tc>
        <w:tc>
          <w:tcPr>
            <w:tcW w:w="1980" w:type="dxa"/>
            <w:tcBorders>
              <w:top w:val="nil"/>
              <w:bottom w:val="nil"/>
            </w:tcBorders>
          </w:tcPr>
          <w:p w:rsidR="00000000" w:rsidRDefault="00216019">
            <w:pPr>
              <w:rPr>
                <w:sz w:val="22"/>
              </w:rPr>
            </w:pPr>
            <w:r>
              <w:rPr>
                <w:sz w:val="22"/>
              </w:rPr>
              <w:t>In 96% of families – more than 75% of families said it had reduced stress “a lot”</w:t>
            </w:r>
          </w:p>
          <w:p w:rsidR="00000000" w:rsidRDefault="00216019">
            <w:pPr>
              <w:rPr>
                <w:sz w:val="22"/>
              </w:rPr>
            </w:pP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19"/>
              </w:numPr>
              <w:rPr>
                <w:sz w:val="22"/>
              </w:rPr>
            </w:pPr>
            <w:r>
              <w:rPr>
                <w:sz w:val="22"/>
              </w:rPr>
              <w:t>worry about the ability to pay for health care</w:t>
            </w:r>
          </w:p>
        </w:tc>
        <w:tc>
          <w:tcPr>
            <w:tcW w:w="1980" w:type="dxa"/>
            <w:tcBorders>
              <w:top w:val="nil"/>
              <w:bottom w:val="nil"/>
            </w:tcBorders>
          </w:tcPr>
          <w:p w:rsidR="00000000" w:rsidRDefault="00216019">
            <w:pPr>
              <w:rPr>
                <w:sz w:val="22"/>
              </w:rPr>
            </w:pPr>
            <w:r>
              <w:rPr>
                <w:sz w:val="22"/>
              </w:rPr>
              <w:t>Reduced significantly</w:t>
            </w:r>
          </w:p>
        </w:tc>
        <w:tc>
          <w:tcPr>
            <w:tcW w:w="1980" w:type="dxa"/>
            <w:tcBorders>
              <w:top w:val="nil"/>
              <w:bottom w:val="nil"/>
            </w:tcBorders>
          </w:tcPr>
          <w:p w:rsidR="00000000" w:rsidRDefault="00216019">
            <w:pPr>
              <w:rPr>
                <w:sz w:val="22"/>
              </w:rPr>
            </w:pPr>
            <w:r>
              <w:rPr>
                <w:sz w:val="22"/>
              </w:rPr>
              <w:t>57% worried “a g</w:t>
            </w:r>
            <w:r>
              <w:rPr>
                <w:sz w:val="22"/>
              </w:rPr>
              <w:t>reat deal” before vs. 19% after</w:t>
            </w:r>
          </w:p>
        </w:tc>
        <w:tc>
          <w:tcPr>
            <w:tcW w:w="1980" w:type="dxa"/>
            <w:tcBorders>
              <w:top w:val="nil"/>
              <w:bottom w:val="nil"/>
            </w:tcBorders>
          </w:tcPr>
          <w:p w:rsidR="00000000" w:rsidRDefault="00216019">
            <w:pPr>
              <w:rPr>
                <w:sz w:val="22"/>
              </w:rPr>
            </w:pPr>
            <w:r>
              <w:rPr>
                <w:sz w:val="22"/>
              </w:rPr>
              <w:t>54% worried “a great deal” before vs. 20% after</w:t>
            </w:r>
          </w:p>
          <w:p w:rsidR="00000000" w:rsidRDefault="00216019">
            <w:pPr>
              <w:rPr>
                <w:sz w:val="22"/>
              </w:rPr>
            </w:pPr>
          </w:p>
        </w:tc>
      </w:tr>
      <w:tr w:rsidR="00000000">
        <w:tblPrEx>
          <w:tblCellMar>
            <w:top w:w="0" w:type="dxa"/>
            <w:bottom w:w="0" w:type="dxa"/>
          </w:tblCellMar>
        </w:tblPrEx>
        <w:tc>
          <w:tcPr>
            <w:tcW w:w="2790" w:type="dxa"/>
            <w:tcBorders>
              <w:top w:val="nil"/>
              <w:bottom w:val="nil"/>
            </w:tcBorders>
          </w:tcPr>
          <w:p w:rsidR="00000000" w:rsidRDefault="00216019" w:rsidP="00216019">
            <w:pPr>
              <w:numPr>
                <w:ilvl w:val="0"/>
                <w:numId w:val="20"/>
              </w:numPr>
              <w:rPr>
                <w:sz w:val="22"/>
              </w:rPr>
            </w:pPr>
            <w:r>
              <w:rPr>
                <w:sz w:val="22"/>
              </w:rPr>
              <w:t>the activities of significantly fewer children were limited because of the concerns about health care costs</w:t>
            </w:r>
          </w:p>
        </w:tc>
        <w:tc>
          <w:tcPr>
            <w:tcW w:w="1980" w:type="dxa"/>
            <w:tcBorders>
              <w:top w:val="nil"/>
              <w:bottom w:val="nil"/>
            </w:tcBorders>
          </w:tcPr>
          <w:p w:rsidR="00000000" w:rsidRDefault="00216019">
            <w:pPr>
              <w:rPr>
                <w:sz w:val="22"/>
              </w:rPr>
            </w:pPr>
            <w:r>
              <w:rPr>
                <w:sz w:val="22"/>
              </w:rPr>
              <w:t>Significantly fewer children were limited.</w:t>
            </w:r>
          </w:p>
        </w:tc>
        <w:tc>
          <w:tcPr>
            <w:tcW w:w="1980" w:type="dxa"/>
            <w:tcBorders>
              <w:top w:val="nil"/>
              <w:bottom w:val="nil"/>
            </w:tcBorders>
          </w:tcPr>
          <w:p w:rsidR="00000000" w:rsidRDefault="00216019">
            <w:pPr>
              <w:rPr>
                <w:sz w:val="22"/>
              </w:rPr>
            </w:pPr>
            <w:r>
              <w:rPr>
                <w:sz w:val="22"/>
              </w:rPr>
              <w:t>25% before vs. 14% afte</w:t>
            </w:r>
            <w:r>
              <w:rPr>
                <w:sz w:val="22"/>
              </w:rPr>
              <w:t>r</w:t>
            </w:r>
          </w:p>
        </w:tc>
        <w:tc>
          <w:tcPr>
            <w:tcW w:w="1980" w:type="dxa"/>
            <w:tcBorders>
              <w:top w:val="nil"/>
              <w:bottom w:val="nil"/>
            </w:tcBorders>
          </w:tcPr>
          <w:p w:rsidR="00000000" w:rsidRDefault="00216019">
            <w:pPr>
              <w:rPr>
                <w:sz w:val="22"/>
              </w:rPr>
            </w:pPr>
            <w:r>
              <w:rPr>
                <w:sz w:val="22"/>
              </w:rPr>
              <w:t>23 % before vs. 12% after</w:t>
            </w:r>
          </w:p>
        </w:tc>
      </w:tr>
      <w:tr w:rsidR="00000000">
        <w:tblPrEx>
          <w:tblCellMar>
            <w:top w:w="0" w:type="dxa"/>
            <w:bottom w:w="0" w:type="dxa"/>
          </w:tblCellMar>
        </w:tblPrEx>
        <w:tc>
          <w:tcPr>
            <w:tcW w:w="2790" w:type="dxa"/>
            <w:tcBorders>
              <w:top w:val="nil"/>
            </w:tcBorders>
          </w:tcPr>
          <w:p w:rsidR="00000000" w:rsidRDefault="00216019" w:rsidP="00216019">
            <w:pPr>
              <w:numPr>
                <w:ilvl w:val="0"/>
                <w:numId w:val="21"/>
              </w:numPr>
              <w:rPr>
                <w:sz w:val="22"/>
              </w:rPr>
            </w:pPr>
            <w:r>
              <w:rPr>
                <w:sz w:val="22"/>
              </w:rPr>
              <w:t>parents health coverage status</w:t>
            </w:r>
          </w:p>
        </w:tc>
        <w:tc>
          <w:tcPr>
            <w:tcW w:w="1980" w:type="dxa"/>
            <w:tcBorders>
              <w:top w:val="nil"/>
              <w:bottom w:val="single" w:sz="4" w:space="0" w:color="auto"/>
            </w:tcBorders>
          </w:tcPr>
          <w:p w:rsidR="00000000" w:rsidRDefault="00216019">
            <w:pPr>
              <w:rPr>
                <w:sz w:val="22"/>
              </w:rPr>
            </w:pPr>
            <w:r>
              <w:rPr>
                <w:sz w:val="22"/>
              </w:rPr>
              <w:t xml:space="preserve">Significantly more parents had health insurance one year after their children started on the </w:t>
            </w:r>
            <w:r>
              <w:rPr>
                <w:b/>
                <w:i/>
                <w:sz w:val="22"/>
              </w:rPr>
              <w:t>hawk-i</w:t>
            </w:r>
            <w:r>
              <w:rPr>
                <w:sz w:val="22"/>
              </w:rPr>
              <w:t xml:space="preserve"> Program.</w:t>
            </w:r>
          </w:p>
        </w:tc>
        <w:tc>
          <w:tcPr>
            <w:tcW w:w="1980" w:type="dxa"/>
            <w:tcBorders>
              <w:top w:val="nil"/>
              <w:bottom w:val="single" w:sz="4" w:space="0" w:color="auto"/>
            </w:tcBorders>
          </w:tcPr>
          <w:p w:rsidR="00000000" w:rsidRDefault="00216019">
            <w:pPr>
              <w:rPr>
                <w:sz w:val="22"/>
              </w:rPr>
            </w:pPr>
            <w:r>
              <w:rPr>
                <w:sz w:val="22"/>
              </w:rPr>
              <w:t>Significantly more parents had health insurance one year after their children started o</w:t>
            </w:r>
            <w:r>
              <w:rPr>
                <w:sz w:val="22"/>
              </w:rPr>
              <w:t xml:space="preserve">n the </w:t>
            </w:r>
            <w:r>
              <w:rPr>
                <w:b/>
                <w:i/>
                <w:sz w:val="22"/>
              </w:rPr>
              <w:t>hawk-i</w:t>
            </w:r>
            <w:r>
              <w:rPr>
                <w:sz w:val="22"/>
              </w:rPr>
              <w:t xml:space="preserve"> Program.</w:t>
            </w:r>
          </w:p>
        </w:tc>
        <w:tc>
          <w:tcPr>
            <w:tcW w:w="1980" w:type="dxa"/>
            <w:tcBorders>
              <w:top w:val="nil"/>
              <w:bottom w:val="single" w:sz="4" w:space="0" w:color="auto"/>
            </w:tcBorders>
          </w:tcPr>
          <w:p w:rsidR="00000000" w:rsidRDefault="00216019">
            <w:pPr>
              <w:rPr>
                <w:sz w:val="22"/>
              </w:rPr>
            </w:pPr>
            <w:r>
              <w:rPr>
                <w:sz w:val="22"/>
              </w:rPr>
              <w:t xml:space="preserve">Significantly more parents had health insurance one year after their children started on the </w:t>
            </w:r>
            <w:r>
              <w:rPr>
                <w:b/>
                <w:i/>
                <w:sz w:val="22"/>
              </w:rPr>
              <w:t>hawk-i</w:t>
            </w:r>
            <w:r>
              <w:rPr>
                <w:sz w:val="22"/>
              </w:rPr>
              <w:t xml:space="preserve"> Program.</w:t>
            </w:r>
          </w:p>
        </w:tc>
      </w:tr>
      <w:tr w:rsidR="00000000">
        <w:tblPrEx>
          <w:tblCellMar>
            <w:top w:w="0" w:type="dxa"/>
            <w:bottom w:w="0" w:type="dxa"/>
          </w:tblCellMar>
        </w:tblPrEx>
        <w:trPr>
          <w:cantSplit/>
        </w:trPr>
        <w:tc>
          <w:tcPr>
            <w:tcW w:w="2790" w:type="dxa"/>
            <w:vMerge w:val="restart"/>
          </w:tcPr>
          <w:p w:rsidR="00000000" w:rsidRDefault="00216019">
            <w:pPr>
              <w:tabs>
                <w:tab w:val="num" w:pos="765"/>
              </w:tabs>
              <w:rPr>
                <w:sz w:val="22"/>
              </w:rPr>
            </w:pPr>
            <w:r>
              <w:rPr>
                <w:b/>
                <w:sz w:val="22"/>
                <w:u w:val="single"/>
              </w:rPr>
              <w:lastRenderedPageBreak/>
              <w:t>Health Plans -</w:t>
            </w:r>
          </w:p>
        </w:tc>
        <w:tc>
          <w:tcPr>
            <w:tcW w:w="1980" w:type="dxa"/>
            <w:tcBorders>
              <w:top w:val="nil"/>
              <w:bottom w:val="nil"/>
            </w:tcBorders>
          </w:tcPr>
          <w:p w:rsidR="00000000" w:rsidRDefault="00216019">
            <w:pPr>
              <w:rPr>
                <w:sz w:val="22"/>
              </w:rPr>
            </w:pPr>
            <w:r>
              <w:rPr>
                <w:sz w:val="22"/>
              </w:rPr>
              <w:t>One in five children had to get a new personal doctor or nurse.</w:t>
            </w:r>
          </w:p>
        </w:tc>
        <w:tc>
          <w:tcPr>
            <w:tcW w:w="1980" w:type="dxa"/>
            <w:tcBorders>
              <w:top w:val="nil"/>
              <w:bottom w:val="nil"/>
            </w:tcBorders>
          </w:tcPr>
          <w:p w:rsidR="00000000" w:rsidRDefault="00216019">
            <w:pPr>
              <w:rPr>
                <w:sz w:val="22"/>
              </w:rPr>
            </w:pPr>
            <w:r>
              <w:rPr>
                <w:sz w:val="22"/>
              </w:rPr>
              <w:t>One in five children had to get a new persona</w:t>
            </w:r>
            <w:r>
              <w:rPr>
                <w:sz w:val="22"/>
              </w:rPr>
              <w:t>l doctor or nurse.</w:t>
            </w:r>
          </w:p>
        </w:tc>
        <w:tc>
          <w:tcPr>
            <w:tcW w:w="1980" w:type="dxa"/>
            <w:tcBorders>
              <w:top w:val="nil"/>
              <w:bottom w:val="nil"/>
            </w:tcBorders>
          </w:tcPr>
          <w:p w:rsidR="00000000" w:rsidRDefault="00216019">
            <w:pPr>
              <w:rPr>
                <w:sz w:val="22"/>
              </w:rPr>
            </w:pPr>
            <w:r>
              <w:rPr>
                <w:sz w:val="22"/>
              </w:rPr>
              <w:t>One in five children had to get a new personal doctor or nurse. (30% in John Deere)</w:t>
            </w:r>
          </w:p>
          <w:p w:rsidR="00000000" w:rsidRDefault="00216019">
            <w:pPr>
              <w:rPr>
                <w:sz w:val="22"/>
              </w:rPr>
            </w:pPr>
          </w:p>
        </w:tc>
      </w:tr>
      <w:tr w:rsidR="00000000">
        <w:tblPrEx>
          <w:tblCellMar>
            <w:top w:w="0" w:type="dxa"/>
            <w:bottom w:w="0" w:type="dxa"/>
          </w:tblCellMar>
        </w:tblPrEx>
        <w:trPr>
          <w:cantSplit/>
        </w:trPr>
        <w:tc>
          <w:tcPr>
            <w:tcW w:w="2790" w:type="dxa"/>
            <w:vMerge/>
          </w:tcPr>
          <w:p w:rsidR="00000000" w:rsidRDefault="00216019">
            <w:pPr>
              <w:rPr>
                <w:sz w:val="22"/>
              </w:rPr>
            </w:pPr>
          </w:p>
        </w:tc>
        <w:tc>
          <w:tcPr>
            <w:tcW w:w="1980" w:type="dxa"/>
            <w:tcBorders>
              <w:top w:val="nil"/>
              <w:bottom w:val="nil"/>
            </w:tcBorders>
          </w:tcPr>
          <w:p w:rsidR="00000000" w:rsidRDefault="00216019">
            <w:pPr>
              <w:rPr>
                <w:sz w:val="22"/>
              </w:rPr>
            </w:pPr>
            <w:r>
              <w:rPr>
                <w:sz w:val="22"/>
              </w:rPr>
              <w:t>One in four had a problem finding a personal doctor or nurse they were happy with.</w:t>
            </w:r>
          </w:p>
        </w:tc>
        <w:tc>
          <w:tcPr>
            <w:tcW w:w="1980" w:type="dxa"/>
            <w:tcBorders>
              <w:top w:val="nil"/>
              <w:bottom w:val="nil"/>
            </w:tcBorders>
          </w:tcPr>
          <w:p w:rsidR="00000000" w:rsidRDefault="00216019">
            <w:pPr>
              <w:rPr>
                <w:sz w:val="22"/>
              </w:rPr>
            </w:pPr>
            <w:r>
              <w:rPr>
                <w:sz w:val="22"/>
              </w:rPr>
              <w:t>More than one in four (29%) had a problem finding a personal doctor</w:t>
            </w:r>
            <w:r>
              <w:rPr>
                <w:sz w:val="22"/>
              </w:rPr>
              <w:t xml:space="preserve"> or nurse they were happy with.</w:t>
            </w:r>
          </w:p>
        </w:tc>
        <w:tc>
          <w:tcPr>
            <w:tcW w:w="1980" w:type="dxa"/>
            <w:tcBorders>
              <w:top w:val="nil"/>
              <w:bottom w:val="nil"/>
            </w:tcBorders>
          </w:tcPr>
          <w:p w:rsidR="00000000" w:rsidRDefault="00216019">
            <w:pPr>
              <w:rPr>
                <w:sz w:val="22"/>
              </w:rPr>
            </w:pPr>
            <w:r>
              <w:rPr>
                <w:sz w:val="22"/>
              </w:rPr>
              <w:t>More than one in four (27%) had a problem finding a personal doctor or nurse they were happy with. (37% in John Deere)</w:t>
            </w:r>
          </w:p>
          <w:p w:rsidR="00000000" w:rsidRDefault="00216019">
            <w:pPr>
              <w:rPr>
                <w:sz w:val="22"/>
              </w:rPr>
            </w:pPr>
          </w:p>
        </w:tc>
      </w:tr>
      <w:tr w:rsidR="00000000">
        <w:tblPrEx>
          <w:tblCellMar>
            <w:top w:w="0" w:type="dxa"/>
            <w:bottom w:w="0" w:type="dxa"/>
          </w:tblCellMar>
        </w:tblPrEx>
        <w:trPr>
          <w:cantSplit/>
        </w:trPr>
        <w:tc>
          <w:tcPr>
            <w:tcW w:w="2790" w:type="dxa"/>
            <w:vMerge/>
          </w:tcPr>
          <w:p w:rsidR="00000000" w:rsidRDefault="00216019">
            <w:pPr>
              <w:rPr>
                <w:sz w:val="22"/>
              </w:rPr>
            </w:pPr>
          </w:p>
        </w:tc>
        <w:tc>
          <w:tcPr>
            <w:tcW w:w="1980" w:type="dxa"/>
            <w:tcBorders>
              <w:top w:val="nil"/>
            </w:tcBorders>
          </w:tcPr>
          <w:p w:rsidR="00000000" w:rsidRDefault="00216019">
            <w:pPr>
              <w:rPr>
                <w:sz w:val="22"/>
              </w:rPr>
            </w:pPr>
            <w:r>
              <w:rPr>
                <w:sz w:val="22"/>
              </w:rPr>
              <w:t>One in three did not know their health plan had a help line they could call for assistance.</w:t>
            </w:r>
          </w:p>
        </w:tc>
        <w:tc>
          <w:tcPr>
            <w:tcW w:w="1980" w:type="dxa"/>
            <w:tcBorders>
              <w:top w:val="nil"/>
            </w:tcBorders>
          </w:tcPr>
          <w:p w:rsidR="00000000" w:rsidRDefault="00216019">
            <w:pPr>
              <w:rPr>
                <w:sz w:val="22"/>
              </w:rPr>
            </w:pPr>
            <w:r>
              <w:rPr>
                <w:sz w:val="22"/>
              </w:rPr>
              <w:t>One in thr</w:t>
            </w:r>
            <w:r>
              <w:rPr>
                <w:sz w:val="22"/>
              </w:rPr>
              <w:t>ee did not know that their health plan had a help line they could call for assistance.</w:t>
            </w:r>
          </w:p>
        </w:tc>
        <w:tc>
          <w:tcPr>
            <w:tcW w:w="1980" w:type="dxa"/>
            <w:tcBorders>
              <w:top w:val="nil"/>
            </w:tcBorders>
          </w:tcPr>
          <w:p w:rsidR="00000000" w:rsidRDefault="00216019">
            <w:pPr>
              <w:rPr>
                <w:sz w:val="22"/>
              </w:rPr>
            </w:pPr>
            <w:r>
              <w:rPr>
                <w:sz w:val="22"/>
              </w:rPr>
              <w:t>Almost 40% of parents did not know that their health plan had a help line they could call for assistance.</w:t>
            </w:r>
          </w:p>
        </w:tc>
      </w:tr>
    </w:tbl>
    <w:p w:rsidR="00000000" w:rsidRDefault="00216019">
      <w:pPr>
        <w:ind w:left="360"/>
      </w:pPr>
    </w:p>
    <w:p w:rsidR="00000000" w:rsidRDefault="00216019">
      <w:pPr>
        <w:ind w:left="360"/>
        <w:rPr>
          <w:color w:val="0000FF"/>
          <w:u w:val="single"/>
        </w:rPr>
      </w:pPr>
      <w:r>
        <w:t>The University of Iowa Public Policy Center conducted this re</w:t>
      </w:r>
      <w:r>
        <w:t xml:space="preserve">search for the Iowa Department of Human Services.  These reports can be viewed/downloaded at: </w:t>
      </w:r>
      <w:hyperlink r:id="rId10" w:history="1">
        <w:r>
          <w:rPr>
            <w:rStyle w:val="Hyperlink"/>
          </w:rPr>
          <w:t>http://ppc.uiowa.edu/hawk-i/</w:t>
        </w:r>
      </w:hyperlink>
    </w:p>
    <w:p w:rsidR="00000000" w:rsidRDefault="00216019">
      <w:pPr>
        <w:rPr>
          <w:b/>
        </w:rPr>
      </w:pPr>
    </w:p>
    <w:p w:rsidR="00000000" w:rsidRDefault="00216019">
      <w:r>
        <w:rPr>
          <w:bCs/>
        </w:rPr>
        <w:t xml:space="preserve">B.  </w:t>
      </w:r>
      <w:r>
        <w:rPr>
          <w:b/>
        </w:rPr>
        <w:t>Sample comments received from parents</w:t>
      </w:r>
      <w:r>
        <w:t xml:space="preserve">: </w:t>
      </w:r>
    </w:p>
    <w:p w:rsidR="00000000" w:rsidRDefault="00216019"/>
    <w:p w:rsidR="00000000" w:rsidRDefault="00216019">
      <w:pPr>
        <w:ind w:left="360"/>
      </w:pPr>
      <w:r>
        <w:t xml:space="preserve">These comments are intended to provide a </w:t>
      </w:r>
      <w:r>
        <w:t xml:space="preserve">more complete picture of respondents’ views of the </w:t>
      </w:r>
      <w:r>
        <w:rPr>
          <w:b/>
          <w:i/>
        </w:rPr>
        <w:t>hawk</w:t>
      </w:r>
      <w:r>
        <w:rPr>
          <w:b/>
          <w:i/>
        </w:rPr>
        <w:noBreakHyphen/>
        <w:t>i</w:t>
      </w:r>
      <w:r>
        <w:t xml:space="preserve"> Program.  The last question on the 77-item household survey asked the following:  “Please tell us if there is anything else you like or dislike about your </w:t>
      </w:r>
      <w:r>
        <w:rPr>
          <w:b/>
          <w:i/>
        </w:rPr>
        <w:t>hawk</w:t>
      </w:r>
      <w:r>
        <w:rPr>
          <w:b/>
          <w:i/>
        </w:rPr>
        <w:noBreakHyphen/>
        <w:t>i</w:t>
      </w:r>
      <w:r>
        <w:t xml:space="preserve"> health plan or the effect of having </w:t>
      </w:r>
      <w:r>
        <w:t>insurance coverage on your child or your family.”  Below is a sample of comments received from households:</w:t>
      </w:r>
    </w:p>
    <w:p w:rsidR="00000000" w:rsidRDefault="00216019">
      <w:pPr>
        <w:pStyle w:val="Header"/>
        <w:tabs>
          <w:tab w:val="clear" w:pos="4320"/>
          <w:tab w:val="clear" w:pos="8640"/>
        </w:tabs>
        <w:rPr>
          <w:rFonts w:ascii="Times New Roman" w:hAnsi="Times New Roman"/>
          <w:szCs w:val="24"/>
        </w:rPr>
      </w:pPr>
    </w:p>
    <w:p w:rsidR="00000000" w:rsidRDefault="00216019">
      <w:pPr>
        <w:ind w:left="360"/>
      </w:pPr>
      <w:r>
        <w:rPr>
          <w:i/>
          <w:iCs/>
        </w:rPr>
        <w:t xml:space="preserve"> “I left a job that kept me away from my children too much and went to a job that allowed me to be a better mom but left me without insurance.  I so</w:t>
      </w:r>
      <w:r>
        <w:rPr>
          <w:i/>
          <w:iCs/>
        </w:rPr>
        <w:t xml:space="preserve">oo… very much appreciate the fact that </w:t>
      </w:r>
      <w:r>
        <w:rPr>
          <w:b/>
          <w:i/>
        </w:rPr>
        <w:t>hawk</w:t>
      </w:r>
      <w:r>
        <w:rPr>
          <w:b/>
          <w:i/>
        </w:rPr>
        <w:noBreakHyphen/>
        <w:t>i</w:t>
      </w:r>
      <w:r>
        <w:rPr>
          <w:i/>
          <w:iCs/>
        </w:rPr>
        <w:t xml:space="preserve"> was an option for us - no worries, no hassles.  Thanks so much for working to keep children healthy, they are the ones that matter most. I now have a job that provides insurance so my children are no longer on </w:t>
      </w:r>
      <w:r>
        <w:rPr>
          <w:b/>
          <w:bCs/>
          <w:i/>
          <w:iCs/>
        </w:rPr>
        <w:t>hawk-i</w:t>
      </w:r>
      <w:r>
        <w:t>.</w:t>
      </w:r>
    </w:p>
    <w:p w:rsidR="00000000" w:rsidRDefault="00216019">
      <w:pPr>
        <w:ind w:left="360"/>
        <w:rPr>
          <w:i/>
          <w:iCs/>
        </w:rPr>
      </w:pPr>
    </w:p>
    <w:p w:rsidR="00000000" w:rsidRDefault="00216019">
      <w:pPr>
        <w:ind w:left="360"/>
      </w:pPr>
      <w:r>
        <w:rPr>
          <w:i/>
          <w:iCs/>
        </w:rPr>
        <w:lastRenderedPageBreak/>
        <w:t xml:space="preserve">“Once again I thank you for your diligence in keeping our kids healthy.  I will always pass the word about </w:t>
      </w:r>
      <w:r>
        <w:rPr>
          <w:b/>
          <w:bCs/>
          <w:i/>
          <w:iCs/>
        </w:rPr>
        <w:t>hawk-i</w:t>
      </w:r>
      <w:r>
        <w:t>.”</w:t>
      </w:r>
    </w:p>
    <w:p w:rsidR="00000000" w:rsidRDefault="00216019">
      <w:pPr>
        <w:ind w:left="360"/>
        <w:rPr>
          <w:i/>
          <w:iCs/>
        </w:rPr>
      </w:pPr>
    </w:p>
    <w:p w:rsidR="00000000" w:rsidRDefault="00216019">
      <w:pPr>
        <w:ind w:left="360"/>
        <w:rPr>
          <w:i/>
          <w:iCs/>
        </w:rPr>
      </w:pPr>
      <w:r>
        <w:rPr>
          <w:i/>
          <w:iCs/>
        </w:rPr>
        <w:t xml:space="preserve">“This past year our sons have been on the </w:t>
      </w:r>
      <w:r>
        <w:rPr>
          <w:b/>
          <w:i/>
        </w:rPr>
        <w:t>hawk</w:t>
      </w:r>
      <w:r>
        <w:rPr>
          <w:b/>
          <w:i/>
        </w:rPr>
        <w:noBreakHyphen/>
        <w:t>i</w:t>
      </w:r>
      <w:r>
        <w:rPr>
          <w:i/>
          <w:iCs/>
        </w:rPr>
        <w:t xml:space="preserve"> health plan and it has been a blessing.  We’ve experienced no problems with their</w:t>
      </w:r>
      <w:r>
        <w:rPr>
          <w:i/>
          <w:iCs/>
        </w:rPr>
        <w:t xml:space="preserve"> care or their caregivers.  It is wonderful to have this program in the State of Iowa.”</w:t>
      </w:r>
    </w:p>
    <w:p w:rsidR="00000000" w:rsidRDefault="00216019">
      <w:pPr>
        <w:ind w:left="360"/>
        <w:rPr>
          <w:i/>
          <w:iCs/>
        </w:rPr>
      </w:pPr>
    </w:p>
    <w:p w:rsidR="00000000" w:rsidRDefault="00216019">
      <w:pPr>
        <w:ind w:left="360"/>
        <w:rPr>
          <w:i/>
          <w:iCs/>
        </w:rPr>
      </w:pPr>
      <w:r>
        <w:rPr>
          <w:i/>
          <w:iCs/>
        </w:rPr>
        <w:t>“Thank you for offering such a great program.  If not for this program many children would be without health insurance</w:t>
      </w:r>
      <w:r>
        <w:t xml:space="preserve">.  </w:t>
      </w:r>
      <w:r>
        <w:rPr>
          <w:b/>
          <w:i/>
          <w:iCs/>
        </w:rPr>
        <w:t>hawk</w:t>
      </w:r>
      <w:r>
        <w:rPr>
          <w:b/>
          <w:i/>
          <w:iCs/>
        </w:rPr>
        <w:noBreakHyphen/>
        <w:t>i</w:t>
      </w:r>
      <w:r>
        <w:rPr>
          <w:i/>
          <w:iCs/>
        </w:rPr>
        <w:t xml:space="preserve"> has made medical decisions much easier </w:t>
      </w:r>
      <w:r>
        <w:rPr>
          <w:i/>
          <w:iCs/>
        </w:rPr>
        <w:t>by providing such great services.</w:t>
      </w:r>
    </w:p>
    <w:p w:rsidR="00000000" w:rsidRDefault="00216019">
      <w:pPr>
        <w:ind w:left="360"/>
        <w:rPr>
          <w:i/>
          <w:iCs/>
        </w:rPr>
      </w:pPr>
    </w:p>
    <w:p w:rsidR="00000000" w:rsidRDefault="00216019">
      <w:pPr>
        <w:ind w:left="360"/>
        <w:rPr>
          <w:i/>
          <w:iCs/>
        </w:rPr>
      </w:pPr>
      <w:r>
        <w:rPr>
          <w:i/>
          <w:iCs/>
        </w:rPr>
        <w:t>“Everything is perfect.  Keep up the good work!”</w:t>
      </w:r>
    </w:p>
    <w:p w:rsidR="00000000" w:rsidRDefault="00216019">
      <w:pPr>
        <w:ind w:left="360"/>
        <w:rPr>
          <w:i/>
          <w:iCs/>
        </w:rPr>
      </w:pPr>
    </w:p>
    <w:p w:rsidR="00000000" w:rsidRDefault="00216019">
      <w:pPr>
        <w:ind w:left="-720"/>
        <w:rPr>
          <w:b/>
          <w:sz w:val="28"/>
        </w:rPr>
      </w:pPr>
      <w:r>
        <w:rPr>
          <w:b/>
          <w:sz w:val="28"/>
        </w:rPr>
        <w:t xml:space="preserve">VIII.  </w:t>
      </w:r>
      <w:r>
        <w:rPr>
          <w:b/>
          <w:sz w:val="28"/>
          <w:u w:val="single"/>
        </w:rPr>
        <w:t>Center for Medicaid and Medicaid Services (CMS) Site Visit Report</w:t>
      </w:r>
      <w:r>
        <w:rPr>
          <w:b/>
          <w:sz w:val="28"/>
        </w:rPr>
        <w:t>:</w:t>
      </w:r>
    </w:p>
    <w:p w:rsidR="00000000" w:rsidRDefault="00216019"/>
    <w:p w:rsidR="00000000" w:rsidRDefault="00216019">
      <w:r>
        <w:t>In September 2003, CMS conducted a site visit review of Iowa’s SCHIP Program. The review protoco</w:t>
      </w:r>
      <w:r>
        <w:t xml:space="preserve">l focused on </w:t>
      </w:r>
      <w:r>
        <w:rPr>
          <w:b/>
          <w:bCs/>
          <w:i/>
          <w:iCs/>
        </w:rPr>
        <w:t xml:space="preserve">hawk-i </w:t>
      </w:r>
      <w:r>
        <w:t>updates, follow-up items from the 2001 onsite review, changes from the 2002 annual report, future plans, outreach, national policy issues, National Academy of State Health Policy (NASHP) retention and disenrollment survey, quality surve</w:t>
      </w:r>
      <w:r>
        <w:t>ys, access and satisfaction of care, and performance improvement projects.</w:t>
      </w:r>
    </w:p>
    <w:p w:rsidR="00000000" w:rsidRDefault="00216019"/>
    <w:p w:rsidR="00000000" w:rsidRDefault="00216019" w:rsidP="00216019">
      <w:pPr>
        <w:numPr>
          <w:ilvl w:val="0"/>
          <w:numId w:val="2"/>
        </w:numPr>
      </w:pPr>
      <w:r>
        <w:rPr>
          <w:b/>
        </w:rPr>
        <w:t>Promising Approaches</w:t>
      </w:r>
      <w:r>
        <w:t>:</w:t>
      </w:r>
    </w:p>
    <w:p w:rsidR="00000000" w:rsidRDefault="00216019">
      <w:pPr>
        <w:ind w:left="360"/>
        <w:rPr>
          <w:bCs/>
        </w:rPr>
      </w:pPr>
    </w:p>
    <w:p w:rsidR="00000000" w:rsidRDefault="00216019">
      <w:pPr>
        <w:ind w:left="360"/>
        <w:rPr>
          <w:bCs/>
        </w:rPr>
      </w:pPr>
      <w:r>
        <w:rPr>
          <w:bCs/>
        </w:rPr>
        <w:t xml:space="preserve">Based on information gathered during the review, we found the State is effectively administering the </w:t>
      </w:r>
      <w:r>
        <w:rPr>
          <w:b/>
          <w:bCs/>
          <w:i/>
        </w:rPr>
        <w:t>hawk</w:t>
      </w:r>
      <w:r>
        <w:rPr>
          <w:b/>
          <w:bCs/>
          <w:i/>
        </w:rPr>
        <w:noBreakHyphen/>
        <w:t>i</w:t>
      </w:r>
      <w:r>
        <w:rPr>
          <w:bCs/>
        </w:rPr>
        <w:t xml:space="preserve"> Program in accordance with their State plan.</w:t>
      </w:r>
    </w:p>
    <w:p w:rsidR="00000000" w:rsidRDefault="00216019"/>
    <w:p w:rsidR="00000000" w:rsidRDefault="00216019">
      <w:pPr>
        <w:ind w:left="360"/>
      </w:pPr>
      <w:r>
        <w:rPr>
          <w:b/>
          <w:bCs/>
          <w:u w:val="single"/>
        </w:rPr>
        <w:t>CMS</w:t>
      </w:r>
      <w:r>
        <w:rPr>
          <w:b/>
          <w:bCs/>
          <w:u w:val="single"/>
        </w:rPr>
        <w:t xml:space="preserve"> noted</w:t>
      </w:r>
      <w:r>
        <w:t xml:space="preserve">:  </w:t>
      </w:r>
    </w:p>
    <w:p w:rsidR="00000000" w:rsidRDefault="00216019">
      <w:pPr>
        <w:ind w:left="360"/>
      </w:pPr>
    </w:p>
    <w:p w:rsidR="00000000" w:rsidRDefault="00216019" w:rsidP="00216019">
      <w:pPr>
        <w:numPr>
          <w:ilvl w:val="0"/>
          <w:numId w:val="32"/>
        </w:numPr>
      </w:pPr>
      <w:r>
        <w:t xml:space="preserve">Iowa continues to improve the </w:t>
      </w:r>
      <w:r>
        <w:rPr>
          <w:b/>
          <w:i/>
        </w:rPr>
        <w:t>hawk</w:t>
      </w:r>
      <w:r>
        <w:rPr>
          <w:b/>
          <w:i/>
        </w:rPr>
        <w:noBreakHyphen/>
        <w:t>i</w:t>
      </w:r>
      <w:r>
        <w:t xml:space="preserve"> Program by making changes to its program.  Iowa has created a new application design and is implementing an electronic application.  The State also includes reminder messages on the 12 mail-in payment coupons</w:t>
      </w:r>
      <w:r>
        <w:t xml:space="preserve"> to keep beneficiaries informed of the Program while being cost effective.</w:t>
      </w:r>
    </w:p>
    <w:p w:rsidR="00000000" w:rsidRDefault="00216019" w:rsidP="00216019">
      <w:pPr>
        <w:numPr>
          <w:ilvl w:val="0"/>
          <w:numId w:val="32"/>
        </w:numPr>
      </w:pPr>
      <w:r>
        <w:t>CMS commends the State for their new extensive efforts in outreach including sending the 500,000 brochures to the schools within Iowa and using a food stamp tape match to mail lette</w:t>
      </w:r>
      <w:r>
        <w:t>rs to families of any child on food stamps that is not currently enrolled in Medicaid or SCHIP.</w:t>
      </w:r>
    </w:p>
    <w:p w:rsidR="00000000" w:rsidRDefault="00216019" w:rsidP="00216019">
      <w:pPr>
        <w:numPr>
          <w:ilvl w:val="0"/>
          <w:numId w:val="32"/>
        </w:numPr>
      </w:pPr>
      <w:r>
        <w:t>The State’s new structure for oversight of outreach activities is working well.</w:t>
      </w:r>
    </w:p>
    <w:p w:rsidR="00000000" w:rsidRDefault="00216019" w:rsidP="00216019">
      <w:pPr>
        <w:numPr>
          <w:ilvl w:val="0"/>
          <w:numId w:val="32"/>
        </w:numPr>
      </w:pPr>
      <w:r>
        <w:t>Communication between all entities involved in outreach strategies results in ef</w:t>
      </w:r>
      <w:r>
        <w:t>fective collaboration and coordination.</w:t>
      </w:r>
    </w:p>
    <w:p w:rsidR="00000000" w:rsidRDefault="00216019" w:rsidP="00216019">
      <w:pPr>
        <w:numPr>
          <w:ilvl w:val="0"/>
          <w:numId w:val="32"/>
        </w:numPr>
      </w:pPr>
      <w:r>
        <w:t>A full-range of outreach strategies is in place, both statewide and at the local level.  These activities are designed in multiple ways to reach multiple audiences.</w:t>
      </w:r>
    </w:p>
    <w:p w:rsidR="00000000" w:rsidRDefault="00216019" w:rsidP="00216019">
      <w:pPr>
        <w:numPr>
          <w:ilvl w:val="0"/>
          <w:numId w:val="32"/>
        </w:numPr>
      </w:pPr>
      <w:r>
        <w:lastRenderedPageBreak/>
        <w:t>The State is successfully evaluating and monitoring</w:t>
      </w:r>
      <w:r>
        <w:t xml:space="preserve"> its outreach activities providing for methods to measure the success of outreach strategies and opportunity for feedback to identify ideas and potential obstacles.</w:t>
      </w:r>
    </w:p>
    <w:p w:rsidR="00000000" w:rsidRDefault="00216019" w:rsidP="00216019">
      <w:pPr>
        <w:numPr>
          <w:ilvl w:val="0"/>
          <w:numId w:val="32"/>
        </w:numPr>
      </w:pPr>
      <w:r>
        <w:t>Iowa has implemented a number of strategies to help families with the renewal process.  How</w:t>
      </w:r>
      <w:r>
        <w:t xml:space="preserve">ever, the number of enrollees who have been disenrolled from </w:t>
      </w:r>
      <w:r>
        <w:rPr>
          <w:b/>
          <w:i/>
        </w:rPr>
        <w:t>hawk</w:t>
      </w:r>
      <w:r>
        <w:rPr>
          <w:b/>
          <w:i/>
        </w:rPr>
        <w:noBreakHyphen/>
        <w:t>i</w:t>
      </w:r>
      <w:r>
        <w:t xml:space="preserve"> upon renewal appears to have increased from SFY 2002 to SFY 2003.  The State continues to evaluate the reasons individuals are disenrolling from the program to ensure that the renewal proc</w:t>
      </w:r>
      <w:r>
        <w:t>ess is not a deterrent to renewing coverage.</w:t>
      </w:r>
    </w:p>
    <w:p w:rsidR="00000000" w:rsidRDefault="00216019" w:rsidP="00216019">
      <w:pPr>
        <w:numPr>
          <w:ilvl w:val="0"/>
          <w:numId w:val="32"/>
        </w:numPr>
      </w:pPr>
      <w:r>
        <w:t xml:space="preserve">Iowa has a number of quality assurance mechanisms in place to monitor participating health plans and to ensure that the </w:t>
      </w:r>
      <w:r>
        <w:rPr>
          <w:b/>
          <w:i/>
        </w:rPr>
        <w:t>hawk</w:t>
      </w:r>
      <w:r>
        <w:rPr>
          <w:b/>
          <w:i/>
        </w:rPr>
        <w:noBreakHyphen/>
        <w:t>i</w:t>
      </w:r>
      <w:r>
        <w:t xml:space="preserve"> Program is operating effectively and meeting the needs of program participants.</w:t>
      </w:r>
    </w:p>
    <w:p w:rsidR="00000000" w:rsidRDefault="00216019" w:rsidP="00216019">
      <w:pPr>
        <w:numPr>
          <w:ilvl w:val="0"/>
          <w:numId w:val="32"/>
        </w:numPr>
      </w:pPr>
      <w:r>
        <w:t>Iowa</w:t>
      </w:r>
      <w:r>
        <w:t xml:space="preserve"> Department of Human Services evaluates quality of care and access to medical services in the </w:t>
      </w:r>
      <w:r>
        <w:rPr>
          <w:b/>
          <w:i/>
        </w:rPr>
        <w:t>hawk</w:t>
      </w:r>
      <w:r>
        <w:rPr>
          <w:b/>
          <w:i/>
        </w:rPr>
        <w:noBreakHyphen/>
        <w:t>i</w:t>
      </w:r>
      <w:r>
        <w:t xml:space="preserve"> Program through a number of performance measurement activities, including conducting enrollee surveys and collecting enrollment and quality assurance data.</w:t>
      </w:r>
    </w:p>
    <w:p w:rsidR="00000000" w:rsidRDefault="00216019">
      <w:pPr>
        <w:ind w:left="720"/>
      </w:pPr>
    </w:p>
    <w:p w:rsidR="00000000" w:rsidRDefault="00216019" w:rsidP="00216019">
      <w:pPr>
        <w:numPr>
          <w:ilvl w:val="0"/>
          <w:numId w:val="2"/>
        </w:numPr>
      </w:pPr>
      <w:r>
        <w:rPr>
          <w:b/>
        </w:rPr>
        <w:t>Recommendations:</w:t>
      </w:r>
    </w:p>
    <w:p w:rsidR="00000000" w:rsidRDefault="00216019"/>
    <w:p w:rsidR="00000000" w:rsidRDefault="00216019">
      <w:pPr>
        <w:ind w:firstLine="360"/>
      </w:pPr>
      <w:r>
        <w:rPr>
          <w:b/>
          <w:bCs/>
          <w:u w:val="single"/>
        </w:rPr>
        <w:t>CMS noted</w:t>
      </w:r>
      <w:r>
        <w:t>:</w:t>
      </w:r>
    </w:p>
    <w:p w:rsidR="00000000" w:rsidRDefault="00216019">
      <w:pPr>
        <w:ind w:firstLine="360"/>
      </w:pPr>
    </w:p>
    <w:p w:rsidR="00000000" w:rsidRDefault="00216019" w:rsidP="00216019">
      <w:pPr>
        <w:numPr>
          <w:ilvl w:val="0"/>
          <w:numId w:val="33"/>
        </w:numPr>
      </w:pPr>
      <w:r>
        <w:t xml:space="preserve">When sub-contracts are renewed with the Title V agencies, the Department of Public Health should consider offering training for outreach workers by the Department. </w:t>
      </w:r>
    </w:p>
    <w:p w:rsidR="00000000" w:rsidRDefault="00216019">
      <w:pPr>
        <w:ind w:left="1080"/>
      </w:pPr>
    </w:p>
    <w:p w:rsidR="00000000" w:rsidRDefault="00216019">
      <w:pPr>
        <w:ind w:left="1080"/>
      </w:pPr>
      <w:r>
        <w:rPr>
          <w:b/>
          <w:bCs/>
          <w:u w:val="single"/>
        </w:rPr>
        <w:t>State Response</w:t>
      </w:r>
      <w:r>
        <w:t>:  This is being considered and is in the pl</w:t>
      </w:r>
      <w:r>
        <w:t>anning stages.</w:t>
      </w:r>
    </w:p>
    <w:p w:rsidR="00000000" w:rsidRDefault="00216019">
      <w:pPr>
        <w:ind w:left="720"/>
      </w:pPr>
    </w:p>
    <w:p w:rsidR="00000000" w:rsidRDefault="00216019" w:rsidP="00216019">
      <w:pPr>
        <w:numPr>
          <w:ilvl w:val="0"/>
          <w:numId w:val="33"/>
        </w:numPr>
      </w:pPr>
      <w:r>
        <w:t>The State should continue to reach out to the American Indian population.</w:t>
      </w:r>
    </w:p>
    <w:p w:rsidR="00000000" w:rsidRDefault="00216019">
      <w:pPr>
        <w:ind w:left="720"/>
      </w:pPr>
    </w:p>
    <w:p w:rsidR="00000000" w:rsidRDefault="00216019">
      <w:pPr>
        <w:ind w:left="1080"/>
      </w:pPr>
      <w:r>
        <w:rPr>
          <w:b/>
          <w:bCs/>
          <w:u w:val="single"/>
        </w:rPr>
        <w:t>State Response</w:t>
      </w:r>
      <w:r>
        <w:t xml:space="preserve">:  The state agrees.  The State Outreach Coordinator is currently developing contacts that will foster relationships with tribal populations along the </w:t>
      </w:r>
      <w:r>
        <w:t>Iowa/Nebraska and Iowa/South Dakota borders.  Additionally, outreach efforts to the Mesquaki Tribe, a subset of the Sac and Fox of the Mississippi and Iowa Tribe, will continue.</w:t>
      </w:r>
    </w:p>
    <w:p w:rsidR="00000000" w:rsidRDefault="00216019"/>
    <w:p w:rsidR="00000000" w:rsidRDefault="00216019" w:rsidP="00216019">
      <w:pPr>
        <w:numPr>
          <w:ilvl w:val="0"/>
          <w:numId w:val="33"/>
        </w:numPr>
      </w:pPr>
      <w:r>
        <w:t xml:space="preserve">DHS should continue to monitor the </w:t>
      </w:r>
      <w:r>
        <w:rPr>
          <w:b/>
          <w:i/>
        </w:rPr>
        <w:t>hawk</w:t>
      </w:r>
      <w:r>
        <w:rPr>
          <w:b/>
          <w:i/>
        </w:rPr>
        <w:noBreakHyphen/>
        <w:t>i</w:t>
      </w:r>
      <w:r>
        <w:t xml:space="preserve"> disenrollment population, through e</w:t>
      </w:r>
      <w:r>
        <w:t>nrollee surveys and the renewal process, to ensure that higher utilization kids are not leaving the program and remaining uninsured due to problems they have had with the program.</w:t>
      </w:r>
    </w:p>
    <w:p w:rsidR="00000000" w:rsidRDefault="00216019">
      <w:pPr>
        <w:ind w:left="720"/>
      </w:pPr>
    </w:p>
    <w:p w:rsidR="00000000" w:rsidRDefault="00216019">
      <w:pPr>
        <w:ind w:left="1080"/>
      </w:pPr>
      <w:r>
        <w:rPr>
          <w:b/>
          <w:bCs/>
          <w:u w:val="single"/>
        </w:rPr>
        <w:t>State Response</w:t>
      </w:r>
      <w:r>
        <w:t>:  Monitoring will continue.  When additional funding is avai</w:t>
      </w:r>
      <w:r>
        <w:t>lable. DHS will consider conducting a formal disenrollment survey.  In the meantime, DHS is currently developing a reminder postcard pilot project.  The postcard will be sent to enrollees approximately one week before their annual renewal form is mailed to</w:t>
      </w:r>
      <w:r>
        <w:t xml:space="preserve"> reminding them to watch the mail for the form and to call customer service if they don’t receive it.  Additionally, the postcard asks </w:t>
      </w:r>
      <w:r>
        <w:lastRenderedPageBreak/>
        <w:t xml:space="preserve">families who won’t be renewing coverage to call customer service to tell us why.  This effort will be piloted on a small </w:t>
      </w:r>
      <w:r>
        <w:t>scale and implemented statewide if it is proven successful.</w:t>
      </w:r>
    </w:p>
    <w:p w:rsidR="00000000" w:rsidRDefault="00216019"/>
    <w:p w:rsidR="00000000" w:rsidRDefault="00216019" w:rsidP="00216019">
      <w:pPr>
        <w:numPr>
          <w:ilvl w:val="0"/>
          <w:numId w:val="33"/>
        </w:numPr>
      </w:pPr>
      <w:r>
        <w:t>DHS should be commended for taking steps to help families with the renewal process, and they should continue to evaluate the reasons individuals are disenrolling from the program to ensure that t</w:t>
      </w:r>
      <w:r>
        <w:t>he renewal process is not a deterrent to renewing enrollment.</w:t>
      </w:r>
    </w:p>
    <w:p w:rsidR="00000000" w:rsidRDefault="00216019">
      <w:pPr>
        <w:ind w:left="720"/>
      </w:pPr>
    </w:p>
    <w:p w:rsidR="00000000" w:rsidRDefault="00216019">
      <w:pPr>
        <w:ind w:left="1080"/>
      </w:pPr>
      <w:r>
        <w:rPr>
          <w:b/>
          <w:bCs/>
          <w:u w:val="single"/>
        </w:rPr>
        <w:t>State Response</w:t>
      </w:r>
      <w:r>
        <w:t>:  DHS will continue to evaluate the renewal process in order to make improvements.  In addition to the reminder postcard pilot project described above, once the on-line applicati</w:t>
      </w:r>
      <w:r>
        <w:t>on is implemented, DHS plans to assess the feasibility of an on-line renewal process that incorporates the elements of the on-line application.</w:t>
      </w:r>
    </w:p>
    <w:p w:rsidR="00000000" w:rsidRDefault="00216019"/>
    <w:p w:rsidR="00000000" w:rsidRDefault="00216019" w:rsidP="00216019">
      <w:pPr>
        <w:numPr>
          <w:ilvl w:val="0"/>
          <w:numId w:val="33"/>
        </w:numPr>
      </w:pPr>
      <w:r>
        <w:t xml:space="preserve">DHS should continue to evaluate the need for a survey of </w:t>
      </w:r>
      <w:r>
        <w:rPr>
          <w:b/>
          <w:i/>
        </w:rPr>
        <w:t>hawk</w:t>
      </w:r>
      <w:r>
        <w:rPr>
          <w:b/>
          <w:i/>
        </w:rPr>
        <w:noBreakHyphen/>
        <w:t>i</w:t>
      </w:r>
      <w:r>
        <w:t xml:space="preserve"> providers and review provider surveys currently</w:t>
      </w:r>
      <w:r>
        <w:t xml:space="preserve"> being conducted by health plans to identify any potential problems.</w:t>
      </w:r>
    </w:p>
    <w:p w:rsidR="00000000" w:rsidRDefault="00216019">
      <w:pPr>
        <w:ind w:left="720"/>
      </w:pPr>
    </w:p>
    <w:p w:rsidR="00000000" w:rsidRDefault="00216019">
      <w:pPr>
        <w:ind w:left="1080"/>
      </w:pPr>
      <w:r>
        <w:rPr>
          <w:b/>
          <w:bCs/>
          <w:u w:val="single"/>
        </w:rPr>
        <w:t>State Response:</w:t>
      </w:r>
      <w:r>
        <w:t xml:space="preserve">  In August 2003, the </w:t>
      </w:r>
      <w:r>
        <w:rPr>
          <w:b/>
          <w:i/>
        </w:rPr>
        <w:t>hawk</w:t>
      </w:r>
      <w:r>
        <w:rPr>
          <w:b/>
          <w:i/>
        </w:rPr>
        <w:noBreakHyphen/>
        <w:t>i</w:t>
      </w:r>
      <w:r>
        <w:t xml:space="preserve"> Board asked DHS to consider conducting a provider survey.  The Department is currently evaluating the feasibility of the project and identifyi</w:t>
      </w:r>
      <w:r>
        <w:t>ng funding options.  No recommendations have been finalized at this time.</w:t>
      </w:r>
    </w:p>
    <w:p w:rsidR="00000000" w:rsidRDefault="00216019">
      <w:pPr>
        <w:ind w:left="1080"/>
      </w:pPr>
    </w:p>
    <w:p w:rsidR="00000000" w:rsidRDefault="00216019">
      <w:pPr>
        <w:ind w:left="-576"/>
        <w:rPr>
          <w:b/>
          <w:sz w:val="28"/>
        </w:rPr>
      </w:pPr>
      <w:r>
        <w:rPr>
          <w:b/>
          <w:sz w:val="28"/>
        </w:rPr>
        <w:t>IX.  Health Plans:</w:t>
      </w:r>
    </w:p>
    <w:p w:rsidR="00000000" w:rsidRDefault="00216019">
      <w:pPr>
        <w:rPr>
          <w:sz w:val="28"/>
        </w:rPr>
      </w:pPr>
    </w:p>
    <w:p w:rsidR="00000000" w:rsidRDefault="00216019">
      <w:r>
        <w:t xml:space="preserve">Three health plans provided health benefits to </w:t>
      </w:r>
      <w:r>
        <w:rPr>
          <w:b/>
          <w:i/>
        </w:rPr>
        <w:t>hawk-i</w:t>
      </w:r>
      <w:r>
        <w:t xml:space="preserve"> Program enrollees in 2003; Iowa Health Solutions, John Deere, and Wellmark.  </w:t>
      </w:r>
    </w:p>
    <w:p w:rsidR="00000000" w:rsidRDefault="00216019"/>
    <w:p w:rsidR="00000000" w:rsidRDefault="00216019">
      <w:r>
        <w:t xml:space="preserve">As of November 30, 2003, </w:t>
      </w:r>
      <w:r>
        <w:rPr>
          <w:b/>
          <w:i/>
        </w:rPr>
        <w:t>haw</w:t>
      </w:r>
      <w:r>
        <w:rPr>
          <w:b/>
          <w:i/>
        </w:rPr>
        <w:t>k-i</w:t>
      </w:r>
      <w:r>
        <w:t xml:space="preserve"> Program enrollment by health plan was:</w:t>
      </w:r>
    </w:p>
    <w:p w:rsidR="00000000" w:rsidRDefault="00216019">
      <w:pPr>
        <w:rPr>
          <w:rFonts w:cs="Arial"/>
        </w:rPr>
      </w:pPr>
    </w:p>
    <w:p w:rsidR="00000000" w:rsidRDefault="00216019">
      <w:pPr>
        <w:ind w:left="720" w:firstLine="720"/>
        <w:rPr>
          <w:rFonts w:cs="Arial"/>
          <w:u w:val="single"/>
        </w:rPr>
      </w:pPr>
      <w:r>
        <w:rPr>
          <w:rFonts w:cs="Arial"/>
        </w:rPr>
        <w:t>Iowa Health Solutions</w:t>
      </w:r>
      <w:r>
        <w:rPr>
          <w:rFonts w:cs="Arial"/>
        </w:rPr>
        <w:tab/>
        <w:t xml:space="preserve">  </w:t>
      </w:r>
      <w:r>
        <w:rPr>
          <w:rFonts w:cs="Arial"/>
        </w:rPr>
        <w:tab/>
      </w:r>
      <w:r>
        <w:rPr>
          <w:rFonts w:cs="Arial"/>
          <w:u w:val="single"/>
        </w:rPr>
        <w:t xml:space="preserve"> 3,906</w:t>
      </w:r>
    </w:p>
    <w:p w:rsidR="00000000" w:rsidRDefault="00216019">
      <w:pPr>
        <w:pStyle w:val="TOC1"/>
        <w:rPr>
          <w:rFonts w:ascii="Arial" w:hAnsi="Arial" w:cs="Arial"/>
          <w:u w:val="single"/>
        </w:rPr>
      </w:pPr>
      <w:r>
        <w:rPr>
          <w:rFonts w:ascii="Arial" w:hAnsi="Arial" w:cs="Arial"/>
        </w:rPr>
        <w:tab/>
      </w:r>
      <w:r>
        <w:rPr>
          <w:rFonts w:ascii="Arial" w:hAnsi="Arial" w:cs="Arial"/>
        </w:rPr>
        <w:tab/>
        <w:t xml:space="preserve">John Deere   </w:t>
      </w:r>
      <w:r>
        <w:rPr>
          <w:rFonts w:ascii="Arial" w:hAnsi="Arial" w:cs="Arial"/>
        </w:rPr>
        <w:tab/>
      </w:r>
      <w:r>
        <w:rPr>
          <w:rFonts w:ascii="Arial" w:hAnsi="Arial" w:cs="Arial"/>
        </w:rPr>
        <w:tab/>
        <w:t xml:space="preserve"> </w:t>
      </w:r>
      <w:r>
        <w:rPr>
          <w:rFonts w:ascii="Arial" w:hAnsi="Arial" w:cs="Arial"/>
        </w:rPr>
        <w:tab/>
      </w:r>
      <w:r>
        <w:rPr>
          <w:rFonts w:ascii="Arial" w:hAnsi="Arial" w:cs="Arial"/>
          <w:u w:val="single"/>
        </w:rPr>
        <w:t xml:space="preserve"> 3,987</w:t>
      </w:r>
    </w:p>
    <w:p w:rsidR="00000000" w:rsidRDefault="00216019">
      <w:pPr>
        <w:ind w:left="720"/>
        <w:rPr>
          <w:rFonts w:cs="Arial"/>
        </w:rPr>
      </w:pPr>
      <w:r>
        <w:rPr>
          <w:rFonts w:cs="Arial"/>
        </w:rPr>
        <w:tab/>
        <w:t>Wellmark</w:t>
      </w:r>
      <w:r>
        <w:rPr>
          <w:rFonts w:cs="Arial"/>
        </w:rPr>
        <w:tab/>
      </w:r>
      <w:r>
        <w:rPr>
          <w:rFonts w:cs="Arial"/>
        </w:rPr>
        <w:tab/>
      </w:r>
      <w:r>
        <w:rPr>
          <w:rFonts w:cs="Arial"/>
        </w:rPr>
        <w:tab/>
        <w:t xml:space="preserve">  </w:t>
      </w:r>
      <w:r>
        <w:rPr>
          <w:rFonts w:cs="Arial"/>
        </w:rPr>
        <w:tab/>
      </w:r>
      <w:r>
        <w:rPr>
          <w:rFonts w:cs="Arial"/>
          <w:u w:val="single"/>
        </w:rPr>
        <w:t xml:space="preserve"> 6,564</w:t>
      </w:r>
      <w:r>
        <w:rPr>
          <w:rFonts w:cs="Arial"/>
          <w:u w:val="single"/>
        </w:rPr>
        <w:tab/>
      </w:r>
    </w:p>
    <w:p w:rsidR="00000000" w:rsidRDefault="00216019">
      <w:pPr>
        <w:rPr>
          <w:rFonts w:cs="Arial"/>
        </w:rPr>
      </w:pPr>
    </w:p>
    <w:p w:rsidR="00000000" w:rsidRDefault="00216019">
      <w:r>
        <w:t>The Board approved an 8.8 % capitation rate increase for the indemnity plan and a 10 % increase in the managed care capitation rat</w:t>
      </w:r>
      <w:r>
        <w:t>e.  The current per member per month (PM/PM) rate by federal and state funding are:</w:t>
      </w:r>
    </w:p>
    <w:p w:rsidR="00000000" w:rsidRDefault="00216019"/>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990"/>
        <w:gridCol w:w="1080"/>
        <w:gridCol w:w="990"/>
        <w:gridCol w:w="990"/>
        <w:gridCol w:w="990"/>
        <w:gridCol w:w="990"/>
        <w:gridCol w:w="1080"/>
        <w:gridCol w:w="990"/>
        <w:gridCol w:w="1080"/>
      </w:tblGrid>
      <w:tr w:rsidR="00000000">
        <w:tblPrEx>
          <w:tblCellMar>
            <w:top w:w="0" w:type="dxa"/>
            <w:bottom w:w="0" w:type="dxa"/>
          </w:tblCellMar>
        </w:tblPrEx>
        <w:tc>
          <w:tcPr>
            <w:tcW w:w="1170" w:type="dxa"/>
          </w:tcPr>
          <w:p w:rsidR="00000000" w:rsidRDefault="00216019">
            <w:pPr>
              <w:rPr>
                <w:rFonts w:cs="Arial"/>
                <w:b/>
                <w:i/>
                <w:sz w:val="18"/>
              </w:rPr>
            </w:pPr>
          </w:p>
          <w:p w:rsidR="00000000" w:rsidRDefault="00216019">
            <w:pPr>
              <w:rPr>
                <w:rFonts w:cs="Arial"/>
                <w:b/>
                <w:i/>
                <w:sz w:val="18"/>
              </w:rPr>
            </w:pPr>
          </w:p>
          <w:p w:rsidR="00000000" w:rsidRDefault="00216019">
            <w:pPr>
              <w:rPr>
                <w:rFonts w:cs="Arial"/>
                <w:b/>
                <w:sz w:val="18"/>
              </w:rPr>
            </w:pPr>
            <w:r>
              <w:rPr>
                <w:rFonts w:cs="Arial"/>
                <w:b/>
                <w:i/>
                <w:sz w:val="18"/>
              </w:rPr>
              <w:t>hawk-i</w:t>
            </w:r>
            <w:r>
              <w:rPr>
                <w:rFonts w:cs="Arial"/>
                <w:b/>
                <w:sz w:val="18"/>
              </w:rPr>
              <w:t xml:space="preserve"> </w:t>
            </w:r>
          </w:p>
        </w:tc>
        <w:tc>
          <w:tcPr>
            <w:tcW w:w="990" w:type="dxa"/>
          </w:tcPr>
          <w:p w:rsidR="00000000" w:rsidRDefault="00216019">
            <w:pPr>
              <w:jc w:val="center"/>
              <w:rPr>
                <w:rFonts w:cs="Arial"/>
                <w:sz w:val="18"/>
              </w:rPr>
            </w:pPr>
            <w:r>
              <w:rPr>
                <w:rFonts w:cs="Arial"/>
                <w:sz w:val="18"/>
              </w:rPr>
              <w:t>Monthly Cost</w:t>
            </w:r>
          </w:p>
          <w:p w:rsidR="00000000" w:rsidRDefault="00216019">
            <w:pPr>
              <w:jc w:val="center"/>
              <w:rPr>
                <w:rFonts w:cs="Arial"/>
                <w:sz w:val="18"/>
              </w:rPr>
            </w:pPr>
            <w:r>
              <w:rPr>
                <w:rFonts w:cs="Arial"/>
                <w:sz w:val="18"/>
              </w:rPr>
              <w:t>SFY '02</w:t>
            </w:r>
          </w:p>
        </w:tc>
        <w:tc>
          <w:tcPr>
            <w:tcW w:w="1080" w:type="dxa"/>
          </w:tcPr>
          <w:p w:rsidR="00000000" w:rsidRDefault="00216019">
            <w:pPr>
              <w:rPr>
                <w:rFonts w:cs="Arial"/>
                <w:sz w:val="18"/>
              </w:rPr>
            </w:pPr>
          </w:p>
          <w:p w:rsidR="00000000" w:rsidRDefault="00216019">
            <w:pPr>
              <w:jc w:val="center"/>
              <w:rPr>
                <w:rFonts w:cs="Arial"/>
                <w:sz w:val="18"/>
              </w:rPr>
            </w:pPr>
            <w:r>
              <w:rPr>
                <w:rFonts w:cs="Arial"/>
                <w:sz w:val="18"/>
              </w:rPr>
              <w:t>Federal Funding</w:t>
            </w:r>
          </w:p>
        </w:tc>
        <w:tc>
          <w:tcPr>
            <w:tcW w:w="990" w:type="dxa"/>
          </w:tcPr>
          <w:p w:rsidR="00000000" w:rsidRDefault="00216019">
            <w:pPr>
              <w:rPr>
                <w:rFonts w:cs="Arial"/>
                <w:sz w:val="18"/>
              </w:rPr>
            </w:pPr>
          </w:p>
          <w:p w:rsidR="00000000" w:rsidRDefault="00216019">
            <w:pPr>
              <w:pStyle w:val="Footer"/>
              <w:tabs>
                <w:tab w:val="clear" w:pos="4320"/>
                <w:tab w:val="clear" w:pos="8640"/>
              </w:tabs>
              <w:jc w:val="center"/>
              <w:rPr>
                <w:rFonts w:ascii="Arial" w:hAnsi="Arial" w:cs="Arial"/>
                <w:sz w:val="18"/>
                <w:szCs w:val="24"/>
              </w:rPr>
            </w:pPr>
            <w:r>
              <w:rPr>
                <w:rFonts w:ascii="Arial" w:hAnsi="Arial" w:cs="Arial"/>
                <w:sz w:val="18"/>
                <w:szCs w:val="24"/>
              </w:rPr>
              <w:t>State Funding</w:t>
            </w:r>
          </w:p>
        </w:tc>
        <w:tc>
          <w:tcPr>
            <w:tcW w:w="990" w:type="dxa"/>
          </w:tcPr>
          <w:p w:rsidR="00000000" w:rsidRDefault="00216019">
            <w:pPr>
              <w:jc w:val="center"/>
              <w:rPr>
                <w:rFonts w:cs="Arial"/>
                <w:sz w:val="18"/>
              </w:rPr>
            </w:pPr>
            <w:r>
              <w:rPr>
                <w:rFonts w:cs="Arial"/>
                <w:sz w:val="18"/>
              </w:rPr>
              <w:t>Monthly Cost</w:t>
            </w:r>
          </w:p>
          <w:p w:rsidR="00000000" w:rsidRDefault="00216019">
            <w:pPr>
              <w:jc w:val="center"/>
              <w:rPr>
                <w:rFonts w:cs="Arial"/>
                <w:sz w:val="18"/>
              </w:rPr>
            </w:pPr>
            <w:r>
              <w:rPr>
                <w:rFonts w:cs="Arial"/>
                <w:sz w:val="18"/>
              </w:rPr>
              <w:t>SFY '03</w:t>
            </w:r>
          </w:p>
        </w:tc>
        <w:tc>
          <w:tcPr>
            <w:tcW w:w="990" w:type="dxa"/>
          </w:tcPr>
          <w:p w:rsidR="00000000" w:rsidRDefault="00216019">
            <w:pPr>
              <w:rPr>
                <w:rFonts w:cs="Arial"/>
                <w:sz w:val="18"/>
              </w:rPr>
            </w:pPr>
          </w:p>
          <w:p w:rsidR="00000000" w:rsidRDefault="00216019">
            <w:pPr>
              <w:jc w:val="center"/>
              <w:rPr>
                <w:rFonts w:cs="Arial"/>
                <w:sz w:val="18"/>
              </w:rPr>
            </w:pPr>
            <w:r>
              <w:rPr>
                <w:rFonts w:cs="Arial"/>
                <w:sz w:val="18"/>
              </w:rPr>
              <w:t>Federal Funding</w:t>
            </w:r>
          </w:p>
        </w:tc>
        <w:tc>
          <w:tcPr>
            <w:tcW w:w="990" w:type="dxa"/>
          </w:tcPr>
          <w:p w:rsidR="00000000" w:rsidRDefault="00216019">
            <w:pPr>
              <w:rPr>
                <w:rFonts w:cs="Arial"/>
                <w:sz w:val="18"/>
              </w:rPr>
            </w:pPr>
          </w:p>
          <w:p w:rsidR="00000000" w:rsidRDefault="00216019">
            <w:pPr>
              <w:jc w:val="center"/>
              <w:rPr>
                <w:rFonts w:cs="Arial"/>
                <w:sz w:val="18"/>
              </w:rPr>
            </w:pPr>
            <w:r>
              <w:rPr>
                <w:rFonts w:cs="Arial"/>
                <w:sz w:val="18"/>
              </w:rPr>
              <w:t>State Funding</w:t>
            </w:r>
          </w:p>
        </w:tc>
        <w:tc>
          <w:tcPr>
            <w:tcW w:w="1080" w:type="dxa"/>
          </w:tcPr>
          <w:p w:rsidR="00000000" w:rsidRDefault="00216019">
            <w:pPr>
              <w:jc w:val="center"/>
              <w:rPr>
                <w:rFonts w:cs="Arial"/>
                <w:sz w:val="18"/>
              </w:rPr>
            </w:pPr>
            <w:r>
              <w:rPr>
                <w:rFonts w:cs="Arial"/>
                <w:sz w:val="18"/>
              </w:rPr>
              <w:t>Monthly Cost</w:t>
            </w:r>
          </w:p>
          <w:p w:rsidR="00000000" w:rsidRDefault="00216019">
            <w:pPr>
              <w:jc w:val="center"/>
              <w:rPr>
                <w:rFonts w:cs="Arial"/>
                <w:sz w:val="18"/>
              </w:rPr>
            </w:pPr>
            <w:r>
              <w:rPr>
                <w:rFonts w:cs="Arial"/>
                <w:sz w:val="18"/>
              </w:rPr>
              <w:t>SFY ‘04</w:t>
            </w:r>
          </w:p>
        </w:tc>
        <w:tc>
          <w:tcPr>
            <w:tcW w:w="990" w:type="dxa"/>
          </w:tcPr>
          <w:p w:rsidR="00000000" w:rsidRDefault="00216019">
            <w:pPr>
              <w:rPr>
                <w:rFonts w:cs="Arial"/>
                <w:sz w:val="18"/>
              </w:rPr>
            </w:pPr>
          </w:p>
          <w:p w:rsidR="00000000" w:rsidRDefault="00216019">
            <w:pPr>
              <w:rPr>
                <w:rFonts w:cs="Arial"/>
                <w:sz w:val="18"/>
              </w:rPr>
            </w:pPr>
            <w:r>
              <w:rPr>
                <w:rFonts w:cs="Arial"/>
                <w:sz w:val="18"/>
              </w:rPr>
              <w:t>Federal Funding</w:t>
            </w:r>
          </w:p>
        </w:tc>
        <w:tc>
          <w:tcPr>
            <w:tcW w:w="1080" w:type="dxa"/>
          </w:tcPr>
          <w:p w:rsidR="00000000" w:rsidRDefault="00216019">
            <w:pPr>
              <w:jc w:val="center"/>
              <w:rPr>
                <w:rFonts w:cs="Arial"/>
                <w:sz w:val="18"/>
              </w:rPr>
            </w:pPr>
          </w:p>
          <w:p w:rsidR="00000000" w:rsidRDefault="00216019">
            <w:pPr>
              <w:pStyle w:val="Footer"/>
              <w:tabs>
                <w:tab w:val="clear" w:pos="4320"/>
                <w:tab w:val="clear" w:pos="8640"/>
              </w:tabs>
              <w:jc w:val="center"/>
              <w:rPr>
                <w:rFonts w:ascii="Arial" w:hAnsi="Arial" w:cs="Arial"/>
                <w:sz w:val="18"/>
                <w:szCs w:val="24"/>
              </w:rPr>
            </w:pPr>
            <w:r>
              <w:rPr>
                <w:rFonts w:ascii="Arial" w:hAnsi="Arial" w:cs="Arial"/>
                <w:sz w:val="18"/>
                <w:szCs w:val="24"/>
              </w:rPr>
              <w:t>State</w:t>
            </w:r>
          </w:p>
          <w:p w:rsidR="00000000" w:rsidRDefault="00216019">
            <w:pPr>
              <w:jc w:val="center"/>
              <w:rPr>
                <w:rFonts w:cs="Arial"/>
                <w:sz w:val="18"/>
              </w:rPr>
            </w:pPr>
            <w:r>
              <w:rPr>
                <w:rFonts w:cs="Arial"/>
                <w:sz w:val="18"/>
              </w:rPr>
              <w:t>Funding</w:t>
            </w:r>
          </w:p>
        </w:tc>
      </w:tr>
      <w:tr w:rsidR="00000000">
        <w:tblPrEx>
          <w:tblCellMar>
            <w:top w:w="0" w:type="dxa"/>
            <w:bottom w:w="0" w:type="dxa"/>
          </w:tblCellMar>
        </w:tblPrEx>
        <w:tc>
          <w:tcPr>
            <w:tcW w:w="1170" w:type="dxa"/>
          </w:tcPr>
          <w:p w:rsidR="00000000" w:rsidRDefault="00216019">
            <w:pPr>
              <w:rPr>
                <w:rFonts w:cs="Arial"/>
                <w:sz w:val="18"/>
              </w:rPr>
            </w:pPr>
            <w:r>
              <w:rPr>
                <w:rFonts w:cs="Arial"/>
                <w:sz w:val="18"/>
              </w:rPr>
              <w:t>M</w:t>
            </w:r>
            <w:r>
              <w:rPr>
                <w:rFonts w:cs="Arial"/>
                <w:sz w:val="18"/>
              </w:rPr>
              <w:t>anaged Care Plans</w:t>
            </w:r>
          </w:p>
        </w:tc>
        <w:tc>
          <w:tcPr>
            <w:tcW w:w="990" w:type="dxa"/>
          </w:tcPr>
          <w:p w:rsidR="00000000" w:rsidRDefault="00216019">
            <w:pPr>
              <w:tabs>
                <w:tab w:val="decimal" w:pos="612"/>
              </w:tabs>
              <w:rPr>
                <w:rFonts w:cs="Arial"/>
                <w:sz w:val="18"/>
              </w:rPr>
            </w:pPr>
            <w:r>
              <w:rPr>
                <w:rFonts w:cs="Arial"/>
                <w:sz w:val="18"/>
              </w:rPr>
              <w:t>$106.52</w:t>
            </w:r>
          </w:p>
        </w:tc>
        <w:tc>
          <w:tcPr>
            <w:tcW w:w="1080" w:type="dxa"/>
          </w:tcPr>
          <w:p w:rsidR="00000000" w:rsidRDefault="00216019">
            <w:pPr>
              <w:tabs>
                <w:tab w:val="decimal" w:pos="504"/>
              </w:tabs>
              <w:rPr>
                <w:rFonts w:cs="Arial"/>
                <w:sz w:val="18"/>
              </w:rPr>
            </w:pPr>
            <w:r>
              <w:rPr>
                <w:rFonts w:cs="Arial"/>
                <w:sz w:val="18"/>
              </w:rPr>
              <w:t>$78.82</w:t>
            </w:r>
          </w:p>
          <w:p w:rsidR="00000000" w:rsidRDefault="00216019">
            <w:pPr>
              <w:tabs>
                <w:tab w:val="decimal" w:pos="504"/>
              </w:tabs>
              <w:rPr>
                <w:rFonts w:cs="Arial"/>
                <w:sz w:val="18"/>
              </w:rPr>
            </w:pPr>
            <w:r>
              <w:rPr>
                <w:rFonts w:cs="Arial"/>
                <w:sz w:val="18"/>
              </w:rPr>
              <w:t>(74%)</w:t>
            </w:r>
          </w:p>
        </w:tc>
        <w:tc>
          <w:tcPr>
            <w:tcW w:w="990" w:type="dxa"/>
          </w:tcPr>
          <w:p w:rsidR="00000000" w:rsidRDefault="00216019">
            <w:pPr>
              <w:tabs>
                <w:tab w:val="decimal" w:pos="522"/>
              </w:tabs>
              <w:rPr>
                <w:rFonts w:cs="Arial"/>
                <w:sz w:val="18"/>
              </w:rPr>
            </w:pPr>
            <w:r>
              <w:rPr>
                <w:rFonts w:cs="Arial"/>
                <w:sz w:val="18"/>
              </w:rPr>
              <w:t>$27.70</w:t>
            </w:r>
          </w:p>
          <w:p w:rsidR="00000000" w:rsidRDefault="00216019">
            <w:pPr>
              <w:tabs>
                <w:tab w:val="decimal" w:pos="522"/>
              </w:tabs>
              <w:rPr>
                <w:rFonts w:cs="Arial"/>
                <w:sz w:val="18"/>
              </w:rPr>
            </w:pPr>
            <w:r>
              <w:rPr>
                <w:rFonts w:cs="Arial"/>
                <w:sz w:val="18"/>
              </w:rPr>
              <w:t>(26%)</w:t>
            </w:r>
          </w:p>
        </w:tc>
        <w:tc>
          <w:tcPr>
            <w:tcW w:w="990" w:type="dxa"/>
          </w:tcPr>
          <w:p w:rsidR="00000000" w:rsidRDefault="00216019">
            <w:pPr>
              <w:tabs>
                <w:tab w:val="decimal" w:pos="612"/>
              </w:tabs>
              <w:rPr>
                <w:rFonts w:cs="Arial"/>
                <w:sz w:val="18"/>
              </w:rPr>
            </w:pPr>
            <w:r>
              <w:rPr>
                <w:rFonts w:cs="Arial"/>
                <w:sz w:val="18"/>
              </w:rPr>
              <w:t>$119.30</w:t>
            </w:r>
          </w:p>
        </w:tc>
        <w:tc>
          <w:tcPr>
            <w:tcW w:w="990" w:type="dxa"/>
          </w:tcPr>
          <w:p w:rsidR="00000000" w:rsidRDefault="00216019">
            <w:pPr>
              <w:tabs>
                <w:tab w:val="decimal" w:pos="522"/>
              </w:tabs>
              <w:rPr>
                <w:rFonts w:cs="Arial"/>
                <w:sz w:val="18"/>
              </w:rPr>
            </w:pPr>
            <w:r>
              <w:rPr>
                <w:rFonts w:cs="Arial"/>
                <w:sz w:val="18"/>
              </w:rPr>
              <w:t>$88.28</w:t>
            </w:r>
          </w:p>
          <w:p w:rsidR="00000000" w:rsidRDefault="00216019">
            <w:pPr>
              <w:tabs>
                <w:tab w:val="decimal" w:pos="522"/>
              </w:tabs>
              <w:rPr>
                <w:rFonts w:cs="Arial"/>
                <w:sz w:val="18"/>
              </w:rPr>
            </w:pPr>
            <w:r>
              <w:rPr>
                <w:rFonts w:cs="Arial"/>
                <w:sz w:val="18"/>
              </w:rPr>
              <w:t>(74%)</w:t>
            </w:r>
          </w:p>
        </w:tc>
        <w:tc>
          <w:tcPr>
            <w:tcW w:w="990" w:type="dxa"/>
          </w:tcPr>
          <w:p w:rsidR="00000000" w:rsidRDefault="00216019">
            <w:pPr>
              <w:tabs>
                <w:tab w:val="decimal" w:pos="432"/>
              </w:tabs>
              <w:rPr>
                <w:rFonts w:cs="Arial"/>
                <w:sz w:val="18"/>
              </w:rPr>
            </w:pPr>
            <w:r>
              <w:rPr>
                <w:rFonts w:cs="Arial"/>
                <w:sz w:val="18"/>
              </w:rPr>
              <w:t>$31.02</w:t>
            </w:r>
          </w:p>
          <w:p w:rsidR="00000000" w:rsidRDefault="00216019">
            <w:pPr>
              <w:tabs>
                <w:tab w:val="decimal" w:pos="432"/>
              </w:tabs>
              <w:rPr>
                <w:rFonts w:cs="Arial"/>
                <w:sz w:val="18"/>
              </w:rPr>
            </w:pPr>
            <w:r>
              <w:rPr>
                <w:rFonts w:cs="Arial"/>
                <w:sz w:val="18"/>
              </w:rPr>
              <w:t>(26%)</w:t>
            </w:r>
          </w:p>
        </w:tc>
        <w:tc>
          <w:tcPr>
            <w:tcW w:w="1080" w:type="dxa"/>
          </w:tcPr>
          <w:p w:rsidR="00000000" w:rsidRDefault="00216019">
            <w:pPr>
              <w:tabs>
                <w:tab w:val="decimal" w:pos="432"/>
              </w:tabs>
              <w:rPr>
                <w:rFonts w:cs="Arial"/>
                <w:sz w:val="18"/>
              </w:rPr>
            </w:pPr>
            <w:r>
              <w:rPr>
                <w:rFonts w:cs="Arial"/>
                <w:sz w:val="18"/>
              </w:rPr>
              <w:t>$131.23</w:t>
            </w:r>
          </w:p>
          <w:p w:rsidR="00000000" w:rsidRDefault="00216019">
            <w:pPr>
              <w:tabs>
                <w:tab w:val="decimal" w:pos="432"/>
              </w:tabs>
              <w:rPr>
                <w:rFonts w:cs="Arial"/>
                <w:sz w:val="18"/>
              </w:rPr>
            </w:pPr>
          </w:p>
        </w:tc>
        <w:tc>
          <w:tcPr>
            <w:tcW w:w="990" w:type="dxa"/>
          </w:tcPr>
          <w:p w:rsidR="00000000" w:rsidRDefault="00216019">
            <w:pPr>
              <w:tabs>
                <w:tab w:val="decimal" w:pos="432"/>
              </w:tabs>
              <w:jc w:val="center"/>
              <w:rPr>
                <w:rFonts w:cs="Arial"/>
                <w:sz w:val="18"/>
              </w:rPr>
            </w:pPr>
            <w:r>
              <w:rPr>
                <w:rFonts w:cs="Arial"/>
                <w:sz w:val="18"/>
              </w:rPr>
              <w:t>$97.11</w:t>
            </w:r>
          </w:p>
          <w:p w:rsidR="00000000" w:rsidRDefault="00216019">
            <w:pPr>
              <w:tabs>
                <w:tab w:val="decimal" w:pos="432"/>
              </w:tabs>
              <w:jc w:val="center"/>
              <w:rPr>
                <w:rFonts w:cs="Arial"/>
                <w:sz w:val="18"/>
              </w:rPr>
            </w:pPr>
            <w:r>
              <w:rPr>
                <w:rFonts w:cs="Arial"/>
                <w:sz w:val="18"/>
              </w:rPr>
              <w:t>(74%)</w:t>
            </w:r>
          </w:p>
        </w:tc>
        <w:tc>
          <w:tcPr>
            <w:tcW w:w="1080" w:type="dxa"/>
          </w:tcPr>
          <w:p w:rsidR="00000000" w:rsidRDefault="00216019">
            <w:pPr>
              <w:tabs>
                <w:tab w:val="decimal" w:pos="432"/>
              </w:tabs>
              <w:jc w:val="center"/>
              <w:rPr>
                <w:rFonts w:cs="Arial"/>
                <w:sz w:val="18"/>
              </w:rPr>
            </w:pPr>
            <w:r>
              <w:rPr>
                <w:rFonts w:cs="Arial"/>
                <w:sz w:val="18"/>
              </w:rPr>
              <w:t>$34.12</w:t>
            </w:r>
          </w:p>
          <w:p w:rsidR="00000000" w:rsidRDefault="00216019">
            <w:pPr>
              <w:tabs>
                <w:tab w:val="decimal" w:pos="432"/>
              </w:tabs>
              <w:jc w:val="center"/>
              <w:rPr>
                <w:rFonts w:cs="Arial"/>
                <w:sz w:val="18"/>
              </w:rPr>
            </w:pPr>
            <w:r>
              <w:rPr>
                <w:rFonts w:cs="Arial"/>
                <w:sz w:val="18"/>
              </w:rPr>
              <w:t>(26%)</w:t>
            </w:r>
          </w:p>
        </w:tc>
      </w:tr>
      <w:tr w:rsidR="00000000">
        <w:tblPrEx>
          <w:tblCellMar>
            <w:top w:w="0" w:type="dxa"/>
            <w:bottom w:w="0" w:type="dxa"/>
          </w:tblCellMar>
        </w:tblPrEx>
        <w:tc>
          <w:tcPr>
            <w:tcW w:w="1170" w:type="dxa"/>
          </w:tcPr>
          <w:p w:rsidR="00000000" w:rsidRDefault="00216019">
            <w:pPr>
              <w:rPr>
                <w:rFonts w:cs="Arial"/>
                <w:sz w:val="18"/>
              </w:rPr>
            </w:pPr>
            <w:r>
              <w:rPr>
                <w:rFonts w:cs="Arial"/>
                <w:sz w:val="18"/>
              </w:rPr>
              <w:t>Indemnity Plan</w:t>
            </w:r>
          </w:p>
        </w:tc>
        <w:tc>
          <w:tcPr>
            <w:tcW w:w="990" w:type="dxa"/>
          </w:tcPr>
          <w:p w:rsidR="00000000" w:rsidRDefault="00216019">
            <w:pPr>
              <w:tabs>
                <w:tab w:val="decimal" w:pos="612"/>
              </w:tabs>
              <w:rPr>
                <w:rFonts w:cs="Arial"/>
                <w:sz w:val="18"/>
              </w:rPr>
            </w:pPr>
            <w:r>
              <w:rPr>
                <w:rFonts w:cs="Arial"/>
                <w:sz w:val="18"/>
              </w:rPr>
              <w:t>$131.98</w:t>
            </w:r>
          </w:p>
        </w:tc>
        <w:tc>
          <w:tcPr>
            <w:tcW w:w="1080" w:type="dxa"/>
          </w:tcPr>
          <w:p w:rsidR="00000000" w:rsidRDefault="00216019">
            <w:pPr>
              <w:tabs>
                <w:tab w:val="decimal" w:pos="504"/>
              </w:tabs>
              <w:rPr>
                <w:rFonts w:cs="Arial"/>
                <w:sz w:val="18"/>
              </w:rPr>
            </w:pPr>
            <w:r>
              <w:rPr>
                <w:rFonts w:cs="Arial"/>
                <w:sz w:val="18"/>
              </w:rPr>
              <w:t>$97.67</w:t>
            </w:r>
          </w:p>
          <w:p w:rsidR="00000000" w:rsidRDefault="00216019">
            <w:pPr>
              <w:tabs>
                <w:tab w:val="decimal" w:pos="504"/>
              </w:tabs>
              <w:rPr>
                <w:rFonts w:cs="Arial"/>
                <w:sz w:val="18"/>
              </w:rPr>
            </w:pPr>
            <w:r>
              <w:rPr>
                <w:rFonts w:cs="Arial"/>
                <w:sz w:val="18"/>
              </w:rPr>
              <w:t>(74%)</w:t>
            </w:r>
          </w:p>
        </w:tc>
        <w:tc>
          <w:tcPr>
            <w:tcW w:w="990" w:type="dxa"/>
          </w:tcPr>
          <w:p w:rsidR="00000000" w:rsidRDefault="00216019">
            <w:pPr>
              <w:tabs>
                <w:tab w:val="decimal" w:pos="522"/>
              </w:tabs>
              <w:rPr>
                <w:rFonts w:cs="Arial"/>
                <w:sz w:val="18"/>
              </w:rPr>
            </w:pPr>
            <w:r>
              <w:rPr>
                <w:rFonts w:cs="Arial"/>
                <w:sz w:val="18"/>
              </w:rPr>
              <w:t>$34.31</w:t>
            </w:r>
          </w:p>
          <w:p w:rsidR="00000000" w:rsidRDefault="00216019">
            <w:pPr>
              <w:tabs>
                <w:tab w:val="decimal" w:pos="522"/>
              </w:tabs>
              <w:rPr>
                <w:rFonts w:cs="Arial"/>
                <w:sz w:val="18"/>
              </w:rPr>
            </w:pPr>
            <w:r>
              <w:rPr>
                <w:rFonts w:cs="Arial"/>
                <w:sz w:val="18"/>
              </w:rPr>
              <w:t>(26%)</w:t>
            </w:r>
          </w:p>
        </w:tc>
        <w:tc>
          <w:tcPr>
            <w:tcW w:w="990" w:type="dxa"/>
          </w:tcPr>
          <w:p w:rsidR="00000000" w:rsidRDefault="00216019">
            <w:pPr>
              <w:tabs>
                <w:tab w:val="decimal" w:pos="612"/>
              </w:tabs>
              <w:rPr>
                <w:rFonts w:cs="Arial"/>
                <w:sz w:val="18"/>
              </w:rPr>
            </w:pPr>
            <w:r>
              <w:rPr>
                <w:rFonts w:cs="Arial"/>
                <w:sz w:val="18"/>
              </w:rPr>
              <w:t>$155.87</w:t>
            </w:r>
          </w:p>
        </w:tc>
        <w:tc>
          <w:tcPr>
            <w:tcW w:w="990" w:type="dxa"/>
          </w:tcPr>
          <w:p w:rsidR="00000000" w:rsidRDefault="00216019">
            <w:pPr>
              <w:tabs>
                <w:tab w:val="decimal" w:pos="522"/>
              </w:tabs>
              <w:rPr>
                <w:rFonts w:cs="Arial"/>
                <w:sz w:val="18"/>
              </w:rPr>
            </w:pPr>
            <w:r>
              <w:rPr>
                <w:rFonts w:cs="Arial"/>
                <w:sz w:val="18"/>
              </w:rPr>
              <w:t>$115.34</w:t>
            </w:r>
          </w:p>
          <w:p w:rsidR="00000000" w:rsidRDefault="00216019">
            <w:pPr>
              <w:tabs>
                <w:tab w:val="decimal" w:pos="522"/>
              </w:tabs>
              <w:rPr>
                <w:rFonts w:cs="Arial"/>
                <w:sz w:val="18"/>
              </w:rPr>
            </w:pPr>
            <w:r>
              <w:rPr>
                <w:rFonts w:cs="Arial"/>
                <w:sz w:val="18"/>
              </w:rPr>
              <w:t>(74%)</w:t>
            </w:r>
          </w:p>
        </w:tc>
        <w:tc>
          <w:tcPr>
            <w:tcW w:w="990" w:type="dxa"/>
          </w:tcPr>
          <w:p w:rsidR="00000000" w:rsidRDefault="00216019">
            <w:pPr>
              <w:tabs>
                <w:tab w:val="decimal" w:pos="432"/>
              </w:tabs>
              <w:rPr>
                <w:rFonts w:cs="Arial"/>
                <w:sz w:val="18"/>
              </w:rPr>
            </w:pPr>
            <w:r>
              <w:rPr>
                <w:rFonts w:cs="Arial"/>
                <w:sz w:val="18"/>
              </w:rPr>
              <w:t>$40.53</w:t>
            </w:r>
          </w:p>
          <w:p w:rsidR="00000000" w:rsidRDefault="00216019">
            <w:pPr>
              <w:tabs>
                <w:tab w:val="decimal" w:pos="432"/>
              </w:tabs>
              <w:rPr>
                <w:rFonts w:cs="Arial"/>
                <w:sz w:val="18"/>
              </w:rPr>
            </w:pPr>
            <w:r>
              <w:rPr>
                <w:rFonts w:cs="Arial"/>
                <w:sz w:val="18"/>
              </w:rPr>
              <w:t>(26%)</w:t>
            </w:r>
          </w:p>
        </w:tc>
        <w:tc>
          <w:tcPr>
            <w:tcW w:w="1080" w:type="dxa"/>
          </w:tcPr>
          <w:p w:rsidR="00000000" w:rsidRDefault="00216019">
            <w:pPr>
              <w:tabs>
                <w:tab w:val="decimal" w:pos="432"/>
              </w:tabs>
              <w:rPr>
                <w:rFonts w:cs="Arial"/>
                <w:sz w:val="18"/>
              </w:rPr>
            </w:pPr>
            <w:r>
              <w:rPr>
                <w:rFonts w:cs="Arial"/>
                <w:sz w:val="18"/>
              </w:rPr>
              <w:t>$169.58</w:t>
            </w:r>
          </w:p>
          <w:p w:rsidR="00000000" w:rsidRDefault="00216019">
            <w:pPr>
              <w:tabs>
                <w:tab w:val="decimal" w:pos="432"/>
              </w:tabs>
              <w:rPr>
                <w:rFonts w:cs="Arial"/>
                <w:sz w:val="18"/>
              </w:rPr>
            </w:pPr>
          </w:p>
        </w:tc>
        <w:tc>
          <w:tcPr>
            <w:tcW w:w="990" w:type="dxa"/>
          </w:tcPr>
          <w:p w:rsidR="00000000" w:rsidRDefault="00216019">
            <w:pPr>
              <w:tabs>
                <w:tab w:val="decimal" w:pos="432"/>
              </w:tabs>
              <w:jc w:val="center"/>
              <w:rPr>
                <w:rFonts w:cs="Arial"/>
                <w:sz w:val="18"/>
              </w:rPr>
            </w:pPr>
            <w:r>
              <w:rPr>
                <w:rFonts w:cs="Arial"/>
                <w:sz w:val="18"/>
              </w:rPr>
              <w:t>$125.49</w:t>
            </w:r>
          </w:p>
          <w:p w:rsidR="00000000" w:rsidRDefault="00216019">
            <w:pPr>
              <w:tabs>
                <w:tab w:val="decimal" w:pos="432"/>
              </w:tabs>
              <w:jc w:val="center"/>
              <w:rPr>
                <w:rFonts w:cs="Arial"/>
                <w:sz w:val="18"/>
              </w:rPr>
            </w:pPr>
            <w:r>
              <w:rPr>
                <w:rFonts w:cs="Arial"/>
                <w:sz w:val="18"/>
              </w:rPr>
              <w:t>(74%)</w:t>
            </w:r>
          </w:p>
        </w:tc>
        <w:tc>
          <w:tcPr>
            <w:tcW w:w="1080" w:type="dxa"/>
          </w:tcPr>
          <w:p w:rsidR="00000000" w:rsidRDefault="00216019">
            <w:pPr>
              <w:tabs>
                <w:tab w:val="decimal" w:pos="432"/>
              </w:tabs>
              <w:jc w:val="center"/>
              <w:rPr>
                <w:rFonts w:cs="Arial"/>
                <w:sz w:val="18"/>
              </w:rPr>
            </w:pPr>
            <w:r>
              <w:rPr>
                <w:rFonts w:cs="Arial"/>
                <w:sz w:val="18"/>
              </w:rPr>
              <w:t>$44.09</w:t>
            </w:r>
          </w:p>
          <w:p w:rsidR="00000000" w:rsidRDefault="00216019">
            <w:pPr>
              <w:tabs>
                <w:tab w:val="decimal" w:pos="432"/>
              </w:tabs>
              <w:jc w:val="center"/>
              <w:rPr>
                <w:rFonts w:cs="Arial"/>
                <w:sz w:val="18"/>
              </w:rPr>
            </w:pPr>
            <w:r>
              <w:rPr>
                <w:rFonts w:cs="Arial"/>
                <w:sz w:val="18"/>
              </w:rPr>
              <w:t>(26%)</w:t>
            </w:r>
          </w:p>
        </w:tc>
      </w:tr>
      <w:tr w:rsidR="00000000">
        <w:tblPrEx>
          <w:tblCellMar>
            <w:top w:w="0" w:type="dxa"/>
            <w:bottom w:w="0" w:type="dxa"/>
          </w:tblCellMar>
        </w:tblPrEx>
        <w:tc>
          <w:tcPr>
            <w:tcW w:w="1170" w:type="dxa"/>
          </w:tcPr>
          <w:p w:rsidR="00000000" w:rsidRDefault="00216019">
            <w:pPr>
              <w:rPr>
                <w:rFonts w:cs="Arial"/>
                <w:sz w:val="18"/>
              </w:rPr>
            </w:pPr>
            <w:r>
              <w:rPr>
                <w:rFonts w:cs="Arial"/>
                <w:sz w:val="18"/>
              </w:rPr>
              <w:t>Average of Al</w:t>
            </w:r>
            <w:r>
              <w:rPr>
                <w:rFonts w:cs="Arial"/>
                <w:sz w:val="18"/>
              </w:rPr>
              <w:t>l Plans</w:t>
            </w:r>
          </w:p>
        </w:tc>
        <w:tc>
          <w:tcPr>
            <w:tcW w:w="990" w:type="dxa"/>
          </w:tcPr>
          <w:p w:rsidR="00000000" w:rsidRDefault="00216019">
            <w:pPr>
              <w:tabs>
                <w:tab w:val="decimal" w:pos="612"/>
              </w:tabs>
              <w:rPr>
                <w:rFonts w:cs="Arial"/>
                <w:sz w:val="18"/>
              </w:rPr>
            </w:pPr>
          </w:p>
          <w:p w:rsidR="00000000" w:rsidRDefault="00216019">
            <w:pPr>
              <w:tabs>
                <w:tab w:val="decimal" w:pos="612"/>
              </w:tabs>
              <w:rPr>
                <w:rFonts w:cs="Arial"/>
                <w:sz w:val="18"/>
              </w:rPr>
            </w:pPr>
            <w:r>
              <w:rPr>
                <w:rFonts w:cs="Arial"/>
                <w:sz w:val="18"/>
              </w:rPr>
              <w:t>$119.25</w:t>
            </w:r>
          </w:p>
        </w:tc>
        <w:tc>
          <w:tcPr>
            <w:tcW w:w="1080" w:type="dxa"/>
          </w:tcPr>
          <w:p w:rsidR="00000000" w:rsidRDefault="00216019">
            <w:pPr>
              <w:tabs>
                <w:tab w:val="decimal" w:pos="504"/>
              </w:tabs>
              <w:rPr>
                <w:rFonts w:cs="Arial"/>
                <w:sz w:val="18"/>
              </w:rPr>
            </w:pPr>
          </w:p>
          <w:p w:rsidR="00000000" w:rsidRDefault="00216019">
            <w:pPr>
              <w:tabs>
                <w:tab w:val="decimal" w:pos="504"/>
              </w:tabs>
              <w:rPr>
                <w:rFonts w:cs="Arial"/>
                <w:sz w:val="18"/>
              </w:rPr>
            </w:pPr>
            <w:r>
              <w:rPr>
                <w:rFonts w:cs="Arial"/>
                <w:sz w:val="18"/>
              </w:rPr>
              <w:t>$88.25</w:t>
            </w:r>
          </w:p>
        </w:tc>
        <w:tc>
          <w:tcPr>
            <w:tcW w:w="990" w:type="dxa"/>
          </w:tcPr>
          <w:p w:rsidR="00000000" w:rsidRDefault="00216019">
            <w:pPr>
              <w:tabs>
                <w:tab w:val="decimal" w:pos="522"/>
              </w:tabs>
              <w:rPr>
                <w:rFonts w:cs="Arial"/>
                <w:sz w:val="18"/>
              </w:rPr>
            </w:pPr>
          </w:p>
          <w:p w:rsidR="00000000" w:rsidRDefault="00216019">
            <w:pPr>
              <w:tabs>
                <w:tab w:val="decimal" w:pos="522"/>
              </w:tabs>
              <w:rPr>
                <w:rFonts w:cs="Arial"/>
                <w:sz w:val="18"/>
              </w:rPr>
            </w:pPr>
            <w:r>
              <w:rPr>
                <w:rFonts w:cs="Arial"/>
                <w:sz w:val="18"/>
              </w:rPr>
              <w:t>$31.00</w:t>
            </w:r>
          </w:p>
        </w:tc>
        <w:tc>
          <w:tcPr>
            <w:tcW w:w="990" w:type="dxa"/>
          </w:tcPr>
          <w:p w:rsidR="00000000" w:rsidRDefault="00216019">
            <w:pPr>
              <w:tabs>
                <w:tab w:val="decimal" w:pos="612"/>
              </w:tabs>
              <w:rPr>
                <w:rFonts w:cs="Arial"/>
                <w:sz w:val="18"/>
              </w:rPr>
            </w:pPr>
          </w:p>
          <w:p w:rsidR="00000000" w:rsidRDefault="00216019">
            <w:pPr>
              <w:tabs>
                <w:tab w:val="decimal" w:pos="612"/>
              </w:tabs>
              <w:rPr>
                <w:rFonts w:cs="Arial"/>
                <w:sz w:val="18"/>
              </w:rPr>
            </w:pPr>
            <w:r>
              <w:rPr>
                <w:rFonts w:cs="Arial"/>
                <w:sz w:val="18"/>
              </w:rPr>
              <w:t>$137.85</w:t>
            </w:r>
          </w:p>
        </w:tc>
        <w:tc>
          <w:tcPr>
            <w:tcW w:w="990" w:type="dxa"/>
          </w:tcPr>
          <w:p w:rsidR="00000000" w:rsidRDefault="00216019">
            <w:pPr>
              <w:tabs>
                <w:tab w:val="decimal" w:pos="522"/>
              </w:tabs>
              <w:rPr>
                <w:rFonts w:cs="Arial"/>
                <w:sz w:val="18"/>
              </w:rPr>
            </w:pPr>
          </w:p>
          <w:p w:rsidR="00000000" w:rsidRDefault="00216019">
            <w:pPr>
              <w:tabs>
                <w:tab w:val="decimal" w:pos="522"/>
              </w:tabs>
              <w:rPr>
                <w:rFonts w:cs="Arial"/>
                <w:sz w:val="18"/>
              </w:rPr>
            </w:pPr>
            <w:r>
              <w:rPr>
                <w:rFonts w:cs="Arial"/>
                <w:sz w:val="18"/>
              </w:rPr>
              <w:t>$101.81</w:t>
            </w:r>
          </w:p>
        </w:tc>
        <w:tc>
          <w:tcPr>
            <w:tcW w:w="990" w:type="dxa"/>
          </w:tcPr>
          <w:p w:rsidR="00000000" w:rsidRDefault="00216019">
            <w:pPr>
              <w:tabs>
                <w:tab w:val="decimal" w:pos="432"/>
              </w:tabs>
              <w:rPr>
                <w:rFonts w:cs="Arial"/>
                <w:sz w:val="18"/>
              </w:rPr>
            </w:pPr>
          </w:p>
          <w:p w:rsidR="00000000" w:rsidRDefault="00216019">
            <w:pPr>
              <w:tabs>
                <w:tab w:val="decimal" w:pos="432"/>
              </w:tabs>
              <w:rPr>
                <w:rFonts w:cs="Arial"/>
                <w:sz w:val="18"/>
              </w:rPr>
            </w:pPr>
            <w:r>
              <w:rPr>
                <w:rFonts w:cs="Arial"/>
                <w:sz w:val="18"/>
              </w:rPr>
              <w:t>$35.78</w:t>
            </w:r>
          </w:p>
        </w:tc>
        <w:tc>
          <w:tcPr>
            <w:tcW w:w="1080" w:type="dxa"/>
          </w:tcPr>
          <w:p w:rsidR="00000000" w:rsidRDefault="00216019">
            <w:pPr>
              <w:tabs>
                <w:tab w:val="decimal" w:pos="432"/>
              </w:tabs>
              <w:rPr>
                <w:rFonts w:cs="Arial"/>
                <w:sz w:val="18"/>
              </w:rPr>
            </w:pPr>
          </w:p>
          <w:p w:rsidR="00000000" w:rsidRDefault="00216019">
            <w:pPr>
              <w:tabs>
                <w:tab w:val="decimal" w:pos="432"/>
              </w:tabs>
              <w:rPr>
                <w:rFonts w:cs="Arial"/>
                <w:sz w:val="18"/>
              </w:rPr>
            </w:pPr>
            <w:r>
              <w:rPr>
                <w:rFonts w:cs="Arial"/>
                <w:sz w:val="18"/>
              </w:rPr>
              <w:t>$150.41</w:t>
            </w:r>
          </w:p>
        </w:tc>
        <w:tc>
          <w:tcPr>
            <w:tcW w:w="990" w:type="dxa"/>
          </w:tcPr>
          <w:p w:rsidR="00000000" w:rsidRDefault="00216019">
            <w:pPr>
              <w:tabs>
                <w:tab w:val="decimal" w:pos="432"/>
              </w:tabs>
              <w:jc w:val="center"/>
              <w:rPr>
                <w:rFonts w:cs="Arial"/>
                <w:sz w:val="18"/>
              </w:rPr>
            </w:pPr>
          </w:p>
          <w:p w:rsidR="00000000" w:rsidRDefault="00216019">
            <w:pPr>
              <w:tabs>
                <w:tab w:val="decimal" w:pos="432"/>
              </w:tabs>
              <w:jc w:val="center"/>
              <w:rPr>
                <w:rFonts w:cs="Arial"/>
                <w:sz w:val="18"/>
              </w:rPr>
            </w:pPr>
            <w:r>
              <w:rPr>
                <w:rFonts w:cs="Arial"/>
                <w:sz w:val="18"/>
              </w:rPr>
              <w:t>$111.30</w:t>
            </w:r>
          </w:p>
        </w:tc>
        <w:tc>
          <w:tcPr>
            <w:tcW w:w="1080" w:type="dxa"/>
          </w:tcPr>
          <w:p w:rsidR="00000000" w:rsidRDefault="00216019">
            <w:pPr>
              <w:tabs>
                <w:tab w:val="decimal" w:pos="432"/>
              </w:tabs>
              <w:jc w:val="center"/>
              <w:rPr>
                <w:rFonts w:cs="Arial"/>
                <w:sz w:val="18"/>
              </w:rPr>
            </w:pPr>
          </w:p>
          <w:p w:rsidR="00000000" w:rsidRDefault="00216019">
            <w:pPr>
              <w:tabs>
                <w:tab w:val="decimal" w:pos="432"/>
              </w:tabs>
              <w:jc w:val="center"/>
              <w:rPr>
                <w:rFonts w:cs="Arial"/>
                <w:sz w:val="18"/>
              </w:rPr>
            </w:pPr>
            <w:r>
              <w:rPr>
                <w:rFonts w:cs="Arial"/>
                <w:sz w:val="18"/>
              </w:rPr>
              <w:t>$39.11</w:t>
            </w:r>
          </w:p>
        </w:tc>
      </w:tr>
    </w:tbl>
    <w:p w:rsidR="00000000" w:rsidRDefault="00216019">
      <w:pPr>
        <w:rPr>
          <w:rFonts w:cs="Arial"/>
          <w:sz w:val="18"/>
        </w:rPr>
      </w:pPr>
    </w:p>
    <w:p w:rsidR="00000000" w:rsidRDefault="00216019">
      <w:pPr>
        <w:ind w:left="720"/>
        <w:rPr>
          <w:i/>
        </w:rPr>
      </w:pPr>
      <w:r>
        <w:rPr>
          <w:i/>
        </w:rPr>
        <w:t>Attachment 5:  County Health Plan Map and Enrollment by Health Plan Chart, Iowa’s Children’s Health Insurance Program Chart</w:t>
      </w:r>
    </w:p>
    <w:p w:rsidR="00000000" w:rsidRDefault="00216019"/>
    <w:p w:rsidR="00000000" w:rsidRDefault="00216019">
      <w:pPr>
        <w:ind w:left="-432"/>
        <w:rPr>
          <w:b/>
          <w:sz w:val="28"/>
        </w:rPr>
      </w:pPr>
      <w:r>
        <w:rPr>
          <w:b/>
          <w:sz w:val="28"/>
        </w:rPr>
        <w:t xml:space="preserve">X. </w:t>
      </w:r>
      <w:r>
        <w:rPr>
          <w:b/>
          <w:i/>
          <w:sz w:val="28"/>
        </w:rPr>
        <w:t xml:space="preserve"> hawk-i</w:t>
      </w:r>
      <w:r>
        <w:rPr>
          <w:b/>
          <w:sz w:val="28"/>
        </w:rPr>
        <w:t xml:space="preserve"> Board Membership:</w:t>
      </w:r>
    </w:p>
    <w:p w:rsidR="00000000" w:rsidRDefault="00216019">
      <w:pPr>
        <w:rPr>
          <w:sz w:val="28"/>
        </w:rPr>
      </w:pPr>
    </w:p>
    <w:p w:rsidR="00000000" w:rsidRDefault="00216019">
      <w:r>
        <w:t>The original e</w:t>
      </w:r>
      <w:r>
        <w:t xml:space="preserve">nabling State legislation required the </w:t>
      </w:r>
      <w:r>
        <w:rPr>
          <w:b/>
          <w:i/>
        </w:rPr>
        <w:t>hawk-i</w:t>
      </w:r>
      <w:r>
        <w:rPr>
          <w:i/>
        </w:rPr>
        <w:t xml:space="preserve"> </w:t>
      </w:r>
      <w:r>
        <w:t xml:space="preserve">Board to meet at least ten times annually.  To date, the </w:t>
      </w:r>
      <w:r>
        <w:rPr>
          <w:b/>
          <w:i/>
        </w:rPr>
        <w:t>hawk-i</w:t>
      </w:r>
      <w:r>
        <w:rPr>
          <w:i/>
        </w:rPr>
        <w:t xml:space="preserve"> </w:t>
      </w:r>
      <w:r>
        <w:t>Board has met every month since it was established in June 1998 with the exception of November 2001, July 2002 and March 2003. On May 12, 2003 Gov</w:t>
      </w:r>
      <w:r>
        <w:t xml:space="preserve">ernor  Vilsack signed H.F. 49 requiring the number of </w:t>
      </w:r>
      <w:r>
        <w:rPr>
          <w:b/>
          <w:bCs/>
          <w:i/>
          <w:iCs/>
        </w:rPr>
        <w:t xml:space="preserve">hawk-i </w:t>
      </w:r>
      <w:r>
        <w:t>Board meetings to change from ten to no less than six and no more than twelve per calendar year as of July, 2003, the Board meets on the third Monday of every other month.  Meeting agenda and min</w:t>
      </w:r>
      <w:r>
        <w:t xml:space="preserve">utes are available on the </w:t>
      </w:r>
      <w:r>
        <w:rPr>
          <w:b/>
          <w:i/>
        </w:rPr>
        <w:t>hawk-i</w:t>
      </w:r>
      <w:r>
        <w:t xml:space="preserve"> Program web site at </w:t>
      </w:r>
      <w:hyperlink r:id="rId11" w:history="1">
        <w:r>
          <w:rPr>
            <w:rStyle w:val="Hyperlink"/>
          </w:rPr>
          <w:t>www.hawk-i.org</w:t>
        </w:r>
      </w:hyperlink>
      <w:r>
        <w:t>.</w:t>
      </w:r>
    </w:p>
    <w:p w:rsidR="00000000" w:rsidRDefault="00216019"/>
    <w:p w:rsidR="00000000" w:rsidRDefault="00216019">
      <w:r>
        <w:t>Changes in the Board membership in 2003:</w:t>
      </w:r>
    </w:p>
    <w:p w:rsidR="00000000" w:rsidRDefault="00216019"/>
    <w:p w:rsidR="00000000" w:rsidRDefault="00216019" w:rsidP="00216019">
      <w:pPr>
        <w:numPr>
          <w:ilvl w:val="0"/>
          <w:numId w:val="33"/>
        </w:numPr>
      </w:pPr>
      <w:r>
        <w:t xml:space="preserve">Director Mary Mincer Hansen replaced Dr. Stephen Gleason.  Director Mincer Hansen designated Julie McMahon </w:t>
      </w:r>
      <w:r>
        <w:t xml:space="preserve">as her designee to the </w:t>
      </w:r>
      <w:r>
        <w:rPr>
          <w:b/>
          <w:i/>
        </w:rPr>
        <w:t>hawk-i</w:t>
      </w:r>
      <w:r>
        <w:t xml:space="preserve"> Board. </w:t>
      </w:r>
    </w:p>
    <w:p w:rsidR="00000000" w:rsidRDefault="00216019"/>
    <w:p w:rsidR="00000000" w:rsidRDefault="00216019" w:rsidP="00216019">
      <w:pPr>
        <w:numPr>
          <w:ilvl w:val="0"/>
          <w:numId w:val="33"/>
        </w:numPr>
      </w:pPr>
      <w:r>
        <w:t xml:space="preserve">Representative Brad Hansen submitted his resignation from the </w:t>
      </w:r>
      <w:r>
        <w:rPr>
          <w:b/>
          <w:bCs/>
          <w:i/>
          <w:iCs/>
        </w:rPr>
        <w:t xml:space="preserve">hawk-i </w:t>
      </w:r>
      <w:r>
        <w:t>Board.</w:t>
      </w:r>
    </w:p>
    <w:p w:rsidR="00000000" w:rsidRDefault="00216019"/>
    <w:p w:rsidR="00000000" w:rsidRDefault="00216019" w:rsidP="00216019">
      <w:pPr>
        <w:numPr>
          <w:ilvl w:val="0"/>
          <w:numId w:val="33"/>
        </w:numPr>
      </w:pPr>
      <w:r>
        <w:t xml:space="preserve">Representative Gerald Jones was appointed to the </w:t>
      </w:r>
      <w:r>
        <w:rPr>
          <w:b/>
          <w:bCs/>
          <w:i/>
          <w:iCs/>
        </w:rPr>
        <w:t xml:space="preserve">hawk-i </w:t>
      </w:r>
      <w:r>
        <w:t xml:space="preserve">Board replacing Representative Brad Hansen.  The two-year term expires on April 20, </w:t>
      </w:r>
      <w:r>
        <w:t>2004.</w:t>
      </w:r>
    </w:p>
    <w:p w:rsidR="00000000" w:rsidRDefault="00216019"/>
    <w:p w:rsidR="00000000" w:rsidRDefault="00216019">
      <w:pPr>
        <w:ind w:left="720"/>
        <w:rPr>
          <w:i/>
        </w:rPr>
      </w:pPr>
      <w:r>
        <w:rPr>
          <w:i/>
        </w:rPr>
        <w:t>Attachment 6: Healthy and Well Kids in Iowa (</w:t>
      </w:r>
      <w:r>
        <w:rPr>
          <w:b/>
          <w:bCs/>
          <w:i/>
        </w:rPr>
        <w:t>hawk-i</w:t>
      </w:r>
      <w:r>
        <w:rPr>
          <w:i/>
        </w:rPr>
        <w:t xml:space="preserve">) Board Bylaws, Healthy and Well Kids in Iowa - </w:t>
      </w:r>
      <w:r>
        <w:rPr>
          <w:b/>
          <w:i/>
          <w:iCs/>
        </w:rPr>
        <w:t>hawk</w:t>
      </w:r>
      <w:r>
        <w:rPr>
          <w:b/>
          <w:i/>
          <w:iCs/>
        </w:rPr>
        <w:noBreakHyphen/>
        <w:t>i</w:t>
      </w:r>
      <w:r>
        <w:rPr>
          <w:i/>
        </w:rPr>
        <w:t xml:space="preserve"> Board Members</w:t>
      </w:r>
    </w:p>
    <w:p w:rsidR="00000000" w:rsidRDefault="00216019"/>
    <w:p w:rsidR="00000000" w:rsidRDefault="00216019">
      <w:pPr>
        <w:rPr>
          <w:sz w:val="28"/>
        </w:rPr>
      </w:pPr>
      <w:r>
        <w:rPr>
          <w:b/>
        </w:rPr>
        <w:t>2003 Board Activities &amp; Milestones:</w:t>
      </w:r>
    </w:p>
    <w:p w:rsidR="00000000" w:rsidRDefault="00216019">
      <w:pPr>
        <w:rPr>
          <w:sz w:val="28"/>
        </w:rPr>
      </w:pPr>
    </w:p>
    <w:p w:rsidR="00000000" w:rsidRDefault="00216019">
      <w:pPr>
        <w:rPr>
          <w:u w:val="single"/>
        </w:rPr>
      </w:pPr>
      <w:r>
        <w:rPr>
          <w:u w:val="single"/>
        </w:rPr>
        <w:t>January</w:t>
      </w:r>
    </w:p>
    <w:p w:rsidR="00000000" w:rsidRDefault="00216019">
      <w:r>
        <w:t>The Board was advised at the December 2002 meeting that the Office of Inspector Gen</w:t>
      </w:r>
      <w:r>
        <w:t xml:space="preserve">eral (OIG) is conducting an audit on Iowa’s SCHIP Program.  Department staff is educating the auditors on Iowa’s Medicaid and SCHIP Program policy and processes.  </w:t>
      </w:r>
    </w:p>
    <w:p w:rsidR="00000000" w:rsidRDefault="00216019"/>
    <w:p w:rsidR="00000000" w:rsidRDefault="00216019">
      <w:r>
        <w:t xml:space="preserve">The Board was advised that the </w:t>
      </w:r>
      <w:r>
        <w:rPr>
          <w:b/>
          <w:bCs/>
          <w:i/>
          <w:iCs/>
        </w:rPr>
        <w:t xml:space="preserve">hawk-i </w:t>
      </w:r>
      <w:r>
        <w:t>technical bill filed the past several years was intro</w:t>
      </w:r>
      <w:r>
        <w:t>duced in a Senate File by Senator Ragan; a companion House File was introduced by Representative Greimann and Hansen.  The Senate File also includes benefit enhancements introduced in previous years.</w:t>
      </w:r>
    </w:p>
    <w:p w:rsidR="00000000" w:rsidRDefault="00216019"/>
    <w:p w:rsidR="00000000" w:rsidRDefault="00216019">
      <w:r>
        <w:t>The Board approved the Department’s recommendation that</w:t>
      </w:r>
      <w:r>
        <w:t xml:space="preserve"> the </w:t>
      </w:r>
      <w:r>
        <w:rPr>
          <w:b/>
          <w:bCs/>
          <w:i/>
          <w:iCs/>
        </w:rPr>
        <w:t xml:space="preserve">hawk-i </w:t>
      </w:r>
      <w:r>
        <w:t>Quality Committee be combined with the Clinical Advisory Committee.  Dr. Alexander who chaired the Clinical Advisory Committee moved out-of-state.  Dr. Julianne Thomas (Chair of the Quality Committee) and Linda Ruble (Co-Chair) were nominated a</w:t>
      </w:r>
      <w:r>
        <w:t>nd elected unanimously to fill those roles on the Clinical Advisory Committee.</w:t>
      </w:r>
    </w:p>
    <w:p w:rsidR="00000000" w:rsidRDefault="00216019"/>
    <w:p w:rsidR="00000000" w:rsidRDefault="00216019">
      <w:r>
        <w:t>The Department informed the Board that Angie Doyle Scar accepted the State Outreach Coordinator position.  Ms. Doyle-Scar previously worked for the State Public Policy Group in</w:t>
      </w:r>
      <w:r>
        <w:t xml:space="preserve"> Des Moines and is experienced in grassroots initiatives.  </w:t>
      </w:r>
    </w:p>
    <w:p w:rsidR="00000000" w:rsidRDefault="00216019"/>
    <w:p w:rsidR="00000000" w:rsidRDefault="00216019">
      <w:pPr>
        <w:rPr>
          <w:u w:val="single"/>
        </w:rPr>
      </w:pPr>
      <w:r>
        <w:rPr>
          <w:u w:val="single"/>
        </w:rPr>
        <w:t>February</w:t>
      </w:r>
    </w:p>
    <w:p w:rsidR="00000000" w:rsidRDefault="00216019">
      <w:r>
        <w:t>The Department reported to the Board that a ranking of enrollment among the 50 states shows that Iowa increased enrollment 32.57% in FY 02 over 01.  The increase nationally was 13.04%.</w:t>
      </w:r>
    </w:p>
    <w:p w:rsidR="00000000" w:rsidRDefault="00216019"/>
    <w:p w:rsidR="00000000" w:rsidRDefault="00216019">
      <w:pPr>
        <w:rPr>
          <w:u w:val="single"/>
        </w:rPr>
      </w:pPr>
      <w:r>
        <w:rPr>
          <w:u w:val="single"/>
        </w:rPr>
        <w:t>March</w:t>
      </w:r>
    </w:p>
    <w:p w:rsidR="00000000" w:rsidRDefault="00216019">
      <w:r>
        <w:t xml:space="preserve">The </w:t>
      </w:r>
      <w:r>
        <w:rPr>
          <w:b/>
          <w:bCs/>
          <w:i/>
          <w:iCs/>
        </w:rPr>
        <w:t xml:space="preserve">hawk-i </w:t>
      </w:r>
      <w:r>
        <w:t>Board did not meet in March.</w:t>
      </w:r>
    </w:p>
    <w:p w:rsidR="00000000" w:rsidRDefault="00216019">
      <w:r>
        <w:t xml:space="preserve"> </w:t>
      </w:r>
    </w:p>
    <w:p w:rsidR="00000000" w:rsidRDefault="00216019">
      <w:pPr>
        <w:rPr>
          <w:u w:val="single"/>
        </w:rPr>
      </w:pPr>
      <w:r>
        <w:rPr>
          <w:u w:val="single"/>
        </w:rPr>
        <w:t>April</w:t>
      </w:r>
    </w:p>
    <w:p w:rsidR="00000000" w:rsidRDefault="00216019">
      <w:r>
        <w:t>The Board was advised that the first printing of the revised application has been completed.  Permission to develop an electronic application that goes with the new application format was given to the D</w:t>
      </w:r>
      <w:r>
        <w:t>epartment.</w:t>
      </w:r>
    </w:p>
    <w:p w:rsidR="00000000" w:rsidRDefault="00216019"/>
    <w:p w:rsidR="00000000" w:rsidRDefault="00216019">
      <w:r>
        <w:t xml:space="preserve">The Board approved the Fourth Amendment to the Contract with Iowa Health Solutions for health care services for the </w:t>
      </w:r>
      <w:r>
        <w:rPr>
          <w:b/>
          <w:bCs/>
          <w:i/>
          <w:iCs/>
        </w:rPr>
        <w:t xml:space="preserve">hawk-i </w:t>
      </w:r>
      <w:r>
        <w:t>Program to include expansion into Dallas and Madison Counties effective June 1, 2003.   The expansion will provide enroll</w:t>
      </w:r>
      <w:r>
        <w:t>ees a choice between John Deere Health Plan, currently providing health care services in the two counties, and Iowa Health Solutions.</w:t>
      </w:r>
    </w:p>
    <w:p w:rsidR="00000000" w:rsidRDefault="00216019"/>
    <w:p w:rsidR="00000000" w:rsidRDefault="00216019">
      <w:r>
        <w:t xml:space="preserve">The Department reported on the discussion of the Clinical Advisory Committee meeting.  The Committee has determined they </w:t>
      </w:r>
      <w:r>
        <w:t xml:space="preserve">will look at attention deficit hyperactivity disorder (ADHD) on children with </w:t>
      </w:r>
      <w:r>
        <w:rPr>
          <w:b/>
          <w:bCs/>
          <w:i/>
          <w:iCs/>
        </w:rPr>
        <w:t>hawk-i</w:t>
      </w:r>
      <w:r>
        <w:t xml:space="preserve">.  The University of Iowa’s Public Policy Center will complete the special study. </w:t>
      </w:r>
    </w:p>
    <w:p w:rsidR="00000000" w:rsidRDefault="00216019"/>
    <w:p w:rsidR="00000000" w:rsidRDefault="00216019">
      <w:r>
        <w:t>The Department updated the Board on the implementation of Health Insurance Portability a</w:t>
      </w:r>
      <w:r>
        <w:t xml:space="preserve">nd Accountability Act of 1996 (HIPAA).  A notice of privacy practices for </w:t>
      </w:r>
      <w:r>
        <w:rPr>
          <w:b/>
          <w:bCs/>
          <w:i/>
          <w:iCs/>
        </w:rPr>
        <w:t xml:space="preserve">hawk-i </w:t>
      </w:r>
      <w:r>
        <w:t xml:space="preserve">was developed and distributed to approximately 8,200 households on April 14, 2003.  The </w:t>
      </w:r>
      <w:r>
        <w:rPr>
          <w:b/>
          <w:bCs/>
          <w:i/>
          <w:iCs/>
        </w:rPr>
        <w:t xml:space="preserve">hawk-i </w:t>
      </w:r>
      <w:r>
        <w:t xml:space="preserve">privacy notice is available in English and Spanish and is posted on the </w:t>
      </w:r>
      <w:r>
        <w:rPr>
          <w:b/>
          <w:bCs/>
          <w:i/>
          <w:iCs/>
        </w:rPr>
        <w:t xml:space="preserve">hawk-i </w:t>
      </w:r>
      <w:r>
        <w:t>w</w:t>
      </w:r>
      <w:r>
        <w:t xml:space="preserve">ebsite.  Ongoing, when a child is approved to receive benefits under </w:t>
      </w:r>
      <w:r>
        <w:rPr>
          <w:b/>
          <w:bCs/>
          <w:i/>
          <w:iCs/>
        </w:rPr>
        <w:t>hawk-i</w:t>
      </w:r>
      <w:r>
        <w:t>, a notice will be sent to the family. In addition to the privacy notice the Department will implement two electronic transaction sets, payment of premiums and enrollment and disenr</w:t>
      </w:r>
      <w:r>
        <w:t xml:space="preserve">ollment.  Implementation for the transaction sets between the Department and contracted health plans is October 16, 2003.  </w:t>
      </w:r>
    </w:p>
    <w:p w:rsidR="00000000" w:rsidRDefault="00216019"/>
    <w:p w:rsidR="00000000" w:rsidRDefault="00216019">
      <w:pPr>
        <w:pStyle w:val="Heading4"/>
        <w:rPr>
          <w:rFonts w:ascii="Arial" w:hAnsi="Arial"/>
          <w:szCs w:val="24"/>
        </w:rPr>
      </w:pPr>
      <w:r>
        <w:rPr>
          <w:rFonts w:ascii="Arial" w:hAnsi="Arial"/>
          <w:szCs w:val="24"/>
        </w:rPr>
        <w:t>May</w:t>
      </w:r>
    </w:p>
    <w:p w:rsidR="00000000" w:rsidRDefault="00216019">
      <w:r>
        <w:t>The Board approved SFY 04 capitation rate increases of 8.8% for Wellmark Indemnity and 10% for Iowa Health Solutions and John D</w:t>
      </w:r>
      <w:r>
        <w:t xml:space="preserve">eere managed care plans.  </w:t>
      </w:r>
    </w:p>
    <w:p w:rsidR="00000000" w:rsidRDefault="00216019"/>
    <w:p w:rsidR="00000000" w:rsidRDefault="00216019">
      <w:r>
        <w:t xml:space="preserve">The Board was advised that the Governor signed the Department’s technical bill on May 12, 2003.  The technical bill requires the number of </w:t>
      </w:r>
      <w:r>
        <w:rPr>
          <w:b/>
          <w:bCs/>
          <w:i/>
          <w:iCs/>
        </w:rPr>
        <w:t xml:space="preserve">hawk-i </w:t>
      </w:r>
      <w:r>
        <w:t xml:space="preserve">Board meetings from </w:t>
      </w:r>
      <w:r>
        <w:rPr>
          <w:u w:val="single"/>
        </w:rPr>
        <w:t xml:space="preserve">ten </w:t>
      </w:r>
      <w:r>
        <w:t xml:space="preserve">to </w:t>
      </w:r>
      <w:r>
        <w:rPr>
          <w:u w:val="single"/>
        </w:rPr>
        <w:t>no less than six and no more than twelve per calendar y</w:t>
      </w:r>
      <w:r>
        <w:rPr>
          <w:u w:val="single"/>
        </w:rPr>
        <w:t>ear</w:t>
      </w:r>
      <w:r>
        <w:t xml:space="preserve">, eliminates the six month </w:t>
      </w:r>
      <w:r>
        <w:lastRenderedPageBreak/>
        <w:t xml:space="preserve">waiting period for children who had employer-sponsored health care coverage allowing children to have health care coverage through the </w:t>
      </w:r>
      <w:r>
        <w:rPr>
          <w:b/>
          <w:bCs/>
          <w:i/>
          <w:iCs/>
        </w:rPr>
        <w:t xml:space="preserve">hawk-i </w:t>
      </w:r>
      <w:r>
        <w:t xml:space="preserve">Program, changes Healthy and Well </w:t>
      </w:r>
      <w:r>
        <w:rPr>
          <w:u w:val="single"/>
        </w:rPr>
        <w:t xml:space="preserve">Children </w:t>
      </w:r>
      <w:r>
        <w:t xml:space="preserve">to </w:t>
      </w:r>
      <w:r>
        <w:rPr>
          <w:u w:val="single"/>
        </w:rPr>
        <w:t xml:space="preserve">Kids </w:t>
      </w:r>
      <w:r>
        <w:t>to reflect the actual name of the</w:t>
      </w:r>
      <w:r>
        <w:t xml:space="preserve"> Program and amends the name of the division that currently administers the </w:t>
      </w:r>
      <w:r>
        <w:rPr>
          <w:b/>
          <w:bCs/>
          <w:i/>
          <w:iCs/>
        </w:rPr>
        <w:t>hawk-i</w:t>
      </w:r>
      <w:r>
        <w:t xml:space="preserve"> Program from </w:t>
      </w:r>
      <w:r>
        <w:rPr>
          <w:u w:val="single"/>
        </w:rPr>
        <w:t>Medical Services</w:t>
      </w:r>
      <w:r>
        <w:t xml:space="preserve"> to </w:t>
      </w:r>
      <w:r>
        <w:rPr>
          <w:u w:val="single"/>
        </w:rPr>
        <w:t>Financial, Health and Work Supports</w:t>
      </w:r>
      <w:r>
        <w:t>.</w:t>
      </w:r>
    </w:p>
    <w:p w:rsidR="00000000" w:rsidRDefault="00216019"/>
    <w:p w:rsidR="00000000" w:rsidRDefault="00216019">
      <w:pPr>
        <w:rPr>
          <w:u w:val="single"/>
        </w:rPr>
      </w:pPr>
      <w:r>
        <w:rPr>
          <w:u w:val="single"/>
        </w:rPr>
        <w:t>June</w:t>
      </w:r>
    </w:p>
    <w:p w:rsidR="00000000" w:rsidRDefault="00216019">
      <w:r>
        <w:t>The Board unanimously approved two proposed administrative rule amendments based on House File 56</w:t>
      </w:r>
      <w:r>
        <w:t xml:space="preserve">5, </w:t>
      </w:r>
      <w:r>
        <w:rPr>
          <w:b/>
          <w:bCs/>
          <w:i/>
          <w:iCs/>
        </w:rPr>
        <w:t xml:space="preserve">hawk-i </w:t>
      </w:r>
      <w:r>
        <w:t xml:space="preserve">technical bill, reducing the number of Board meetings to not less than six and not more than 12 per year and elimination of the six-month waiting period for the </w:t>
      </w:r>
      <w:r>
        <w:rPr>
          <w:b/>
          <w:bCs/>
          <w:i/>
          <w:iCs/>
        </w:rPr>
        <w:t xml:space="preserve">hawk-i </w:t>
      </w:r>
      <w:r>
        <w:t xml:space="preserve">Program.  The administrative rule amendments will become effective on July 1, </w:t>
      </w:r>
      <w:r>
        <w:t>2003.</w:t>
      </w:r>
    </w:p>
    <w:p w:rsidR="00000000" w:rsidRDefault="00216019"/>
    <w:p w:rsidR="00000000" w:rsidRDefault="00216019">
      <w:r>
        <w:t xml:space="preserve">The Department presented SFY 2004 health care services contracts between the </w:t>
      </w:r>
      <w:r>
        <w:rPr>
          <w:b/>
          <w:bCs/>
          <w:i/>
          <w:iCs/>
        </w:rPr>
        <w:t xml:space="preserve">hawk-i </w:t>
      </w:r>
      <w:r>
        <w:t>Program and Wellmark, John Deere and Iowa Health Solutions.  The 2004 contracts were amended to comply with the Accountable Government Act.  This Act ties payment to</w:t>
      </w:r>
      <w:r>
        <w:t xml:space="preserve"> performance and monitoring of the contract.  The Board unanimously approved the contracts.</w:t>
      </w:r>
    </w:p>
    <w:p w:rsidR="00000000" w:rsidRDefault="00216019"/>
    <w:p w:rsidR="00000000" w:rsidRDefault="00216019">
      <w:pPr>
        <w:rPr>
          <w:u w:val="single"/>
        </w:rPr>
      </w:pPr>
      <w:r>
        <w:rPr>
          <w:u w:val="single"/>
        </w:rPr>
        <w:t>July</w:t>
      </w:r>
    </w:p>
    <w:p w:rsidR="00000000" w:rsidRDefault="00216019">
      <w:r>
        <w:t xml:space="preserve">The </w:t>
      </w:r>
      <w:r>
        <w:rPr>
          <w:b/>
          <w:bCs/>
          <w:i/>
          <w:iCs/>
        </w:rPr>
        <w:t xml:space="preserve">hawk-i </w:t>
      </w:r>
      <w:r>
        <w:t>Board did not meet in July.  Effective July, the number of required Board meetings were reduced to not less than six and not more than 12 per year.</w:t>
      </w:r>
    </w:p>
    <w:p w:rsidR="00000000" w:rsidRDefault="00216019">
      <w:pPr>
        <w:rPr>
          <w:u w:val="single"/>
        </w:rPr>
      </w:pPr>
      <w:r>
        <w:t xml:space="preserve">  </w:t>
      </w:r>
    </w:p>
    <w:p w:rsidR="00000000" w:rsidRDefault="00216019">
      <w:r>
        <w:rPr>
          <w:u w:val="single"/>
        </w:rPr>
        <w:t>Augus</w:t>
      </w:r>
      <w:r>
        <w:t>t</w:t>
      </w:r>
    </w:p>
    <w:p w:rsidR="00000000" w:rsidRDefault="00216019">
      <w:r>
        <w:t xml:space="preserve">The Department presented a proposed rule amendment to the </w:t>
      </w:r>
      <w:r>
        <w:rPr>
          <w:b/>
          <w:bCs/>
          <w:i/>
          <w:iCs/>
        </w:rPr>
        <w:t xml:space="preserve">hawk-i </w:t>
      </w:r>
      <w:r>
        <w:t xml:space="preserve">Board.  The administrative rule allows for the submission of an electronic application as a valid application for the </w:t>
      </w:r>
      <w:r>
        <w:rPr>
          <w:b/>
          <w:bCs/>
          <w:i/>
          <w:iCs/>
        </w:rPr>
        <w:t xml:space="preserve">hawk-i </w:t>
      </w:r>
    </w:p>
    <w:p w:rsidR="00000000" w:rsidRDefault="00216019">
      <w:r>
        <w:t>Program.  Even though the application is submitted ele</w:t>
      </w:r>
      <w:r>
        <w:t>ctronically, the applicant will still be required to mail in an original signature.  The Board unanimously approved the administrative rule.</w:t>
      </w:r>
    </w:p>
    <w:p w:rsidR="00000000" w:rsidRDefault="00216019"/>
    <w:p w:rsidR="00000000" w:rsidRDefault="00216019">
      <w:r>
        <w:t xml:space="preserve">The Department advised the Board that the contract with MAXIMUS to be the </w:t>
      </w:r>
      <w:r>
        <w:rPr>
          <w:b/>
          <w:bCs/>
          <w:i/>
          <w:iCs/>
        </w:rPr>
        <w:t xml:space="preserve">hawk-i </w:t>
      </w:r>
    </w:p>
    <w:p w:rsidR="00000000" w:rsidRDefault="00216019">
      <w:r>
        <w:t xml:space="preserve"> Program’s third party administr</w:t>
      </w:r>
      <w:r>
        <w:t>ator second two one-year extension ending June 30, 2004 needs to be extended to June 30, 2005.  If the contract were to be re-bid, the procurement process would need to begin now in order for a new bidder to have sufficient start-up time for a July 1, 2004</w:t>
      </w:r>
      <w:r>
        <w:t xml:space="preserve"> implementation.  The Department proposed that the contract be approved for the second one-year extension, through June 30, 2005.  The Board unanimously approved the second one-year contract extension.</w:t>
      </w:r>
    </w:p>
    <w:p w:rsidR="00000000" w:rsidRDefault="00216019"/>
    <w:p w:rsidR="00000000" w:rsidRDefault="00216019">
      <w:r>
        <w:t>The Department reported to the Board that on July 24,</w:t>
      </w:r>
      <w:r>
        <w:t xml:space="preserve"> 2003, a letter was mailed to all school principals from Director Concannon.  In follow-up to the letter, 550,000 </w:t>
      </w:r>
      <w:r>
        <w:rPr>
          <w:b/>
          <w:bCs/>
          <w:i/>
          <w:iCs/>
        </w:rPr>
        <w:t xml:space="preserve">hawk-i </w:t>
      </w:r>
      <w:r>
        <w:t>applications were mailed to public and private schools on August 15, 2003. The response from the schools has been very positive.</w:t>
      </w:r>
    </w:p>
    <w:p w:rsidR="00000000" w:rsidRDefault="00216019"/>
    <w:p w:rsidR="00000000" w:rsidRDefault="00216019">
      <w:pPr>
        <w:rPr>
          <w:u w:val="single"/>
        </w:rPr>
      </w:pPr>
      <w:r>
        <w:rPr>
          <w:u w:val="single"/>
        </w:rPr>
        <w:t>Septe</w:t>
      </w:r>
      <w:r>
        <w:rPr>
          <w:u w:val="single"/>
        </w:rPr>
        <w:t>mber</w:t>
      </w:r>
    </w:p>
    <w:p w:rsidR="00000000" w:rsidRDefault="00216019">
      <w:r>
        <w:t xml:space="preserve">The </w:t>
      </w:r>
      <w:r>
        <w:rPr>
          <w:b/>
          <w:bCs/>
          <w:i/>
          <w:iCs/>
        </w:rPr>
        <w:t xml:space="preserve">hawk-i </w:t>
      </w:r>
      <w:r>
        <w:t>Board did not meet in September.</w:t>
      </w:r>
    </w:p>
    <w:p w:rsidR="00000000" w:rsidRDefault="00216019"/>
    <w:p w:rsidR="00000000" w:rsidRDefault="00216019">
      <w:pPr>
        <w:rPr>
          <w:u w:val="single"/>
        </w:rPr>
      </w:pPr>
      <w:r>
        <w:rPr>
          <w:u w:val="single"/>
        </w:rPr>
        <w:t>October</w:t>
      </w:r>
    </w:p>
    <w:p w:rsidR="00000000" w:rsidRDefault="00216019">
      <w:r>
        <w:t xml:space="preserve">The Department reported to the Board that Delta Dental has approached the Department expressing their interest in providing the dental benefit for </w:t>
      </w:r>
      <w:r>
        <w:rPr>
          <w:b/>
          <w:i/>
        </w:rPr>
        <w:t>hawk</w:t>
      </w:r>
      <w:r>
        <w:rPr>
          <w:b/>
          <w:i/>
        </w:rPr>
        <w:noBreakHyphen/>
        <w:t>i</w:t>
      </w:r>
      <w:r>
        <w:t>.  The Chairman of the Board responded to Del</w:t>
      </w:r>
      <w:r>
        <w:t xml:space="preserve">ta Dental on October 1, 2003, asking them to present a proposal to the Department indicating what type of benefits they would offer under a dental carve out package and what rate they would charge.  </w:t>
      </w:r>
    </w:p>
    <w:p w:rsidR="00000000" w:rsidRDefault="00216019"/>
    <w:p w:rsidR="00000000" w:rsidRDefault="00216019">
      <w:r>
        <w:t xml:space="preserve">The Department reported to the Board that </w:t>
      </w:r>
      <w:r>
        <w:rPr>
          <w:b/>
          <w:i/>
        </w:rPr>
        <w:t>hawk</w:t>
      </w:r>
      <w:r>
        <w:rPr>
          <w:b/>
          <w:i/>
        </w:rPr>
        <w:noBreakHyphen/>
        <w:t>i</w:t>
      </w:r>
      <w:r>
        <w:t xml:space="preserve"> and Me</w:t>
      </w:r>
      <w:r>
        <w:t>dicaid Programs will participate in a “payment accuracy measurement (PAM)” project sponsored by CMS.  Participation is optional this year, but mandatory after that.  CMS has developed a model to test the accuracy of fee for service claims, managed care cla</w:t>
      </w:r>
      <w:r>
        <w:t xml:space="preserve">ims, capitation payments and recipient eligibility. </w:t>
      </w:r>
    </w:p>
    <w:p w:rsidR="00000000" w:rsidRDefault="00216019"/>
    <w:p w:rsidR="00000000" w:rsidRDefault="00216019">
      <w:pPr>
        <w:rPr>
          <w:u w:val="single"/>
        </w:rPr>
      </w:pPr>
      <w:r>
        <w:rPr>
          <w:u w:val="single"/>
        </w:rPr>
        <w:t>November</w:t>
      </w:r>
    </w:p>
    <w:p w:rsidR="00000000" w:rsidRDefault="00216019">
      <w:r>
        <w:t xml:space="preserve">The </w:t>
      </w:r>
      <w:r>
        <w:rPr>
          <w:b/>
          <w:bCs/>
          <w:i/>
          <w:iCs/>
        </w:rPr>
        <w:t xml:space="preserve">hawk-i </w:t>
      </w:r>
      <w:r>
        <w:t>Board did not meet in November.</w:t>
      </w:r>
    </w:p>
    <w:p w:rsidR="00000000" w:rsidRDefault="00216019"/>
    <w:p w:rsidR="00000000" w:rsidRDefault="00216019">
      <w:pPr>
        <w:ind w:left="-576"/>
        <w:rPr>
          <w:b/>
          <w:sz w:val="28"/>
        </w:rPr>
      </w:pPr>
      <w:r>
        <w:rPr>
          <w:b/>
          <w:sz w:val="28"/>
        </w:rPr>
        <w:t>XII.  Administrative Rule Amendments:</w:t>
      </w:r>
    </w:p>
    <w:p w:rsidR="00000000" w:rsidRDefault="00216019"/>
    <w:p w:rsidR="00000000" w:rsidRDefault="00216019">
      <w:r>
        <w:t>The Board adopted the following administrative rules:</w:t>
      </w:r>
    </w:p>
    <w:p w:rsidR="00000000" w:rsidRDefault="00216019"/>
    <w:p w:rsidR="00000000" w:rsidRDefault="00216019">
      <w:r>
        <w:t xml:space="preserve">The </w:t>
      </w:r>
      <w:r>
        <w:rPr>
          <w:b/>
          <w:i/>
        </w:rPr>
        <w:t>hawk</w:t>
      </w:r>
      <w:r>
        <w:rPr>
          <w:b/>
          <w:i/>
        </w:rPr>
        <w:noBreakHyphen/>
        <w:t>i</w:t>
      </w:r>
      <w:r>
        <w:t xml:space="preserve"> Board unanimously approved and noticed rule </w:t>
      </w:r>
      <w:r>
        <w:t xml:space="preserve">amendments June 16, 2003. On October 20, 2003, the Board adopted the rule amendments.  The 2003 Iowa Acts, House File 565, mandated the rule amendments.  These changes allow families to transition from employer-sponsored health care coverage to the </w:t>
      </w:r>
      <w:r>
        <w:rPr>
          <w:b/>
          <w:bCs/>
          <w:i/>
          <w:iCs/>
        </w:rPr>
        <w:t xml:space="preserve">hawk-i </w:t>
      </w:r>
      <w:r>
        <w:t xml:space="preserve">Program without a break in coverage. </w:t>
      </w:r>
      <w:r>
        <w:rPr>
          <w:b/>
          <w:i/>
        </w:rPr>
        <w:t xml:space="preserve"> </w:t>
      </w:r>
      <w:r>
        <w:t>The amendments became effective on July 1, 2003.  Summaries of the rule amendments are outlined below:</w:t>
      </w:r>
    </w:p>
    <w:p w:rsidR="00000000" w:rsidRDefault="00216019"/>
    <w:p w:rsidR="00000000" w:rsidRDefault="00216019" w:rsidP="00216019">
      <w:pPr>
        <w:numPr>
          <w:ilvl w:val="0"/>
          <w:numId w:val="33"/>
        </w:numPr>
      </w:pPr>
      <w:r>
        <w:t>86.2(4) (a) Rescind the paragraph specifying circumstances when a child could qualify as “uninsured” during the wa</w:t>
      </w:r>
      <w:r>
        <w:t xml:space="preserve">iting period. </w:t>
      </w:r>
    </w:p>
    <w:p w:rsidR="00000000" w:rsidRDefault="00216019" w:rsidP="00216019">
      <w:pPr>
        <w:numPr>
          <w:ilvl w:val="0"/>
          <w:numId w:val="33"/>
        </w:numPr>
      </w:pPr>
      <w:r>
        <w:t xml:space="preserve">86.13(6) (e) Rescind the paragraph requiring the third-party administrator to track waiting periods for applicants.  </w:t>
      </w:r>
    </w:p>
    <w:p w:rsidR="00000000" w:rsidRDefault="00216019">
      <w:pPr>
        <w:ind w:left="360"/>
      </w:pPr>
    </w:p>
    <w:p w:rsidR="00000000" w:rsidRDefault="00216019" w:rsidP="00216019">
      <w:pPr>
        <w:numPr>
          <w:ilvl w:val="0"/>
          <w:numId w:val="33"/>
        </w:numPr>
      </w:pPr>
      <w:r>
        <w:t xml:space="preserve">The </w:t>
      </w:r>
      <w:r>
        <w:rPr>
          <w:b/>
          <w:i/>
        </w:rPr>
        <w:t>hawk</w:t>
      </w:r>
      <w:r>
        <w:rPr>
          <w:b/>
          <w:i/>
        </w:rPr>
        <w:noBreakHyphen/>
        <w:t>i</w:t>
      </w:r>
      <w:r>
        <w:t xml:space="preserve"> Board unanimously approved rule amendments August 18, 2003.  On December 15, 2003, the Board adopted the rule a</w:t>
      </w:r>
      <w:r>
        <w:t>mendments.  Summaries of the rule amendments are outlined below:</w:t>
      </w:r>
    </w:p>
    <w:p w:rsidR="00000000" w:rsidRDefault="00216019"/>
    <w:p w:rsidR="00000000" w:rsidRDefault="00216019" w:rsidP="00216019">
      <w:pPr>
        <w:numPr>
          <w:ilvl w:val="0"/>
          <w:numId w:val="38"/>
        </w:numPr>
      </w:pPr>
      <w:r>
        <w:t xml:space="preserve">86.2(2)(a)(2) Unearned Income.  The unearned income of all parents, spouses and children under the age of 19 </w:t>
      </w:r>
      <w:r>
        <w:rPr>
          <w:u w:val="single"/>
        </w:rPr>
        <w:t>who are living together in accordance with rule 86.2(3)</w:t>
      </w:r>
      <w:r>
        <w:t xml:space="preserve"> shall be counted. </w:t>
      </w:r>
    </w:p>
    <w:p w:rsidR="00000000" w:rsidRDefault="00216019">
      <w:pPr>
        <w:ind w:left="720"/>
      </w:pPr>
    </w:p>
    <w:p w:rsidR="00000000" w:rsidRDefault="00216019">
      <w:pPr>
        <w:ind w:left="1080"/>
      </w:pPr>
      <w:r>
        <w:t>The a</w:t>
      </w:r>
      <w:r>
        <w:t xml:space="preserve">mendment clarifies that only income of the family members who are living together is considered in determining </w:t>
      </w:r>
      <w:r>
        <w:rPr>
          <w:b/>
          <w:i/>
        </w:rPr>
        <w:t>hawk</w:t>
      </w:r>
      <w:r>
        <w:rPr>
          <w:b/>
          <w:i/>
        </w:rPr>
        <w:noBreakHyphen/>
        <w:t>i</w:t>
      </w:r>
      <w:r>
        <w:t xml:space="preserve"> eligibility.</w:t>
      </w:r>
    </w:p>
    <w:p w:rsidR="00000000" w:rsidRDefault="00216019">
      <w:pPr>
        <w:ind w:left="1080"/>
      </w:pPr>
    </w:p>
    <w:p w:rsidR="00000000" w:rsidRDefault="00216019" w:rsidP="00216019">
      <w:pPr>
        <w:numPr>
          <w:ilvl w:val="0"/>
          <w:numId w:val="38"/>
        </w:numPr>
      </w:pPr>
      <w:r>
        <w:t>86.2(3)(b) Parents.  Any parent living with the child under the age of 19 will be included in the family size.  This include</w:t>
      </w:r>
      <w:r>
        <w:t xml:space="preserve">s the biological parent, stepparent, or </w:t>
      </w:r>
      <w:r>
        <w:lastRenderedPageBreak/>
        <w:t xml:space="preserve">adoptive parent of the child and is not dependent upon whether the parents are married to each other.  In situations where the parents do not live together but share joint </w:t>
      </w:r>
      <w:r>
        <w:rPr>
          <w:strike/>
        </w:rPr>
        <w:t>legal or</w:t>
      </w:r>
      <w:r>
        <w:t xml:space="preserve"> physical custody of the children, t</w:t>
      </w:r>
      <w:r>
        <w:t xml:space="preserve">he family size shall be based on the household of the applying parent.  </w:t>
      </w:r>
    </w:p>
    <w:p w:rsidR="00000000" w:rsidRDefault="00216019">
      <w:pPr>
        <w:ind w:left="720"/>
      </w:pPr>
    </w:p>
    <w:p w:rsidR="00000000" w:rsidRDefault="00216019">
      <w:pPr>
        <w:ind w:left="1080"/>
      </w:pPr>
      <w:r>
        <w:t>This amendment removes references to legal custody.  Only the physical custody of the child is considered in determining whether the parent and child are “living together” for purpos</w:t>
      </w:r>
      <w:r>
        <w:t xml:space="preserve">e of qualifying for </w:t>
      </w:r>
      <w:r>
        <w:rPr>
          <w:b/>
          <w:i/>
        </w:rPr>
        <w:t>hawk</w:t>
      </w:r>
      <w:r>
        <w:rPr>
          <w:b/>
          <w:i/>
        </w:rPr>
        <w:noBreakHyphen/>
        <w:t>i</w:t>
      </w:r>
      <w:r>
        <w:t xml:space="preserve"> coverage.</w:t>
      </w:r>
    </w:p>
    <w:p w:rsidR="00000000" w:rsidRDefault="00216019">
      <w:pPr>
        <w:ind w:left="1080"/>
      </w:pPr>
    </w:p>
    <w:p w:rsidR="00000000" w:rsidRDefault="00216019" w:rsidP="00216019">
      <w:pPr>
        <w:numPr>
          <w:ilvl w:val="0"/>
          <w:numId w:val="38"/>
        </w:numPr>
        <w:rPr>
          <w:b/>
          <w:bCs/>
          <w:i/>
          <w:iCs/>
        </w:rPr>
      </w:pPr>
      <w:r>
        <w:t xml:space="preserve">86.3(2) Application form.  An application for the </w:t>
      </w:r>
      <w:r>
        <w:rPr>
          <w:b/>
          <w:i/>
        </w:rPr>
        <w:t>hawk</w:t>
      </w:r>
      <w:r>
        <w:rPr>
          <w:b/>
          <w:i/>
        </w:rPr>
        <w:noBreakHyphen/>
        <w:t>i</w:t>
      </w:r>
      <w:r>
        <w:t xml:space="preserve"> program shall be submitted on </w:t>
      </w:r>
      <w:r>
        <w:rPr>
          <w:strike/>
        </w:rPr>
        <w:t>Form 470-3526</w:t>
      </w:r>
      <w:r>
        <w:t xml:space="preserve"> </w:t>
      </w:r>
      <w:r>
        <w:rPr>
          <w:u w:val="single"/>
        </w:rPr>
        <w:t>Comm.156</w:t>
      </w:r>
      <w:r>
        <w:t xml:space="preserve">, </w:t>
      </w:r>
      <w:r>
        <w:rPr>
          <w:strike/>
        </w:rPr>
        <w:t>Healthy and Well Kids in Iowa (</w:t>
      </w:r>
      <w:r>
        <w:rPr>
          <w:b/>
          <w:i/>
          <w:strike/>
        </w:rPr>
        <w:t>hawk</w:t>
      </w:r>
      <w:r>
        <w:rPr>
          <w:b/>
          <w:i/>
          <w:strike/>
        </w:rPr>
        <w:noBreakHyphen/>
        <w:t>i</w:t>
      </w:r>
      <w:r>
        <w:rPr>
          <w:strike/>
        </w:rPr>
        <w:t>)</w:t>
      </w:r>
      <w:r>
        <w:t xml:space="preserve"> Application, </w:t>
      </w:r>
      <w:r>
        <w:rPr>
          <w:u w:val="single"/>
        </w:rPr>
        <w:t xml:space="preserve">or on Form 470-4016, </w:t>
      </w:r>
      <w:r>
        <w:rPr>
          <w:b/>
          <w:i/>
          <w:u w:val="single"/>
        </w:rPr>
        <w:t>hawk</w:t>
      </w:r>
      <w:r>
        <w:rPr>
          <w:b/>
          <w:i/>
          <w:u w:val="single"/>
        </w:rPr>
        <w:noBreakHyphen/>
        <w:t>i</w:t>
      </w:r>
      <w:r>
        <w:rPr>
          <w:u w:val="single"/>
        </w:rPr>
        <w:t xml:space="preserve"> Electronic Application Summ</w:t>
      </w:r>
      <w:r>
        <w:rPr>
          <w:u w:val="single"/>
        </w:rPr>
        <w:t>ary and Signature</w:t>
      </w:r>
      <w:r>
        <w:t xml:space="preserve">, unless the family applies for the Medicaid program first.  </w:t>
      </w:r>
    </w:p>
    <w:p w:rsidR="00000000" w:rsidRDefault="00216019">
      <w:pPr>
        <w:ind w:left="360"/>
        <w:rPr>
          <w:b/>
          <w:bCs/>
          <w:i/>
          <w:iCs/>
        </w:rPr>
      </w:pPr>
    </w:p>
    <w:p w:rsidR="00000000" w:rsidRDefault="00216019" w:rsidP="00216019">
      <w:pPr>
        <w:numPr>
          <w:ilvl w:val="0"/>
          <w:numId w:val="38"/>
        </w:numPr>
      </w:pPr>
      <w:r>
        <w:t>86.3(2)(b) Applications may be obtained by telephoning the toll-free telephone number of the third-party administrator or by accessing the web site at www.</w:t>
      </w:r>
      <w:r>
        <w:rPr>
          <w:b/>
          <w:bCs/>
          <w:i/>
          <w:iCs/>
        </w:rPr>
        <w:t>hawk-i</w:t>
      </w:r>
      <w:r>
        <w:t>.org.</w:t>
      </w:r>
      <w:r>
        <w:rPr>
          <w:b/>
          <w:bCs/>
          <w:i/>
          <w:iCs/>
        </w:rPr>
        <w:t xml:space="preserve"> </w:t>
      </w:r>
    </w:p>
    <w:p w:rsidR="00000000" w:rsidRDefault="00216019"/>
    <w:p w:rsidR="00000000" w:rsidRDefault="00216019" w:rsidP="00216019">
      <w:pPr>
        <w:numPr>
          <w:ilvl w:val="0"/>
          <w:numId w:val="38"/>
        </w:numPr>
      </w:pPr>
      <w:r>
        <w:t>86.3(4)</w:t>
      </w:r>
      <w:r>
        <w:t xml:space="preserve"> Date and method of filing.  The application is considered filed on the date an identifiable application is received by the third-party administrator </w:t>
      </w:r>
      <w:r>
        <w:rPr>
          <w:strike/>
        </w:rPr>
        <w:t>unless the family has applied for Medicaid first and a referral is made to the third party administrator b</w:t>
      </w:r>
      <w:r>
        <w:rPr>
          <w:strike/>
        </w:rPr>
        <w:t xml:space="preserve">y the county office of the department, in which case, the date the Medicaid application was originally filed with the department shall be the filing date.  </w:t>
      </w:r>
      <w:r>
        <w:t>An identifiable application is an application containing a legible name, address, and signature.</w:t>
      </w:r>
    </w:p>
    <w:p w:rsidR="00000000" w:rsidRDefault="00216019"/>
    <w:p w:rsidR="00000000" w:rsidRDefault="00216019" w:rsidP="00216019">
      <w:pPr>
        <w:numPr>
          <w:ilvl w:val="0"/>
          <w:numId w:val="38"/>
        </w:numPr>
        <w:rPr>
          <w:u w:val="single"/>
        </w:rPr>
      </w:pPr>
      <w:r>
        <w:t>86</w:t>
      </w:r>
      <w:r>
        <w:t xml:space="preserve">.3(4)(a) </w:t>
      </w:r>
      <w:r>
        <w:rPr>
          <w:u w:val="single"/>
        </w:rPr>
        <w:t xml:space="preserve">Medicaid applications referred to the </w:t>
      </w:r>
      <w:r>
        <w:rPr>
          <w:b/>
          <w:i/>
          <w:u w:val="single"/>
        </w:rPr>
        <w:t>hawk</w:t>
      </w:r>
      <w:r>
        <w:rPr>
          <w:b/>
          <w:i/>
          <w:u w:val="single"/>
        </w:rPr>
        <w:noBreakHyphen/>
        <w:t>i</w:t>
      </w:r>
      <w:r>
        <w:rPr>
          <w:u w:val="single"/>
        </w:rPr>
        <w:t xml:space="preserve"> program.  When the family has applied for Medicaid first and the department local office makes a referral to the third-party administrator, the date the Medicaid application was originally filed with th</w:t>
      </w:r>
      <w:r>
        <w:rPr>
          <w:u w:val="single"/>
        </w:rPr>
        <w:t>e department shall be the filing date.</w:t>
      </w:r>
    </w:p>
    <w:p w:rsidR="00000000" w:rsidRDefault="00216019">
      <w:pPr>
        <w:ind w:left="1080"/>
        <w:rPr>
          <w:u w:val="single"/>
        </w:rPr>
      </w:pPr>
      <w:r>
        <w:rPr>
          <w:u w:val="single"/>
        </w:rPr>
        <w:t>86.3(4)(b) Electronic applications.  When an application is submitted electronically to the third party administrator, the application is considered filed on the date the third party administrator receives Form 470-40</w:t>
      </w:r>
      <w:r>
        <w:rPr>
          <w:u w:val="single"/>
        </w:rPr>
        <w:t>16, Electronic Application Summary and Signature, containing a legible signature.</w:t>
      </w:r>
    </w:p>
    <w:p w:rsidR="00000000" w:rsidRDefault="00216019">
      <w:pPr>
        <w:ind w:left="1080"/>
        <w:rPr>
          <w:u w:val="single"/>
        </w:rPr>
      </w:pPr>
    </w:p>
    <w:p w:rsidR="00000000" w:rsidRDefault="00216019">
      <w:pPr>
        <w:ind w:left="1080"/>
      </w:pPr>
      <w:r>
        <w:t xml:space="preserve">The amendments establish a procedure for electronic filing of </w:t>
      </w:r>
      <w:r>
        <w:rPr>
          <w:b/>
          <w:i/>
        </w:rPr>
        <w:t>hawk</w:t>
      </w:r>
      <w:r>
        <w:rPr>
          <w:b/>
          <w:i/>
        </w:rPr>
        <w:noBreakHyphen/>
        <w:t>i</w:t>
      </w:r>
      <w:r>
        <w:t xml:space="preserve"> applications.  Under these amendments, applicants will be able to submit information through the </w:t>
      </w:r>
      <w:r>
        <w:rPr>
          <w:b/>
          <w:i/>
        </w:rPr>
        <w:t>hawk</w:t>
      </w:r>
      <w:r>
        <w:rPr>
          <w:b/>
          <w:i/>
        </w:rPr>
        <w:noBreakHyphen/>
        <w:t>i</w:t>
      </w:r>
      <w:r>
        <w:t xml:space="preserve"> </w:t>
      </w:r>
      <w:r>
        <w:t xml:space="preserve">web site.  The third-party administrator will mail the applicant a form summarizing the data submitted and requesting the applicant’s signature.  The date that this signed form is returned will be considered the filing date for the </w:t>
      </w:r>
      <w:r>
        <w:rPr>
          <w:b/>
          <w:i/>
        </w:rPr>
        <w:t>hawk</w:t>
      </w:r>
      <w:r>
        <w:rPr>
          <w:b/>
          <w:i/>
        </w:rPr>
        <w:noBreakHyphen/>
        <w:t>i</w:t>
      </w:r>
      <w:r>
        <w:t xml:space="preserve"> application (and </w:t>
      </w:r>
      <w:r>
        <w:t>for the Medicaid application if the family is referred for Medicaid eligibility determination).</w:t>
      </w:r>
    </w:p>
    <w:p w:rsidR="00000000" w:rsidRDefault="00216019">
      <w:pPr>
        <w:ind w:left="720"/>
        <w:sectPr w:rsidR="00000000">
          <w:pgSz w:w="12240" w:h="15840"/>
          <w:pgMar w:top="1440" w:right="1440" w:bottom="1440" w:left="1440" w:header="720" w:footer="720" w:gutter="0"/>
          <w:pgNumType w:start="1"/>
          <w:cols w:space="720"/>
        </w:sectPr>
      </w:pPr>
    </w:p>
    <w:p w:rsidR="00000000" w:rsidRDefault="00216019">
      <w:pPr>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tabs>
          <w:tab w:val="left" w:pos="2610"/>
        </w:tabs>
        <w:ind w:left="1296" w:hanging="1296"/>
        <w:rPr>
          <w:sz w:val="36"/>
        </w:rPr>
      </w:pPr>
      <w:r>
        <w:rPr>
          <w:i/>
          <w:sz w:val="36"/>
        </w:rPr>
        <w:t>Attachment 1:</w:t>
      </w:r>
      <w:r>
        <w:rPr>
          <w:i/>
          <w:sz w:val="36"/>
        </w:rPr>
        <w:tab/>
        <w:t>Clinical Advisory Committee Benefit Enhancement Recommendations</w:t>
      </w:r>
    </w:p>
    <w:p w:rsidR="00000000" w:rsidRDefault="00216019">
      <w:pPr>
        <w:jc w:val="center"/>
        <w:rPr>
          <w:i/>
          <w:sz w:val="36"/>
        </w:rPr>
      </w:pPr>
      <w:r>
        <w:rPr>
          <w:i/>
          <w:sz w:val="36"/>
        </w:rPr>
        <w:t>***</w:t>
      </w:r>
    </w:p>
    <w:p w:rsidR="00000000" w:rsidRDefault="00216019"/>
    <w:p w:rsidR="00000000" w:rsidRDefault="00216019">
      <w:pPr>
        <w:sectPr w:rsidR="00000000">
          <w:pgSz w:w="12240" w:h="15840"/>
          <w:pgMar w:top="1440" w:right="1440" w:bottom="1440" w:left="1440" w:header="720" w:footer="720" w:gutter="0"/>
          <w:pgNumType w:start="1"/>
          <w:cols w:space="720"/>
          <w:titlePg/>
        </w:sectPr>
      </w:pPr>
    </w:p>
    <w:p w:rsidR="00000000" w:rsidRDefault="00216019">
      <w:pPr>
        <w:jc w:val="center"/>
      </w:pPr>
      <w:r>
        <w:lastRenderedPageBreak/>
        <w:t>Clinical Advisory Committee’s</w:t>
      </w:r>
    </w:p>
    <w:p w:rsidR="00000000" w:rsidRDefault="00216019">
      <w:pPr>
        <w:jc w:val="center"/>
      </w:pPr>
      <w:r>
        <w:t>Recommended Benefit Changes to th</w:t>
      </w:r>
      <w:r>
        <w:t>e HAWK-I Board</w:t>
      </w:r>
    </w:p>
    <w:p w:rsidR="00000000" w:rsidRDefault="0021601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5040"/>
        <w:gridCol w:w="5040"/>
      </w:tblGrid>
      <w:tr w:rsidR="00000000">
        <w:tblPrEx>
          <w:tblCellMar>
            <w:top w:w="0" w:type="dxa"/>
            <w:bottom w:w="0" w:type="dxa"/>
          </w:tblCellMar>
        </w:tblPrEx>
        <w:trPr>
          <w:tblHeader/>
        </w:trPr>
        <w:tc>
          <w:tcPr>
            <w:tcW w:w="4608" w:type="dxa"/>
          </w:tcPr>
          <w:p w:rsidR="00000000" w:rsidRDefault="00216019">
            <w:pPr>
              <w:rPr>
                <w:sz w:val="22"/>
              </w:rPr>
            </w:pPr>
            <w:r>
              <w:rPr>
                <w:sz w:val="22"/>
              </w:rPr>
              <w:t>Issue</w:t>
            </w:r>
          </w:p>
        </w:tc>
        <w:tc>
          <w:tcPr>
            <w:tcW w:w="5040" w:type="dxa"/>
          </w:tcPr>
          <w:p w:rsidR="00000000" w:rsidRDefault="00216019">
            <w:pPr>
              <w:rPr>
                <w:sz w:val="22"/>
              </w:rPr>
            </w:pPr>
            <w:r>
              <w:rPr>
                <w:sz w:val="22"/>
              </w:rPr>
              <w:t>Health Plan</w:t>
            </w:r>
          </w:p>
        </w:tc>
        <w:tc>
          <w:tcPr>
            <w:tcW w:w="5040" w:type="dxa"/>
          </w:tcPr>
          <w:p w:rsidR="00000000" w:rsidRDefault="00216019">
            <w:pPr>
              <w:rPr>
                <w:sz w:val="22"/>
              </w:rPr>
            </w:pPr>
            <w:r>
              <w:rPr>
                <w:sz w:val="22"/>
              </w:rPr>
              <w:t>Cost</w:t>
            </w:r>
          </w:p>
        </w:tc>
      </w:tr>
      <w:tr w:rsidR="00000000">
        <w:tblPrEx>
          <w:tblCellMar>
            <w:top w:w="0" w:type="dxa"/>
            <w:bottom w:w="0" w:type="dxa"/>
          </w:tblCellMar>
        </w:tblPrEx>
        <w:tc>
          <w:tcPr>
            <w:tcW w:w="4608" w:type="dxa"/>
          </w:tcPr>
          <w:p w:rsidR="00000000" w:rsidRDefault="00216019">
            <w:pPr>
              <w:rPr>
                <w:sz w:val="22"/>
              </w:rPr>
            </w:pPr>
            <w:r>
              <w:rPr>
                <w:sz w:val="22"/>
              </w:rPr>
              <w:t>Care Coordination</w:t>
            </w:r>
          </w:p>
          <w:p w:rsidR="00000000" w:rsidRDefault="00216019">
            <w:pPr>
              <w:rPr>
                <w:sz w:val="22"/>
              </w:rPr>
            </w:pPr>
            <w:r>
              <w:rPr>
                <w:sz w:val="22"/>
              </w:rPr>
              <w:t>Care Coordination is defined as providing services to children and families to assure that the children receive health care services.  This can include any of the following:</w:t>
            </w:r>
          </w:p>
          <w:p w:rsidR="00000000" w:rsidRDefault="00216019">
            <w:pPr>
              <w:rPr>
                <w:sz w:val="22"/>
              </w:rPr>
            </w:pPr>
            <w:r>
              <w:rPr>
                <w:sz w:val="22"/>
              </w:rPr>
              <w:t>Educating families about</w:t>
            </w:r>
            <w:r>
              <w:rPr>
                <w:sz w:val="22"/>
              </w:rPr>
              <w:t xml:space="preserve"> the services covered with their plan including preventive health care benefits.</w:t>
            </w:r>
          </w:p>
          <w:p w:rsidR="00000000" w:rsidRDefault="00216019">
            <w:pPr>
              <w:rPr>
                <w:sz w:val="22"/>
              </w:rPr>
            </w:pPr>
            <w:r>
              <w:rPr>
                <w:sz w:val="22"/>
              </w:rPr>
              <w:t>Assisting families with selecting primary medical and dental care providers</w:t>
            </w:r>
          </w:p>
          <w:p w:rsidR="00000000" w:rsidRDefault="00216019">
            <w:pPr>
              <w:rPr>
                <w:sz w:val="22"/>
              </w:rPr>
            </w:pPr>
            <w:r>
              <w:rPr>
                <w:sz w:val="22"/>
              </w:rPr>
              <w:t>Assisting families with scheduling routine and follow-up appointments</w:t>
            </w:r>
          </w:p>
          <w:p w:rsidR="00000000" w:rsidRDefault="00216019">
            <w:pPr>
              <w:rPr>
                <w:sz w:val="22"/>
              </w:rPr>
            </w:pPr>
            <w:r>
              <w:rPr>
                <w:sz w:val="22"/>
              </w:rPr>
              <w:t>Assisting with transportation</w:t>
            </w:r>
            <w:r>
              <w:rPr>
                <w:sz w:val="22"/>
              </w:rPr>
              <w:t xml:space="preserve"> to provider’s office, child care if needed, needed translation services</w:t>
            </w:r>
          </w:p>
          <w:p w:rsidR="00000000" w:rsidRDefault="00216019">
            <w:pPr>
              <w:rPr>
                <w:sz w:val="22"/>
              </w:rPr>
            </w:pPr>
            <w:r>
              <w:rPr>
                <w:sz w:val="22"/>
              </w:rPr>
              <w:t>Accessing community support resources</w:t>
            </w:r>
          </w:p>
        </w:tc>
        <w:tc>
          <w:tcPr>
            <w:tcW w:w="5040" w:type="dxa"/>
          </w:tcPr>
          <w:p w:rsidR="00000000" w:rsidRDefault="00216019">
            <w:pPr>
              <w:rPr>
                <w:sz w:val="22"/>
              </w:rPr>
            </w:pPr>
            <w:r>
              <w:rPr>
                <w:sz w:val="22"/>
              </w:rPr>
              <w:t>Iowa Health Solutions sends reminder letters regarding immunizations, coordinates visits, assists with making appointments, arranges for travel i</w:t>
            </w:r>
            <w:r>
              <w:rPr>
                <w:sz w:val="22"/>
              </w:rPr>
              <w:t>f needed, telephone follow-up, and other activities</w:t>
            </w:r>
          </w:p>
          <w:p w:rsidR="00000000" w:rsidRDefault="00216019">
            <w:pPr>
              <w:rPr>
                <w:sz w:val="22"/>
              </w:rPr>
            </w:pPr>
          </w:p>
          <w:p w:rsidR="00000000" w:rsidRDefault="00216019">
            <w:pPr>
              <w:rPr>
                <w:sz w:val="22"/>
              </w:rPr>
            </w:pPr>
            <w:r>
              <w:rPr>
                <w:sz w:val="22"/>
              </w:rPr>
              <w:t>John Deere Health Plan does not have a specific definition of care coordination.</w:t>
            </w:r>
          </w:p>
          <w:p w:rsidR="00000000" w:rsidRDefault="00216019">
            <w:pPr>
              <w:rPr>
                <w:sz w:val="22"/>
              </w:rPr>
            </w:pPr>
          </w:p>
          <w:p w:rsidR="00000000" w:rsidRDefault="00216019">
            <w:pPr>
              <w:rPr>
                <w:sz w:val="22"/>
              </w:rPr>
            </w:pPr>
            <w:r>
              <w:rPr>
                <w:sz w:val="22"/>
              </w:rPr>
              <w:t>Wellmark Classic Blue has a process designed and created to provide a “continuum of care” approach to care management, en</w:t>
            </w:r>
            <w:r>
              <w:rPr>
                <w:sz w:val="22"/>
              </w:rPr>
              <w:t xml:space="preserve">suring that members get the right care at the right time from the appropriate provider.  This process monitors and coordinates care processes to achieve optimal outcomes.  </w:t>
            </w:r>
          </w:p>
          <w:p w:rsidR="00000000" w:rsidRDefault="00216019">
            <w:pPr>
              <w:rPr>
                <w:sz w:val="22"/>
              </w:rPr>
            </w:pPr>
          </w:p>
          <w:p w:rsidR="00000000" w:rsidRDefault="00216019">
            <w:pPr>
              <w:rPr>
                <w:sz w:val="22"/>
              </w:rPr>
            </w:pPr>
            <w:r>
              <w:rPr>
                <w:sz w:val="22"/>
              </w:rPr>
              <w:t xml:space="preserve">MAXIMUS assists families with the initial PCP selection and sends premium payment </w:t>
            </w:r>
            <w:r>
              <w:rPr>
                <w:sz w:val="22"/>
              </w:rPr>
              <w:t xml:space="preserve">reminders. </w:t>
            </w:r>
          </w:p>
        </w:tc>
        <w:tc>
          <w:tcPr>
            <w:tcW w:w="5040" w:type="dxa"/>
          </w:tcPr>
          <w:p w:rsidR="00000000" w:rsidRDefault="00216019">
            <w:pPr>
              <w:rPr>
                <w:sz w:val="22"/>
              </w:rPr>
            </w:pPr>
            <w:r>
              <w:rPr>
                <w:sz w:val="22"/>
              </w:rPr>
              <w:t>Cost estimate for addition to health plan benefits</w:t>
            </w:r>
          </w:p>
          <w:p w:rsidR="00000000" w:rsidRDefault="00216019">
            <w:pPr>
              <w:rPr>
                <w:sz w:val="22"/>
              </w:rPr>
            </w:pPr>
            <w:r>
              <w:rPr>
                <w:sz w:val="22"/>
              </w:rPr>
              <w:t>.50 to .75 per member per month</w:t>
            </w:r>
          </w:p>
          <w:p w:rsidR="00000000" w:rsidRDefault="00216019">
            <w:pPr>
              <w:rPr>
                <w:sz w:val="22"/>
              </w:rPr>
            </w:pPr>
            <w:r>
              <w:rPr>
                <w:sz w:val="22"/>
              </w:rPr>
              <w:t>2003 projected avg. monthly eligibles = 16,139</w:t>
            </w:r>
          </w:p>
          <w:p w:rsidR="00000000" w:rsidRDefault="00216019">
            <w:pPr>
              <w:rPr>
                <w:sz w:val="22"/>
              </w:rPr>
            </w:pPr>
            <w:r>
              <w:rPr>
                <w:sz w:val="22"/>
              </w:rPr>
              <w:t xml:space="preserve">.50 x 16,139 = $8,069.50 per month x 12 mos. = </w:t>
            </w:r>
          </w:p>
          <w:p w:rsidR="00000000" w:rsidRDefault="00216019">
            <w:pPr>
              <w:rPr>
                <w:sz w:val="22"/>
              </w:rPr>
            </w:pPr>
            <w:r>
              <w:rPr>
                <w:sz w:val="22"/>
              </w:rPr>
              <w:t xml:space="preserve">  Total annual cost  $96,834</w:t>
            </w:r>
          </w:p>
          <w:p w:rsidR="00000000" w:rsidRDefault="00216019">
            <w:pPr>
              <w:rPr>
                <w:sz w:val="22"/>
              </w:rPr>
            </w:pPr>
            <w:r>
              <w:rPr>
                <w:sz w:val="22"/>
              </w:rPr>
              <w:t xml:space="preserve">                                    $</w:t>
            </w:r>
            <w:r>
              <w:rPr>
                <w:sz w:val="22"/>
              </w:rPr>
              <w:t>24,741 State $ (25.55%)</w:t>
            </w:r>
          </w:p>
          <w:p w:rsidR="00000000" w:rsidRDefault="00216019">
            <w:pPr>
              <w:rPr>
                <w:sz w:val="22"/>
              </w:rPr>
            </w:pPr>
            <w:r>
              <w:rPr>
                <w:sz w:val="22"/>
              </w:rPr>
              <w:t xml:space="preserve">                                     $72,093 Federal $ (74.45%)</w:t>
            </w:r>
          </w:p>
          <w:p w:rsidR="00000000" w:rsidRDefault="00216019">
            <w:pPr>
              <w:rPr>
                <w:sz w:val="22"/>
              </w:rPr>
            </w:pPr>
            <w:r>
              <w:rPr>
                <w:sz w:val="22"/>
              </w:rPr>
              <w:t>.75 x 16,139 = $12,104.25 per month x 12 mos. =</w:t>
            </w:r>
          </w:p>
          <w:p w:rsidR="00000000" w:rsidRDefault="00216019">
            <w:pPr>
              <w:rPr>
                <w:sz w:val="22"/>
              </w:rPr>
            </w:pPr>
            <w:r>
              <w:rPr>
                <w:sz w:val="22"/>
              </w:rPr>
              <w:t xml:space="preserve"> Total annual cost  $145,251 </w:t>
            </w:r>
          </w:p>
          <w:p w:rsidR="00000000" w:rsidRDefault="00216019">
            <w:pPr>
              <w:rPr>
                <w:sz w:val="22"/>
              </w:rPr>
            </w:pPr>
            <w:r>
              <w:rPr>
                <w:sz w:val="22"/>
              </w:rPr>
              <w:t xml:space="preserve">                                 $ 37,112 State $</w:t>
            </w:r>
          </w:p>
          <w:p w:rsidR="00000000" w:rsidRDefault="00216019">
            <w:pPr>
              <w:rPr>
                <w:sz w:val="22"/>
              </w:rPr>
            </w:pPr>
            <w:r>
              <w:rPr>
                <w:sz w:val="22"/>
              </w:rPr>
              <w:t xml:space="preserve">                                 $ 108,1</w:t>
            </w:r>
            <w:r>
              <w:rPr>
                <w:sz w:val="22"/>
              </w:rPr>
              <w:t>39 Federal $</w:t>
            </w:r>
          </w:p>
          <w:p w:rsidR="00000000" w:rsidRDefault="00216019">
            <w:pPr>
              <w:rPr>
                <w:sz w:val="22"/>
              </w:rPr>
            </w:pPr>
          </w:p>
          <w:p w:rsidR="00000000" w:rsidRDefault="00216019">
            <w:pPr>
              <w:rPr>
                <w:sz w:val="22"/>
              </w:rPr>
            </w:pPr>
            <w:r>
              <w:rPr>
                <w:sz w:val="22"/>
              </w:rPr>
              <w:t>2004 projected avg. monthly eligibles = 20,163</w:t>
            </w:r>
          </w:p>
          <w:p w:rsidR="00000000" w:rsidRDefault="00216019">
            <w:pPr>
              <w:rPr>
                <w:sz w:val="22"/>
              </w:rPr>
            </w:pPr>
            <w:r>
              <w:rPr>
                <w:sz w:val="22"/>
              </w:rPr>
              <w:t xml:space="preserve">50 x 20,163 = $10,081.50 per month x 12 mos. = </w:t>
            </w:r>
          </w:p>
          <w:p w:rsidR="00000000" w:rsidRDefault="00216019">
            <w:pPr>
              <w:rPr>
                <w:sz w:val="22"/>
              </w:rPr>
            </w:pPr>
            <w:r>
              <w:rPr>
                <w:sz w:val="22"/>
              </w:rPr>
              <w:t xml:space="preserve">  Total annual cost  $120,978</w:t>
            </w:r>
          </w:p>
          <w:p w:rsidR="00000000" w:rsidRDefault="00216019">
            <w:pPr>
              <w:rPr>
                <w:sz w:val="22"/>
              </w:rPr>
            </w:pPr>
            <w:r>
              <w:rPr>
                <w:sz w:val="22"/>
              </w:rPr>
              <w:t xml:space="preserve">                                    $30,910 State $ (25.55%)*</w:t>
            </w:r>
          </w:p>
          <w:p w:rsidR="00000000" w:rsidRDefault="00216019">
            <w:pPr>
              <w:rPr>
                <w:sz w:val="22"/>
              </w:rPr>
            </w:pPr>
            <w:r>
              <w:rPr>
                <w:sz w:val="22"/>
              </w:rPr>
              <w:t xml:space="preserve">                                     $90,068 Federal $ </w:t>
            </w:r>
            <w:r>
              <w:rPr>
                <w:sz w:val="22"/>
              </w:rPr>
              <w:t>(74.45%)*</w:t>
            </w:r>
          </w:p>
          <w:p w:rsidR="00000000" w:rsidRDefault="00216019">
            <w:pPr>
              <w:rPr>
                <w:sz w:val="22"/>
              </w:rPr>
            </w:pPr>
            <w:r>
              <w:rPr>
                <w:sz w:val="22"/>
              </w:rPr>
              <w:t>.75 x20,163 = $15,122.25 per month x 12 mos. =</w:t>
            </w:r>
          </w:p>
          <w:p w:rsidR="00000000" w:rsidRDefault="00216019">
            <w:pPr>
              <w:rPr>
                <w:sz w:val="22"/>
              </w:rPr>
            </w:pPr>
            <w:r>
              <w:rPr>
                <w:sz w:val="22"/>
              </w:rPr>
              <w:t xml:space="preserve"> Total annual cost  $181,467 </w:t>
            </w:r>
          </w:p>
          <w:p w:rsidR="00000000" w:rsidRDefault="00216019">
            <w:pPr>
              <w:rPr>
                <w:sz w:val="22"/>
              </w:rPr>
            </w:pPr>
            <w:r>
              <w:rPr>
                <w:sz w:val="22"/>
              </w:rPr>
              <w:t xml:space="preserve">                                 $  46,365 State $*</w:t>
            </w:r>
          </w:p>
          <w:p w:rsidR="00000000" w:rsidRDefault="00216019">
            <w:pPr>
              <w:rPr>
                <w:sz w:val="22"/>
              </w:rPr>
            </w:pPr>
            <w:r>
              <w:rPr>
                <w:sz w:val="22"/>
              </w:rPr>
              <w:t xml:space="preserve">                                 $ 135,102 Federal $*</w:t>
            </w:r>
          </w:p>
          <w:p w:rsidR="00000000" w:rsidRDefault="00216019">
            <w:pPr>
              <w:rPr>
                <w:sz w:val="22"/>
              </w:rPr>
            </w:pPr>
            <w:r>
              <w:rPr>
                <w:sz w:val="22"/>
              </w:rPr>
              <w:t>* Note this is the 03 match rate, this rate could change</w:t>
            </w:r>
          </w:p>
        </w:tc>
      </w:tr>
      <w:tr w:rsidR="00000000">
        <w:tblPrEx>
          <w:tblCellMar>
            <w:top w:w="0" w:type="dxa"/>
            <w:bottom w:w="0" w:type="dxa"/>
          </w:tblCellMar>
        </w:tblPrEx>
        <w:tc>
          <w:tcPr>
            <w:tcW w:w="4608" w:type="dxa"/>
          </w:tcPr>
          <w:p w:rsidR="00000000" w:rsidRDefault="00216019">
            <w:pPr>
              <w:rPr>
                <w:sz w:val="22"/>
              </w:rPr>
            </w:pPr>
            <w:r>
              <w:rPr>
                <w:sz w:val="22"/>
              </w:rPr>
              <w:t>“Serv</w:t>
            </w:r>
            <w:r>
              <w:rPr>
                <w:sz w:val="22"/>
              </w:rPr>
              <w:t>ice of care coordination that facilitates access, solves problems, addresses both covered and noncovered services and promotes coordination of social support and medical services across different organizations and providers.  It is intended to empower fami</w:t>
            </w:r>
            <w:r>
              <w:rPr>
                <w:sz w:val="22"/>
              </w:rPr>
              <w:t xml:space="preserve">lies to utilize the community resources available to them and includes assessing, planning implementing, coordinating, monitoring, facilitating, notifying, scheduling and assuring.” </w:t>
            </w:r>
          </w:p>
        </w:tc>
        <w:tc>
          <w:tcPr>
            <w:tcW w:w="5040" w:type="dxa"/>
          </w:tcPr>
          <w:p w:rsidR="00000000" w:rsidRDefault="00216019">
            <w:pPr>
              <w:rPr>
                <w:sz w:val="22"/>
              </w:rPr>
            </w:pPr>
          </w:p>
        </w:tc>
        <w:tc>
          <w:tcPr>
            <w:tcW w:w="5040" w:type="dxa"/>
          </w:tcPr>
          <w:p w:rsidR="00000000" w:rsidRDefault="00216019">
            <w:pPr>
              <w:rPr>
                <w:sz w:val="22"/>
              </w:rPr>
            </w:pPr>
            <w:r>
              <w:rPr>
                <w:sz w:val="22"/>
              </w:rPr>
              <w:t xml:space="preserve">Cost estimate if care coordination is carved out from the health plans. </w:t>
            </w:r>
            <w:r>
              <w:rPr>
                <w:sz w:val="22"/>
              </w:rPr>
              <w:t>#</w:t>
            </w:r>
          </w:p>
          <w:p w:rsidR="00000000" w:rsidRDefault="00216019">
            <w:pPr>
              <w:rPr>
                <w:sz w:val="22"/>
              </w:rPr>
            </w:pPr>
            <w:r>
              <w:rPr>
                <w:sz w:val="22"/>
              </w:rPr>
              <w:t>Based on Medicaid reimbursement rate: $31.68 per hour per family</w:t>
            </w:r>
          </w:p>
          <w:p w:rsidR="00000000" w:rsidRDefault="00216019">
            <w:pPr>
              <w:rPr>
                <w:sz w:val="22"/>
              </w:rPr>
            </w:pPr>
          </w:p>
          <w:p w:rsidR="00000000" w:rsidRDefault="00216019">
            <w:pPr>
              <w:rPr>
                <w:sz w:val="22"/>
              </w:rPr>
            </w:pPr>
            <w:r>
              <w:rPr>
                <w:sz w:val="22"/>
              </w:rPr>
              <w:t>2003 projected av. monthly eligibles = 16,139/</w:t>
            </w:r>
          </w:p>
          <w:p w:rsidR="00000000" w:rsidRDefault="00216019">
            <w:pPr>
              <w:rPr>
                <w:sz w:val="22"/>
              </w:rPr>
            </w:pPr>
            <w:r>
              <w:rPr>
                <w:sz w:val="22"/>
              </w:rPr>
              <w:t>1.6 av. kids per family = 10,087 families x $31.68 =</w:t>
            </w:r>
          </w:p>
          <w:p w:rsidR="00000000" w:rsidRDefault="00216019">
            <w:pPr>
              <w:rPr>
                <w:sz w:val="22"/>
              </w:rPr>
            </w:pPr>
            <w:r>
              <w:rPr>
                <w:sz w:val="22"/>
              </w:rPr>
              <w:t>Total annual cost $319,556</w:t>
            </w:r>
          </w:p>
          <w:p w:rsidR="00000000" w:rsidRDefault="00216019">
            <w:pPr>
              <w:rPr>
                <w:sz w:val="22"/>
              </w:rPr>
            </w:pPr>
            <w:r>
              <w:rPr>
                <w:sz w:val="22"/>
              </w:rPr>
              <w:t xml:space="preserve">                               $ 81,647 State $</w:t>
            </w:r>
          </w:p>
          <w:p w:rsidR="00000000" w:rsidRDefault="00216019">
            <w:pPr>
              <w:rPr>
                <w:sz w:val="22"/>
              </w:rPr>
            </w:pPr>
            <w:r>
              <w:rPr>
                <w:sz w:val="22"/>
              </w:rPr>
              <w:t xml:space="preserve">             </w:t>
            </w:r>
            <w:r>
              <w:rPr>
                <w:sz w:val="22"/>
              </w:rPr>
              <w:t xml:space="preserve">                  $237,909 Federal $</w:t>
            </w:r>
          </w:p>
          <w:p w:rsidR="00000000" w:rsidRDefault="00216019">
            <w:pPr>
              <w:rPr>
                <w:sz w:val="22"/>
              </w:rPr>
            </w:pPr>
            <w:r>
              <w:rPr>
                <w:sz w:val="22"/>
              </w:rPr>
              <w:t>2004 projected avg. monthly eligibles = 20,163</w:t>
            </w:r>
          </w:p>
          <w:p w:rsidR="00000000" w:rsidRDefault="00216019">
            <w:pPr>
              <w:rPr>
                <w:sz w:val="22"/>
              </w:rPr>
            </w:pPr>
            <w:r>
              <w:rPr>
                <w:sz w:val="22"/>
              </w:rPr>
              <w:lastRenderedPageBreak/>
              <w:t>1.6 av. kids per family = 12,602 families x $31.68 =</w:t>
            </w:r>
          </w:p>
          <w:p w:rsidR="00000000" w:rsidRDefault="00216019">
            <w:pPr>
              <w:rPr>
                <w:sz w:val="22"/>
              </w:rPr>
            </w:pPr>
            <w:r>
              <w:rPr>
                <w:sz w:val="22"/>
              </w:rPr>
              <w:t>Total annual cost $399,231</w:t>
            </w:r>
          </w:p>
          <w:p w:rsidR="00000000" w:rsidRDefault="00216019">
            <w:pPr>
              <w:rPr>
                <w:sz w:val="22"/>
              </w:rPr>
            </w:pPr>
            <w:r>
              <w:rPr>
                <w:sz w:val="22"/>
              </w:rPr>
              <w:t xml:space="preserve">                               $102,004 State $*</w:t>
            </w:r>
          </w:p>
          <w:p w:rsidR="00000000" w:rsidRDefault="00216019">
            <w:pPr>
              <w:rPr>
                <w:sz w:val="22"/>
              </w:rPr>
            </w:pPr>
            <w:r>
              <w:rPr>
                <w:sz w:val="22"/>
              </w:rPr>
              <w:t xml:space="preserve">                               $297,227 Fed</w:t>
            </w:r>
            <w:r>
              <w:rPr>
                <w:sz w:val="22"/>
              </w:rPr>
              <w:t>eral $*</w:t>
            </w:r>
          </w:p>
          <w:p w:rsidR="00000000" w:rsidRDefault="00216019">
            <w:pPr>
              <w:rPr>
                <w:sz w:val="22"/>
              </w:rPr>
            </w:pPr>
          </w:p>
          <w:p w:rsidR="00000000" w:rsidRDefault="00216019">
            <w:pPr>
              <w:rPr>
                <w:sz w:val="22"/>
              </w:rPr>
            </w:pPr>
            <w:r>
              <w:rPr>
                <w:sz w:val="22"/>
              </w:rPr>
              <w:t xml:space="preserve">#Assumes no family receives more than 1 hour of service annually. </w:t>
            </w:r>
          </w:p>
        </w:tc>
      </w:tr>
      <w:tr w:rsidR="00000000">
        <w:tblPrEx>
          <w:tblCellMar>
            <w:top w:w="0" w:type="dxa"/>
            <w:bottom w:w="0" w:type="dxa"/>
          </w:tblCellMar>
        </w:tblPrEx>
        <w:tc>
          <w:tcPr>
            <w:tcW w:w="4608" w:type="dxa"/>
          </w:tcPr>
          <w:p w:rsidR="00000000" w:rsidRDefault="00216019">
            <w:pPr>
              <w:rPr>
                <w:sz w:val="22"/>
              </w:rPr>
            </w:pPr>
            <w:r>
              <w:rPr>
                <w:sz w:val="22"/>
              </w:rPr>
              <w:lastRenderedPageBreak/>
              <w:t xml:space="preserve">Case Management for children with special health care needs.  </w:t>
            </w:r>
          </w:p>
          <w:p w:rsidR="00000000" w:rsidRDefault="00216019">
            <w:pPr>
              <w:rPr>
                <w:sz w:val="22"/>
              </w:rPr>
            </w:pPr>
            <w:r>
              <w:rPr>
                <w:sz w:val="22"/>
              </w:rPr>
              <w:t xml:space="preserve">Case management is defined as services intended to coordinate various clinical services to assure the best clinical </w:t>
            </w:r>
            <w:r>
              <w:rPr>
                <w:sz w:val="22"/>
              </w:rPr>
              <w:t xml:space="preserve">outcomes.  </w:t>
            </w:r>
          </w:p>
          <w:p w:rsidR="00000000" w:rsidRDefault="00216019">
            <w:pPr>
              <w:rPr>
                <w:sz w:val="22"/>
              </w:rPr>
            </w:pPr>
            <w:r>
              <w:rPr>
                <w:sz w:val="22"/>
              </w:rPr>
              <w:t>Children with special health care needs are those who have or are at increase risk for a chronic physical, developmental, behavioral, or emotional condition and who also require health and related services of a type or amount beyond that requir</w:t>
            </w:r>
            <w:r>
              <w:rPr>
                <w:sz w:val="22"/>
              </w:rPr>
              <w:t>ed by children generally.</w:t>
            </w:r>
          </w:p>
          <w:p w:rsidR="00000000" w:rsidRDefault="00216019">
            <w:pPr>
              <w:rPr>
                <w:sz w:val="22"/>
              </w:rPr>
            </w:pPr>
          </w:p>
          <w:p w:rsidR="00000000" w:rsidRDefault="00216019">
            <w:pPr>
              <w:rPr>
                <w:sz w:val="22"/>
              </w:rPr>
            </w:pPr>
            <w:r>
              <w:rPr>
                <w:sz w:val="22"/>
              </w:rPr>
              <w:t xml:space="preserve">  </w:t>
            </w:r>
          </w:p>
        </w:tc>
        <w:tc>
          <w:tcPr>
            <w:tcW w:w="5040" w:type="dxa"/>
          </w:tcPr>
          <w:p w:rsidR="00000000" w:rsidRDefault="00216019">
            <w:pPr>
              <w:rPr>
                <w:sz w:val="22"/>
              </w:rPr>
            </w:pPr>
          </w:p>
          <w:p w:rsidR="00000000" w:rsidRDefault="00216019">
            <w:pPr>
              <w:rPr>
                <w:sz w:val="22"/>
              </w:rPr>
            </w:pPr>
            <w:r>
              <w:rPr>
                <w:sz w:val="22"/>
              </w:rPr>
              <w:t>Iowa Health Solutions has a specific policy and procedure that governs the case management and large case management programs, for children with extensive dental problems and mental problems, as well as other medical and soci</w:t>
            </w:r>
            <w:r>
              <w:rPr>
                <w:sz w:val="22"/>
              </w:rPr>
              <w:t>al problems.</w:t>
            </w:r>
          </w:p>
          <w:p w:rsidR="00000000" w:rsidRDefault="00216019">
            <w:pPr>
              <w:rPr>
                <w:sz w:val="22"/>
              </w:rPr>
            </w:pPr>
          </w:p>
          <w:p w:rsidR="00000000" w:rsidRDefault="00216019">
            <w:pPr>
              <w:rPr>
                <w:sz w:val="22"/>
              </w:rPr>
            </w:pPr>
            <w:r>
              <w:rPr>
                <w:sz w:val="22"/>
              </w:rPr>
              <w:t xml:space="preserve">John Deere Health Plan has nurse case and utilization review managers.  They work with the patient, family physician, associated JDHP staff, allied health care providers, and community resources to coordinate quality health care for patients </w:t>
            </w:r>
            <w:r>
              <w:rPr>
                <w:sz w:val="22"/>
              </w:rPr>
              <w:t>in most appropriate setting.  Key elements of the program include health education, care plan coordination, discharge planning, and development of health resources.  Components of case management include individual case management, ante partum risk, transp</w:t>
            </w:r>
            <w:r>
              <w:rPr>
                <w:sz w:val="22"/>
              </w:rPr>
              <w:t xml:space="preserve">lants, infertility, hemophilia, growth hormone and coordinated care services. </w:t>
            </w:r>
          </w:p>
          <w:p w:rsidR="00000000" w:rsidRDefault="00216019">
            <w:pPr>
              <w:rPr>
                <w:sz w:val="22"/>
              </w:rPr>
            </w:pPr>
          </w:p>
          <w:p w:rsidR="00000000" w:rsidRDefault="00216019">
            <w:pPr>
              <w:rPr>
                <w:sz w:val="22"/>
              </w:rPr>
            </w:pPr>
            <w:r>
              <w:rPr>
                <w:sz w:val="22"/>
              </w:rPr>
              <w:t>Wellmark has a pediatric nurse case manage who manages children with special needs.  A dedicated approach to care management, which assesses, plans, implements, coordinates, mo</w:t>
            </w:r>
            <w:r>
              <w:rPr>
                <w:sz w:val="22"/>
              </w:rPr>
              <w:t>nitors and evaluates options and services to meet individual needs over an extended period of time.</w:t>
            </w:r>
          </w:p>
        </w:tc>
        <w:tc>
          <w:tcPr>
            <w:tcW w:w="5040" w:type="dxa"/>
          </w:tcPr>
          <w:p w:rsidR="00000000" w:rsidRDefault="00216019">
            <w:pPr>
              <w:rPr>
                <w:sz w:val="22"/>
              </w:rPr>
            </w:pPr>
            <w:r>
              <w:rPr>
                <w:sz w:val="22"/>
              </w:rPr>
              <w:t>Cost estimate = .29-.34 per member per month</w:t>
            </w:r>
          </w:p>
          <w:p w:rsidR="00000000" w:rsidRDefault="00216019">
            <w:pPr>
              <w:rPr>
                <w:sz w:val="22"/>
              </w:rPr>
            </w:pPr>
            <w:r>
              <w:rPr>
                <w:sz w:val="22"/>
              </w:rPr>
              <w:t>2003 projected avg. monthly eligibles = 16,139*</w:t>
            </w:r>
          </w:p>
          <w:p w:rsidR="00000000" w:rsidRDefault="00216019">
            <w:pPr>
              <w:rPr>
                <w:sz w:val="22"/>
              </w:rPr>
            </w:pPr>
            <w:r>
              <w:rPr>
                <w:sz w:val="22"/>
              </w:rPr>
              <w:t>.29 x16,139 = $4680.31 per month x 12 mos. -</w:t>
            </w:r>
          </w:p>
          <w:p w:rsidR="00000000" w:rsidRDefault="00216019">
            <w:pPr>
              <w:rPr>
                <w:sz w:val="22"/>
              </w:rPr>
            </w:pPr>
            <w:r>
              <w:rPr>
                <w:sz w:val="22"/>
              </w:rPr>
              <w:t xml:space="preserve">Total annual cost </w:t>
            </w:r>
            <w:r>
              <w:rPr>
                <w:sz w:val="22"/>
              </w:rPr>
              <w:t>$56,164</w:t>
            </w:r>
          </w:p>
          <w:p w:rsidR="00000000" w:rsidRDefault="00216019">
            <w:pPr>
              <w:rPr>
                <w:sz w:val="22"/>
              </w:rPr>
            </w:pPr>
            <w:r>
              <w:rPr>
                <w:sz w:val="22"/>
              </w:rPr>
              <w:t xml:space="preserve">                                $14,350</w:t>
            </w:r>
          </w:p>
          <w:p w:rsidR="00000000" w:rsidRDefault="00216019">
            <w:pPr>
              <w:rPr>
                <w:sz w:val="22"/>
              </w:rPr>
            </w:pPr>
            <w:r>
              <w:rPr>
                <w:sz w:val="22"/>
              </w:rPr>
              <w:t xml:space="preserve">                                $41,814</w:t>
            </w:r>
          </w:p>
          <w:p w:rsidR="00000000" w:rsidRDefault="00216019">
            <w:pPr>
              <w:rPr>
                <w:sz w:val="22"/>
              </w:rPr>
            </w:pPr>
          </w:p>
          <w:p w:rsidR="00000000" w:rsidRDefault="00216019">
            <w:pPr>
              <w:rPr>
                <w:sz w:val="22"/>
              </w:rPr>
            </w:pPr>
            <w:r>
              <w:rPr>
                <w:sz w:val="22"/>
              </w:rPr>
              <w:t>.34 x 16,139 = $5487.26 per month x 12 mos. =</w:t>
            </w:r>
          </w:p>
          <w:p w:rsidR="00000000" w:rsidRDefault="00216019">
            <w:pPr>
              <w:rPr>
                <w:sz w:val="22"/>
              </w:rPr>
            </w:pPr>
            <w:r>
              <w:rPr>
                <w:sz w:val="22"/>
              </w:rPr>
              <w:t xml:space="preserve">  Total annual cost $65, 847</w:t>
            </w:r>
          </w:p>
          <w:p w:rsidR="00000000" w:rsidRDefault="00216019">
            <w:pPr>
              <w:rPr>
                <w:sz w:val="22"/>
              </w:rPr>
            </w:pPr>
            <w:r>
              <w:rPr>
                <w:sz w:val="22"/>
              </w:rPr>
              <w:t xml:space="preserve">                                 $16,824 State $</w:t>
            </w:r>
          </w:p>
          <w:p w:rsidR="00000000" w:rsidRDefault="00216019">
            <w:pPr>
              <w:rPr>
                <w:sz w:val="22"/>
                <w:u w:val="single"/>
              </w:rPr>
            </w:pPr>
            <w:r>
              <w:rPr>
                <w:sz w:val="22"/>
              </w:rPr>
              <w:t xml:space="preserve">                                 $49,023 Fe</w:t>
            </w:r>
            <w:r>
              <w:rPr>
                <w:sz w:val="22"/>
              </w:rPr>
              <w:t>deral $</w:t>
            </w:r>
          </w:p>
          <w:p w:rsidR="00000000" w:rsidRDefault="00216019">
            <w:pPr>
              <w:rPr>
                <w:sz w:val="22"/>
              </w:rPr>
            </w:pPr>
          </w:p>
          <w:p w:rsidR="00000000" w:rsidRDefault="00216019">
            <w:pPr>
              <w:rPr>
                <w:sz w:val="22"/>
              </w:rPr>
            </w:pPr>
            <w:r>
              <w:rPr>
                <w:sz w:val="22"/>
              </w:rPr>
              <w:t>2004 projected avg. monthly eligibles = 20,163</w:t>
            </w:r>
          </w:p>
          <w:p w:rsidR="00000000" w:rsidRDefault="00216019">
            <w:pPr>
              <w:rPr>
                <w:sz w:val="22"/>
              </w:rPr>
            </w:pPr>
            <w:r>
              <w:rPr>
                <w:sz w:val="22"/>
              </w:rPr>
              <w:t>.29 x20,163 = $5,847.27 per month x 12 mos. -</w:t>
            </w:r>
          </w:p>
          <w:p w:rsidR="00000000" w:rsidRDefault="00216019">
            <w:pPr>
              <w:rPr>
                <w:sz w:val="22"/>
              </w:rPr>
            </w:pPr>
            <w:r>
              <w:rPr>
                <w:sz w:val="22"/>
              </w:rPr>
              <w:t>Total annual cost $70,167</w:t>
            </w:r>
          </w:p>
          <w:p w:rsidR="00000000" w:rsidRDefault="00216019">
            <w:pPr>
              <w:rPr>
                <w:sz w:val="22"/>
              </w:rPr>
            </w:pPr>
            <w:r>
              <w:rPr>
                <w:sz w:val="22"/>
              </w:rPr>
              <w:t xml:space="preserve">                                $17,928</w:t>
            </w:r>
          </w:p>
          <w:p w:rsidR="00000000" w:rsidRDefault="00216019">
            <w:pPr>
              <w:rPr>
                <w:sz w:val="22"/>
              </w:rPr>
            </w:pPr>
            <w:r>
              <w:rPr>
                <w:sz w:val="22"/>
              </w:rPr>
              <w:t xml:space="preserve">                                $52,239</w:t>
            </w:r>
          </w:p>
          <w:p w:rsidR="00000000" w:rsidRDefault="00216019">
            <w:pPr>
              <w:rPr>
                <w:sz w:val="22"/>
              </w:rPr>
            </w:pPr>
          </w:p>
          <w:p w:rsidR="00000000" w:rsidRDefault="00216019">
            <w:pPr>
              <w:rPr>
                <w:sz w:val="22"/>
              </w:rPr>
            </w:pPr>
            <w:r>
              <w:rPr>
                <w:sz w:val="22"/>
              </w:rPr>
              <w:t>.34 x 20,163 = $6,855.42 per month x 12 mos. =</w:t>
            </w:r>
          </w:p>
          <w:p w:rsidR="00000000" w:rsidRDefault="00216019">
            <w:pPr>
              <w:rPr>
                <w:sz w:val="22"/>
              </w:rPr>
            </w:pPr>
            <w:r>
              <w:rPr>
                <w:sz w:val="22"/>
              </w:rPr>
              <w:t xml:space="preserve">  Total annual cost $82,265</w:t>
            </w:r>
          </w:p>
          <w:p w:rsidR="00000000" w:rsidRDefault="00216019">
            <w:pPr>
              <w:rPr>
                <w:sz w:val="22"/>
              </w:rPr>
            </w:pPr>
            <w:r>
              <w:rPr>
                <w:sz w:val="22"/>
              </w:rPr>
              <w:t xml:space="preserve">                                 $21,019 State $</w:t>
            </w:r>
          </w:p>
          <w:p w:rsidR="00000000" w:rsidRDefault="00216019">
            <w:pPr>
              <w:rPr>
                <w:sz w:val="22"/>
              </w:rPr>
            </w:pPr>
            <w:r>
              <w:rPr>
                <w:sz w:val="22"/>
              </w:rPr>
              <w:t xml:space="preserve">                                 $61,246 Federal $</w:t>
            </w:r>
          </w:p>
        </w:tc>
      </w:tr>
      <w:tr w:rsidR="00000000">
        <w:tblPrEx>
          <w:tblCellMar>
            <w:top w:w="0" w:type="dxa"/>
            <w:bottom w:w="0" w:type="dxa"/>
          </w:tblCellMar>
        </w:tblPrEx>
        <w:tc>
          <w:tcPr>
            <w:tcW w:w="4608" w:type="dxa"/>
          </w:tcPr>
          <w:p w:rsidR="00000000" w:rsidRDefault="00216019">
            <w:pPr>
              <w:rPr>
                <w:sz w:val="22"/>
              </w:rPr>
            </w:pPr>
            <w:r>
              <w:rPr>
                <w:sz w:val="22"/>
              </w:rPr>
              <w:t xml:space="preserve">Dental Benefits.  </w:t>
            </w:r>
          </w:p>
          <w:p w:rsidR="00000000" w:rsidRDefault="00216019">
            <w:pPr>
              <w:rPr>
                <w:sz w:val="22"/>
              </w:rPr>
            </w:pPr>
            <w:r>
              <w:rPr>
                <w:sz w:val="22"/>
              </w:rPr>
              <w:t xml:space="preserve">Increase yearly maximum to $1500. </w:t>
            </w: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r>
              <w:rPr>
                <w:sz w:val="22"/>
              </w:rPr>
              <w:t>Coverage of partials and dentures</w:t>
            </w:r>
          </w:p>
        </w:tc>
        <w:tc>
          <w:tcPr>
            <w:tcW w:w="5040" w:type="dxa"/>
          </w:tcPr>
          <w:p w:rsidR="00000000" w:rsidRDefault="00216019">
            <w:pPr>
              <w:rPr>
                <w:sz w:val="22"/>
              </w:rPr>
            </w:pPr>
            <w:r>
              <w:rPr>
                <w:sz w:val="22"/>
              </w:rPr>
              <w:lastRenderedPageBreak/>
              <w:t>Annual Maximum:</w:t>
            </w:r>
          </w:p>
          <w:p w:rsidR="00000000" w:rsidRDefault="00216019">
            <w:pPr>
              <w:rPr>
                <w:sz w:val="22"/>
              </w:rPr>
            </w:pPr>
            <w:r>
              <w:rPr>
                <w:sz w:val="22"/>
              </w:rPr>
              <w:t>Iowa Hea</w:t>
            </w:r>
            <w:r>
              <w:rPr>
                <w:sz w:val="22"/>
              </w:rPr>
              <w:t>lth Solutions  $1500.</w:t>
            </w:r>
          </w:p>
          <w:p w:rsidR="00000000" w:rsidRDefault="00216019">
            <w:pPr>
              <w:rPr>
                <w:sz w:val="22"/>
              </w:rPr>
            </w:pPr>
            <w:r>
              <w:rPr>
                <w:sz w:val="22"/>
              </w:rPr>
              <w:t>Wellmark Classic Blue $1000</w:t>
            </w:r>
          </w:p>
          <w:p w:rsidR="00000000" w:rsidRDefault="00216019">
            <w:pPr>
              <w:rPr>
                <w:sz w:val="22"/>
              </w:rPr>
            </w:pPr>
            <w:r>
              <w:rPr>
                <w:sz w:val="22"/>
              </w:rPr>
              <w:lastRenderedPageBreak/>
              <w:t xml:space="preserve">John Deere Health Plan  $1000 </w:t>
            </w: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r>
              <w:rPr>
                <w:sz w:val="22"/>
              </w:rPr>
              <w:t>Wellmark does not cover bridges and dentures.</w:t>
            </w:r>
          </w:p>
          <w:p w:rsidR="00000000" w:rsidRDefault="00216019">
            <w:pPr>
              <w:rPr>
                <w:sz w:val="22"/>
              </w:rPr>
            </w:pPr>
            <w:r>
              <w:rPr>
                <w:sz w:val="22"/>
              </w:rPr>
              <w:t>IHS and John Deere cover partials and dentures.</w:t>
            </w:r>
          </w:p>
        </w:tc>
        <w:tc>
          <w:tcPr>
            <w:tcW w:w="5040" w:type="dxa"/>
          </w:tcPr>
          <w:p w:rsidR="00000000" w:rsidRDefault="00216019">
            <w:pPr>
              <w:rPr>
                <w:sz w:val="22"/>
              </w:rPr>
            </w:pPr>
            <w:r>
              <w:rPr>
                <w:sz w:val="22"/>
              </w:rPr>
              <w:lastRenderedPageBreak/>
              <w:t>In order to ensure all children have a $1500/yr max:</w:t>
            </w:r>
          </w:p>
          <w:p w:rsidR="00000000" w:rsidRDefault="00216019">
            <w:pPr>
              <w:rPr>
                <w:sz w:val="22"/>
              </w:rPr>
            </w:pPr>
            <w:r>
              <w:rPr>
                <w:sz w:val="22"/>
              </w:rPr>
              <w:t>Cost estimate =</w:t>
            </w:r>
            <w:r>
              <w:rPr>
                <w:sz w:val="22"/>
              </w:rPr>
              <w:t>$1.78 per member per month</w:t>
            </w:r>
          </w:p>
          <w:p w:rsidR="00000000" w:rsidRDefault="00216019">
            <w:pPr>
              <w:rPr>
                <w:sz w:val="22"/>
              </w:rPr>
            </w:pPr>
            <w:r>
              <w:rPr>
                <w:sz w:val="22"/>
              </w:rPr>
              <w:lastRenderedPageBreak/>
              <w:t>2003 projected avg. monthly eligibles = 16,139</w:t>
            </w:r>
          </w:p>
          <w:p w:rsidR="00000000" w:rsidRDefault="00216019">
            <w:pPr>
              <w:rPr>
                <w:sz w:val="22"/>
              </w:rPr>
            </w:pPr>
            <w:r>
              <w:rPr>
                <w:sz w:val="22"/>
              </w:rPr>
              <w:t>16,139 x $1.78 =$28,727.42 per month x 12 months =</w:t>
            </w:r>
          </w:p>
          <w:p w:rsidR="00000000" w:rsidRDefault="00216019">
            <w:pPr>
              <w:rPr>
                <w:sz w:val="22"/>
                <w:u w:val="single"/>
              </w:rPr>
            </w:pPr>
            <w:r>
              <w:rPr>
                <w:sz w:val="22"/>
              </w:rPr>
              <w:t xml:space="preserve"> Total annual cost $344,729</w:t>
            </w:r>
            <w:r>
              <w:rPr>
                <w:sz w:val="22"/>
                <w:u w:val="single"/>
              </w:rPr>
              <w:t xml:space="preserve"> </w:t>
            </w:r>
          </w:p>
          <w:p w:rsidR="00000000" w:rsidRDefault="00216019">
            <w:pPr>
              <w:rPr>
                <w:sz w:val="22"/>
              </w:rPr>
            </w:pPr>
            <w:r>
              <w:rPr>
                <w:sz w:val="22"/>
              </w:rPr>
              <w:t xml:space="preserve">                                 $ 88,078   State $</w:t>
            </w:r>
          </w:p>
          <w:p w:rsidR="00000000" w:rsidRDefault="00216019">
            <w:pPr>
              <w:rPr>
                <w:sz w:val="22"/>
              </w:rPr>
            </w:pPr>
            <w:r>
              <w:rPr>
                <w:sz w:val="22"/>
              </w:rPr>
              <w:t xml:space="preserve">                                 $256,651  Federal</w:t>
            </w:r>
            <w:r>
              <w:rPr>
                <w:sz w:val="22"/>
              </w:rPr>
              <w:t xml:space="preserve"> $</w:t>
            </w:r>
          </w:p>
          <w:p w:rsidR="00000000" w:rsidRDefault="00216019">
            <w:pPr>
              <w:rPr>
                <w:sz w:val="22"/>
              </w:rPr>
            </w:pPr>
          </w:p>
          <w:p w:rsidR="00000000" w:rsidRDefault="00216019">
            <w:pPr>
              <w:rPr>
                <w:sz w:val="22"/>
              </w:rPr>
            </w:pPr>
            <w:r>
              <w:rPr>
                <w:sz w:val="22"/>
              </w:rPr>
              <w:t>2004 projected avg. monthly eligibles = 20,163.  20,163 x $1.78  = 35,890.14 per month x 12 mos. =</w:t>
            </w:r>
          </w:p>
          <w:p w:rsidR="00000000" w:rsidRDefault="00216019">
            <w:pPr>
              <w:rPr>
                <w:sz w:val="22"/>
                <w:u w:val="single"/>
              </w:rPr>
            </w:pPr>
            <w:r>
              <w:rPr>
                <w:sz w:val="22"/>
              </w:rPr>
              <w:t xml:space="preserve"> Total  annual cost $430,682</w:t>
            </w:r>
            <w:r>
              <w:rPr>
                <w:sz w:val="22"/>
                <w:u w:val="single"/>
              </w:rPr>
              <w:t xml:space="preserve"> </w:t>
            </w:r>
          </w:p>
          <w:p w:rsidR="00000000" w:rsidRDefault="00216019">
            <w:pPr>
              <w:rPr>
                <w:sz w:val="22"/>
              </w:rPr>
            </w:pPr>
            <w:r>
              <w:rPr>
                <w:sz w:val="22"/>
              </w:rPr>
              <w:t xml:space="preserve">                                 $110,039 State $</w:t>
            </w:r>
          </w:p>
          <w:p w:rsidR="00000000" w:rsidRDefault="00216019">
            <w:pPr>
              <w:rPr>
                <w:sz w:val="22"/>
              </w:rPr>
            </w:pPr>
            <w:r>
              <w:rPr>
                <w:sz w:val="22"/>
              </w:rPr>
              <w:t xml:space="preserve">                                 $320,643  Federal $</w:t>
            </w:r>
          </w:p>
          <w:p w:rsidR="00000000" w:rsidRDefault="00216019">
            <w:pPr>
              <w:rPr>
                <w:sz w:val="22"/>
              </w:rPr>
            </w:pPr>
          </w:p>
          <w:p w:rsidR="00000000" w:rsidRDefault="00216019">
            <w:pPr>
              <w:rPr>
                <w:sz w:val="22"/>
              </w:rPr>
            </w:pPr>
            <w:r>
              <w:rPr>
                <w:sz w:val="22"/>
              </w:rPr>
              <w:t>Partials and dentur</w:t>
            </w:r>
            <w:r>
              <w:rPr>
                <w:sz w:val="22"/>
              </w:rPr>
              <w:t xml:space="preserve">es were included in the original assumption in the development of the capitation rate. </w:t>
            </w:r>
          </w:p>
        </w:tc>
      </w:tr>
      <w:tr w:rsidR="00000000">
        <w:tblPrEx>
          <w:tblCellMar>
            <w:top w:w="0" w:type="dxa"/>
            <w:bottom w:w="0" w:type="dxa"/>
          </w:tblCellMar>
        </w:tblPrEx>
        <w:tc>
          <w:tcPr>
            <w:tcW w:w="4608" w:type="dxa"/>
          </w:tcPr>
          <w:p w:rsidR="00000000" w:rsidRDefault="00216019">
            <w:pPr>
              <w:rPr>
                <w:sz w:val="22"/>
              </w:rPr>
            </w:pPr>
            <w:r>
              <w:rPr>
                <w:sz w:val="22"/>
              </w:rPr>
              <w:lastRenderedPageBreak/>
              <w:t>4.  Mental Health &amp; Substance Abuse Benefits.</w:t>
            </w:r>
          </w:p>
          <w:p w:rsidR="00000000" w:rsidRDefault="00216019">
            <w:pPr>
              <w:rPr>
                <w:sz w:val="22"/>
              </w:rPr>
            </w:pPr>
            <w:r>
              <w:rPr>
                <w:sz w:val="22"/>
              </w:rPr>
              <w:t>Comparable benefits across health plans</w:t>
            </w: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r>
              <w:rPr>
                <w:sz w:val="22"/>
              </w:rPr>
              <w:t>Coverage of Axis I diagnoses</w:t>
            </w: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r>
              <w:rPr>
                <w:sz w:val="22"/>
              </w:rPr>
              <w:t>Coverage for full co</w:t>
            </w:r>
            <w:r>
              <w:rPr>
                <w:sz w:val="22"/>
              </w:rPr>
              <w:t>ntinuum of treatment services</w:t>
            </w: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r>
              <w:rPr>
                <w:sz w:val="22"/>
              </w:rPr>
              <w:t>Adequate provider panels</w:t>
            </w: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r>
              <w:rPr>
                <w:sz w:val="22"/>
              </w:rPr>
              <w:t>Admission, discharge, continued stay, and placement criteria are specific to children and adolescents and that the Iowa Juvenile Placement Criteria for substance abuse be used.</w:t>
            </w:r>
          </w:p>
        </w:tc>
        <w:tc>
          <w:tcPr>
            <w:tcW w:w="5040" w:type="dxa"/>
          </w:tcPr>
          <w:p w:rsidR="00000000" w:rsidRDefault="00216019">
            <w:pPr>
              <w:rPr>
                <w:sz w:val="22"/>
              </w:rPr>
            </w:pPr>
            <w:r>
              <w:rPr>
                <w:sz w:val="22"/>
              </w:rPr>
              <w:lastRenderedPageBreak/>
              <w:t>IHS = 20 outp</w:t>
            </w:r>
            <w:r>
              <w:rPr>
                <w:sz w:val="22"/>
              </w:rPr>
              <w:t>atient visits &amp; 60 inpatient hospitals day each year. Inpatient hospital days may be converted to outpatient visits at a ratio of 2 outpatient visits for 1 inpatient day.</w:t>
            </w:r>
          </w:p>
          <w:p w:rsidR="00000000" w:rsidRDefault="00216019">
            <w:pPr>
              <w:rPr>
                <w:sz w:val="22"/>
              </w:rPr>
            </w:pPr>
          </w:p>
          <w:p w:rsidR="00000000" w:rsidRDefault="00216019">
            <w:pPr>
              <w:rPr>
                <w:sz w:val="22"/>
              </w:rPr>
            </w:pPr>
            <w:r>
              <w:rPr>
                <w:sz w:val="22"/>
              </w:rPr>
              <w:t>John Deere Health Plan – Mental health = 20 outpatient facility days/physician visit</w:t>
            </w:r>
            <w:r>
              <w:rPr>
                <w:sz w:val="22"/>
              </w:rPr>
              <w:t>s per calendar year &amp; 30 inpatient facility days/physician visits per calendar year.  Substance abuse  =20 outpatient facility days/physician visits per calendar year &amp; 30 inpatient facility days/physician visits per calendar year.</w:t>
            </w:r>
          </w:p>
          <w:p w:rsidR="00000000" w:rsidRDefault="00216019">
            <w:pPr>
              <w:rPr>
                <w:sz w:val="22"/>
              </w:rPr>
            </w:pPr>
          </w:p>
          <w:p w:rsidR="00000000" w:rsidRDefault="00216019">
            <w:pPr>
              <w:rPr>
                <w:sz w:val="22"/>
              </w:rPr>
            </w:pPr>
            <w:r>
              <w:rPr>
                <w:sz w:val="22"/>
              </w:rPr>
              <w:t>Wellmark = 30 outpatien</w:t>
            </w:r>
            <w:r>
              <w:rPr>
                <w:sz w:val="22"/>
              </w:rPr>
              <w:t>t visits per benefit period &amp; 30 inpatient visits/benefit period  (benefit period begins on the effective date and ends on the last day of the 12</w:t>
            </w:r>
            <w:r>
              <w:rPr>
                <w:sz w:val="22"/>
                <w:vertAlign w:val="superscript"/>
              </w:rPr>
              <w:t>th</w:t>
            </w:r>
            <w:r>
              <w:rPr>
                <w:sz w:val="22"/>
              </w:rPr>
              <w:t xml:space="preserve"> month after the effective date; it renews annually thereafter).</w:t>
            </w:r>
          </w:p>
          <w:p w:rsidR="00000000" w:rsidRDefault="00216019">
            <w:pPr>
              <w:rPr>
                <w:sz w:val="22"/>
              </w:rPr>
            </w:pPr>
          </w:p>
          <w:p w:rsidR="00000000" w:rsidRDefault="00216019">
            <w:pPr>
              <w:rPr>
                <w:sz w:val="22"/>
              </w:rPr>
            </w:pPr>
            <w:r>
              <w:rPr>
                <w:sz w:val="22"/>
              </w:rPr>
              <w:t>Iowa Health Solutions covers axis I diagnos</w:t>
            </w:r>
            <w:r>
              <w:rPr>
                <w:sz w:val="22"/>
              </w:rPr>
              <w:t>es.</w:t>
            </w:r>
          </w:p>
          <w:p w:rsidR="00000000" w:rsidRDefault="00216019">
            <w:pPr>
              <w:rPr>
                <w:sz w:val="22"/>
              </w:rPr>
            </w:pPr>
          </w:p>
          <w:p w:rsidR="00000000" w:rsidRDefault="00216019">
            <w:pPr>
              <w:rPr>
                <w:sz w:val="22"/>
              </w:rPr>
            </w:pPr>
            <w:r>
              <w:rPr>
                <w:sz w:val="22"/>
              </w:rPr>
              <w:t xml:space="preserve">John Deere excludes: dementias and other </w:t>
            </w:r>
            <w:r>
              <w:rPr>
                <w:sz w:val="22"/>
              </w:rPr>
              <w:lastRenderedPageBreak/>
              <w:t xml:space="preserve">organic disorders, nicotine and caffeine use problems, pervasive developmental, TIC and neurological disorders, conduct and impulse control disorders, antisocial personality disorder, paraphilias, insomnia and </w:t>
            </w:r>
            <w:r>
              <w:rPr>
                <w:sz w:val="22"/>
              </w:rPr>
              <w:t>other sleep related disorders (some of these may be covered under the medical part of the plan)</w:t>
            </w:r>
          </w:p>
          <w:p w:rsidR="00000000" w:rsidRDefault="00216019">
            <w:pPr>
              <w:rPr>
                <w:sz w:val="22"/>
              </w:rPr>
            </w:pPr>
          </w:p>
          <w:p w:rsidR="00000000" w:rsidRDefault="00216019">
            <w:pPr>
              <w:rPr>
                <w:sz w:val="22"/>
              </w:rPr>
            </w:pPr>
            <w:r>
              <w:rPr>
                <w:sz w:val="22"/>
              </w:rPr>
              <w:t>Wellmark excludes bereavement counseling or services, family counseling, impulse control disorders, certain developmental and learning disorders, certain disor</w:t>
            </w:r>
            <w:r>
              <w:rPr>
                <w:sz w:val="22"/>
              </w:rPr>
              <w:t>ders of early childhood, communication disorders, nicotine dependence, sensitivity, shyness and social withdrawal disorder, sexual identification or gender disorders.</w:t>
            </w:r>
          </w:p>
          <w:p w:rsidR="00000000" w:rsidRDefault="00216019">
            <w:pPr>
              <w:rPr>
                <w:sz w:val="22"/>
              </w:rPr>
            </w:pPr>
          </w:p>
          <w:p w:rsidR="00000000" w:rsidRDefault="00216019">
            <w:pPr>
              <w:rPr>
                <w:sz w:val="22"/>
              </w:rPr>
            </w:pPr>
            <w:r>
              <w:rPr>
                <w:sz w:val="22"/>
              </w:rPr>
              <w:t>All of the health plans provide inpatient and outpatient services subject to above limit</w:t>
            </w:r>
            <w:r>
              <w:rPr>
                <w:sz w:val="22"/>
              </w:rPr>
              <w:t xml:space="preserve">s.  John Deere covers partial hospital/day treatment programs that may be independent or hospital-based.  Wellmark reimburses for mental health day programs based out of the hospital setting billing using a UB92.  For community mental health centers to be </w:t>
            </w:r>
            <w:r>
              <w:rPr>
                <w:sz w:val="22"/>
              </w:rPr>
              <w:t>able to provide day programming, they can only bill services using an HCFA-1500; therefore, level of reimbursement for CMHC’s would be different.</w:t>
            </w: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p>
          <w:p w:rsidR="00000000" w:rsidRDefault="00216019">
            <w:pPr>
              <w:rPr>
                <w:sz w:val="22"/>
              </w:rPr>
            </w:pPr>
            <w:r>
              <w:rPr>
                <w:sz w:val="22"/>
              </w:rPr>
              <w:t xml:space="preserve">Each plan has its own criteria to determine medical necessity for mental health and substance abuse. </w:t>
            </w:r>
          </w:p>
        </w:tc>
        <w:tc>
          <w:tcPr>
            <w:tcW w:w="5040" w:type="dxa"/>
          </w:tcPr>
          <w:p w:rsidR="00000000" w:rsidRDefault="00216019">
            <w:pPr>
              <w:rPr>
                <w:sz w:val="22"/>
              </w:rPr>
            </w:pPr>
            <w:r>
              <w:rPr>
                <w:sz w:val="22"/>
              </w:rPr>
              <w:lastRenderedPageBreak/>
              <w:t>Cost</w:t>
            </w:r>
            <w:r>
              <w:rPr>
                <w:sz w:val="22"/>
              </w:rPr>
              <w:t xml:space="preserve"> estimate to make plans comparable: .37 per member per month</w:t>
            </w:r>
          </w:p>
          <w:p w:rsidR="00000000" w:rsidRDefault="00216019">
            <w:pPr>
              <w:rPr>
                <w:sz w:val="22"/>
              </w:rPr>
            </w:pPr>
          </w:p>
          <w:p w:rsidR="00000000" w:rsidRDefault="00216019">
            <w:pPr>
              <w:rPr>
                <w:sz w:val="22"/>
              </w:rPr>
            </w:pPr>
            <w:r>
              <w:rPr>
                <w:sz w:val="22"/>
              </w:rPr>
              <w:t>2003 projected avg. monthly eligibles = 16,139</w:t>
            </w:r>
          </w:p>
          <w:p w:rsidR="00000000" w:rsidRDefault="00216019">
            <w:pPr>
              <w:rPr>
                <w:sz w:val="22"/>
              </w:rPr>
            </w:pPr>
            <w:r>
              <w:rPr>
                <w:sz w:val="22"/>
              </w:rPr>
              <w:t>.37 x 16,139 = $5,971.43 per month x 12 mos. =</w:t>
            </w:r>
          </w:p>
          <w:p w:rsidR="00000000" w:rsidRDefault="00216019">
            <w:pPr>
              <w:rPr>
                <w:sz w:val="22"/>
              </w:rPr>
            </w:pPr>
            <w:r>
              <w:rPr>
                <w:sz w:val="22"/>
              </w:rPr>
              <w:t xml:space="preserve"> Total annual cost  $71,657 </w:t>
            </w:r>
          </w:p>
          <w:p w:rsidR="00000000" w:rsidRDefault="00216019">
            <w:pPr>
              <w:rPr>
                <w:sz w:val="22"/>
              </w:rPr>
            </w:pPr>
            <w:r>
              <w:rPr>
                <w:sz w:val="22"/>
              </w:rPr>
              <w:t xml:space="preserve">                                 $18,308 State $</w:t>
            </w:r>
          </w:p>
          <w:p w:rsidR="00000000" w:rsidRDefault="00216019">
            <w:pPr>
              <w:rPr>
                <w:sz w:val="22"/>
                <w:u w:val="single"/>
              </w:rPr>
            </w:pPr>
            <w:r>
              <w:rPr>
                <w:sz w:val="22"/>
              </w:rPr>
              <w:t xml:space="preserve">                      </w:t>
            </w:r>
            <w:r>
              <w:rPr>
                <w:sz w:val="22"/>
              </w:rPr>
              <w:t xml:space="preserve">           $53,349 Federal $         </w:t>
            </w:r>
          </w:p>
          <w:p w:rsidR="00000000" w:rsidRDefault="00216019">
            <w:pPr>
              <w:rPr>
                <w:sz w:val="22"/>
                <w:u w:val="single"/>
              </w:rPr>
            </w:pPr>
          </w:p>
          <w:p w:rsidR="00000000" w:rsidRDefault="00216019">
            <w:pPr>
              <w:rPr>
                <w:sz w:val="22"/>
                <w:u w:val="single"/>
              </w:rPr>
            </w:pPr>
          </w:p>
          <w:p w:rsidR="00000000" w:rsidRDefault="00216019">
            <w:pPr>
              <w:rPr>
                <w:sz w:val="22"/>
                <w:u w:val="single"/>
              </w:rPr>
            </w:pPr>
          </w:p>
          <w:p w:rsidR="00000000" w:rsidRDefault="00216019">
            <w:pPr>
              <w:rPr>
                <w:sz w:val="22"/>
                <w:u w:val="single"/>
              </w:rPr>
            </w:pPr>
          </w:p>
          <w:p w:rsidR="00000000" w:rsidRDefault="00216019">
            <w:pPr>
              <w:rPr>
                <w:sz w:val="22"/>
                <w:u w:val="single"/>
              </w:rPr>
            </w:pPr>
          </w:p>
          <w:p w:rsidR="00000000" w:rsidRDefault="00216019">
            <w:pPr>
              <w:rPr>
                <w:sz w:val="22"/>
              </w:rPr>
            </w:pPr>
            <w:r>
              <w:rPr>
                <w:sz w:val="22"/>
              </w:rPr>
              <w:t>2004 projected avg. monthly eligibles = 20,163</w:t>
            </w:r>
          </w:p>
          <w:p w:rsidR="00000000" w:rsidRDefault="00216019">
            <w:pPr>
              <w:rPr>
                <w:sz w:val="22"/>
              </w:rPr>
            </w:pPr>
            <w:r>
              <w:rPr>
                <w:sz w:val="22"/>
              </w:rPr>
              <w:t>.37 x 20,163 = $7,460.31 per month x 12 mos. =</w:t>
            </w:r>
          </w:p>
          <w:p w:rsidR="00000000" w:rsidRDefault="00216019">
            <w:pPr>
              <w:rPr>
                <w:sz w:val="22"/>
              </w:rPr>
            </w:pPr>
            <w:r>
              <w:rPr>
                <w:sz w:val="22"/>
              </w:rPr>
              <w:t xml:space="preserve"> Total annual cost  $89,524 </w:t>
            </w:r>
          </w:p>
          <w:p w:rsidR="00000000" w:rsidRDefault="00216019">
            <w:pPr>
              <w:rPr>
                <w:sz w:val="22"/>
              </w:rPr>
            </w:pPr>
            <w:r>
              <w:rPr>
                <w:sz w:val="22"/>
              </w:rPr>
              <w:t xml:space="preserve">                                 $22,873 State $</w:t>
            </w:r>
          </w:p>
          <w:p w:rsidR="00000000" w:rsidRDefault="00216019">
            <w:pPr>
              <w:rPr>
                <w:sz w:val="22"/>
                <w:u w:val="single"/>
              </w:rPr>
            </w:pPr>
            <w:r>
              <w:rPr>
                <w:sz w:val="22"/>
              </w:rPr>
              <w:t xml:space="preserve">                                 $66,650 </w:t>
            </w:r>
            <w:r>
              <w:rPr>
                <w:sz w:val="22"/>
              </w:rPr>
              <w:t xml:space="preserve">Federal $         </w:t>
            </w:r>
          </w:p>
          <w:p w:rsidR="00000000" w:rsidRDefault="00216019">
            <w:pPr>
              <w:rPr>
                <w:sz w:val="22"/>
                <w:u w:val="single"/>
              </w:rPr>
            </w:pPr>
          </w:p>
          <w:p w:rsidR="00000000" w:rsidRDefault="00216019">
            <w:pPr>
              <w:rPr>
                <w:sz w:val="22"/>
              </w:rPr>
            </w:pPr>
            <w:r>
              <w:rPr>
                <w:sz w:val="22"/>
              </w:rPr>
              <w:t>Axis I diagnoses are intended to be covered under the existing pricing assumptions.</w:t>
            </w:r>
          </w:p>
          <w:p w:rsidR="00000000" w:rsidRDefault="00216019">
            <w:pPr>
              <w:rPr>
                <w:sz w:val="22"/>
                <w:u w:val="single"/>
              </w:rPr>
            </w:pPr>
          </w:p>
          <w:p w:rsidR="00000000" w:rsidRDefault="00216019">
            <w:pPr>
              <w:rPr>
                <w:sz w:val="22"/>
                <w:u w:val="single"/>
              </w:rPr>
            </w:pPr>
          </w:p>
          <w:p w:rsidR="00000000" w:rsidRDefault="00216019">
            <w:pPr>
              <w:rPr>
                <w:sz w:val="22"/>
                <w:u w:val="single"/>
              </w:rPr>
            </w:pPr>
          </w:p>
          <w:p w:rsidR="00000000" w:rsidRDefault="00216019">
            <w:pPr>
              <w:rPr>
                <w:sz w:val="22"/>
                <w:u w:val="single"/>
              </w:rPr>
            </w:pPr>
          </w:p>
          <w:p w:rsidR="00000000" w:rsidRDefault="00216019">
            <w:pPr>
              <w:rPr>
                <w:sz w:val="22"/>
                <w:u w:val="single"/>
              </w:rPr>
            </w:pPr>
          </w:p>
          <w:p w:rsidR="00000000" w:rsidRDefault="00216019">
            <w:pPr>
              <w:rPr>
                <w:sz w:val="22"/>
                <w:u w:val="single"/>
              </w:rPr>
            </w:pPr>
          </w:p>
          <w:p w:rsidR="00000000" w:rsidRDefault="00216019">
            <w:pPr>
              <w:rPr>
                <w:sz w:val="22"/>
                <w:u w:val="single"/>
              </w:rPr>
            </w:pPr>
          </w:p>
          <w:p w:rsidR="00000000" w:rsidRDefault="00216019">
            <w:pPr>
              <w:rPr>
                <w:sz w:val="22"/>
                <w:u w:val="single"/>
              </w:rPr>
            </w:pPr>
          </w:p>
          <w:p w:rsidR="00000000" w:rsidRDefault="00216019">
            <w:pPr>
              <w:rPr>
                <w:sz w:val="22"/>
                <w:u w:val="single"/>
              </w:rPr>
            </w:pPr>
          </w:p>
          <w:p w:rsidR="00000000" w:rsidRDefault="00216019">
            <w:pPr>
              <w:rPr>
                <w:sz w:val="22"/>
              </w:rPr>
            </w:pPr>
          </w:p>
          <w:p w:rsidR="00000000" w:rsidRDefault="00216019">
            <w:pPr>
              <w:rPr>
                <w:sz w:val="22"/>
              </w:rPr>
            </w:pPr>
          </w:p>
          <w:p w:rsidR="00000000" w:rsidRDefault="00216019">
            <w:pPr>
              <w:rPr>
                <w:sz w:val="22"/>
              </w:rPr>
            </w:pPr>
            <w:r>
              <w:rPr>
                <w:sz w:val="22"/>
              </w:rPr>
              <w:t>The benefits and pricing make provision for inpatient days and outpatient visits.  Intent was not to exclude service locations.</w:t>
            </w:r>
          </w:p>
          <w:p w:rsidR="00000000" w:rsidRDefault="00216019">
            <w:pPr>
              <w:rPr>
                <w:sz w:val="22"/>
                <w:u w:val="single"/>
              </w:rPr>
            </w:pPr>
          </w:p>
          <w:p w:rsidR="00000000" w:rsidRDefault="00216019">
            <w:pPr>
              <w:rPr>
                <w:sz w:val="22"/>
                <w:u w:val="single"/>
              </w:rPr>
            </w:pPr>
          </w:p>
          <w:p w:rsidR="00000000" w:rsidRDefault="00216019">
            <w:pPr>
              <w:rPr>
                <w:sz w:val="22"/>
                <w:u w:val="single"/>
              </w:rPr>
            </w:pPr>
          </w:p>
          <w:p w:rsidR="00000000" w:rsidRDefault="00216019">
            <w:pPr>
              <w:rPr>
                <w:sz w:val="22"/>
                <w:u w:val="single"/>
              </w:rPr>
            </w:pPr>
          </w:p>
          <w:p w:rsidR="00000000" w:rsidRDefault="00216019">
            <w:pPr>
              <w:rPr>
                <w:sz w:val="22"/>
              </w:rPr>
            </w:pPr>
          </w:p>
          <w:p w:rsidR="00000000" w:rsidRDefault="00216019">
            <w:pPr>
              <w:rPr>
                <w:sz w:val="22"/>
              </w:rPr>
            </w:pPr>
          </w:p>
          <w:p w:rsidR="00000000" w:rsidRDefault="00216019">
            <w:pPr>
              <w:rPr>
                <w:sz w:val="22"/>
              </w:rPr>
            </w:pPr>
            <w:r>
              <w:rPr>
                <w:sz w:val="22"/>
              </w:rPr>
              <w:t>Cost is</w:t>
            </w:r>
            <w:r>
              <w:rPr>
                <w:sz w:val="22"/>
              </w:rPr>
              <w:t xml:space="preserve"> dependent on what method the quality assurance committee would recommend to determine adequate access.</w:t>
            </w:r>
          </w:p>
          <w:p w:rsidR="00000000" w:rsidRDefault="00216019">
            <w:pPr>
              <w:rPr>
                <w:sz w:val="22"/>
              </w:rPr>
            </w:pPr>
          </w:p>
          <w:p w:rsidR="00000000" w:rsidRDefault="00216019">
            <w:pPr>
              <w:rPr>
                <w:sz w:val="22"/>
              </w:rPr>
            </w:pPr>
          </w:p>
          <w:p w:rsidR="00000000" w:rsidRDefault="00216019">
            <w:pPr>
              <w:rPr>
                <w:sz w:val="22"/>
              </w:rPr>
            </w:pPr>
            <w:r>
              <w:rPr>
                <w:sz w:val="22"/>
              </w:rPr>
              <w:t>A cost estimate is not necessary for this.</w:t>
            </w:r>
          </w:p>
          <w:p w:rsidR="00000000" w:rsidRDefault="00216019">
            <w:pPr>
              <w:rPr>
                <w:sz w:val="22"/>
                <w:u w:val="single"/>
              </w:rPr>
            </w:pPr>
          </w:p>
          <w:p w:rsidR="00000000" w:rsidRDefault="00216019">
            <w:pPr>
              <w:rPr>
                <w:sz w:val="22"/>
                <w:u w:val="single"/>
              </w:rPr>
            </w:pPr>
          </w:p>
          <w:p w:rsidR="00000000" w:rsidRDefault="00216019">
            <w:pPr>
              <w:rPr>
                <w:sz w:val="22"/>
                <w:u w:val="single"/>
              </w:rPr>
            </w:pPr>
          </w:p>
        </w:tc>
      </w:tr>
      <w:tr w:rsidR="00000000">
        <w:tblPrEx>
          <w:tblCellMar>
            <w:top w:w="0" w:type="dxa"/>
            <w:bottom w:w="0" w:type="dxa"/>
          </w:tblCellMar>
        </w:tblPrEx>
        <w:tc>
          <w:tcPr>
            <w:tcW w:w="4608" w:type="dxa"/>
          </w:tcPr>
          <w:p w:rsidR="00000000" w:rsidRDefault="00216019">
            <w:pPr>
              <w:rPr>
                <w:sz w:val="22"/>
              </w:rPr>
            </w:pPr>
            <w:r>
              <w:rPr>
                <w:sz w:val="22"/>
              </w:rPr>
              <w:lastRenderedPageBreak/>
              <w:t>5.  Nutrition Services.</w:t>
            </w:r>
          </w:p>
          <w:p w:rsidR="00000000" w:rsidRDefault="00216019">
            <w:pPr>
              <w:rPr>
                <w:sz w:val="22"/>
              </w:rPr>
            </w:pPr>
            <w:r>
              <w:rPr>
                <w:sz w:val="22"/>
              </w:rPr>
              <w:t>Medically necessary nutrition services should be covered by a license dietitian</w:t>
            </w:r>
            <w:r>
              <w:rPr>
                <w:sz w:val="22"/>
              </w:rPr>
              <w:t xml:space="preserve"> with a physician’s referral. </w:t>
            </w:r>
          </w:p>
          <w:p w:rsidR="00000000" w:rsidRDefault="00216019">
            <w:pPr>
              <w:rPr>
                <w:sz w:val="22"/>
              </w:rPr>
            </w:pPr>
            <w:r>
              <w:rPr>
                <w:sz w:val="22"/>
              </w:rPr>
              <w:t xml:space="preserve">Provide for nutrition services beyond basic </w:t>
            </w:r>
            <w:r>
              <w:rPr>
                <w:sz w:val="22"/>
              </w:rPr>
              <w:lastRenderedPageBreak/>
              <w:t>nutrition when it is medically necessary.</w:t>
            </w:r>
          </w:p>
        </w:tc>
        <w:tc>
          <w:tcPr>
            <w:tcW w:w="5040" w:type="dxa"/>
          </w:tcPr>
          <w:p w:rsidR="00000000" w:rsidRDefault="00216019">
            <w:pPr>
              <w:rPr>
                <w:sz w:val="22"/>
              </w:rPr>
            </w:pPr>
          </w:p>
          <w:p w:rsidR="00000000" w:rsidRDefault="00216019">
            <w:pPr>
              <w:rPr>
                <w:sz w:val="22"/>
              </w:rPr>
            </w:pPr>
            <w:r>
              <w:rPr>
                <w:sz w:val="22"/>
              </w:rPr>
              <w:t xml:space="preserve">Iowa Health Solutions covers medically necessary nutritional services.  In certain cases allow coverage for medically necessary formulas. </w:t>
            </w:r>
            <w:r>
              <w:rPr>
                <w:sz w:val="22"/>
              </w:rPr>
              <w:t xml:space="preserve"> Each case is reviewed individually by the </w:t>
            </w:r>
            <w:r>
              <w:rPr>
                <w:sz w:val="22"/>
              </w:rPr>
              <w:lastRenderedPageBreak/>
              <w:t>utilization management department and the medical director.</w:t>
            </w:r>
          </w:p>
          <w:p w:rsidR="00000000" w:rsidRDefault="00216019">
            <w:pPr>
              <w:rPr>
                <w:sz w:val="22"/>
              </w:rPr>
            </w:pPr>
          </w:p>
          <w:p w:rsidR="00000000" w:rsidRDefault="00216019">
            <w:pPr>
              <w:rPr>
                <w:sz w:val="22"/>
              </w:rPr>
            </w:pPr>
            <w:r>
              <w:rPr>
                <w:sz w:val="22"/>
              </w:rPr>
              <w:t xml:space="preserve">John Deere covers nutrition counseling for certain diagnoses: cardiac, hypertension, and diabetes.  Other diagnoses would require a benefit exception.  </w:t>
            </w:r>
            <w:r>
              <w:rPr>
                <w:sz w:val="22"/>
              </w:rPr>
              <w:t>Nutritional supplies, including infant formulas, are excluded.</w:t>
            </w:r>
          </w:p>
          <w:p w:rsidR="00000000" w:rsidRDefault="00216019">
            <w:pPr>
              <w:rPr>
                <w:sz w:val="22"/>
              </w:rPr>
            </w:pPr>
          </w:p>
          <w:p w:rsidR="00000000" w:rsidRDefault="00216019">
            <w:pPr>
              <w:rPr>
                <w:sz w:val="22"/>
              </w:rPr>
            </w:pPr>
            <w:r>
              <w:rPr>
                <w:sz w:val="22"/>
              </w:rPr>
              <w:t xml:space="preserve">Wellmark Classic Blue does not cover nutrition education except in connection with outpatient diabetes education programs.  </w:t>
            </w:r>
          </w:p>
          <w:p w:rsidR="00000000" w:rsidRDefault="00216019">
            <w:pPr>
              <w:rPr>
                <w:sz w:val="22"/>
              </w:rPr>
            </w:pPr>
            <w:r>
              <w:rPr>
                <w:sz w:val="22"/>
              </w:rPr>
              <w:t>Wellmark covers services provided by a dietician when billed by the</w:t>
            </w:r>
            <w:r>
              <w:rPr>
                <w:sz w:val="22"/>
              </w:rPr>
              <w:t xml:space="preserve"> employing facility or physician and covers all feedings/formula that are given via a tube or when they are the sole source of nutrition.  Examples would include hydrolysate formulas and PKU formulas.  Members needing formula feedings receive case manageme</w:t>
            </w:r>
            <w:r>
              <w:rPr>
                <w:sz w:val="22"/>
              </w:rPr>
              <w:t xml:space="preserve">nt services. </w:t>
            </w:r>
          </w:p>
          <w:p w:rsidR="00000000" w:rsidRDefault="00216019">
            <w:pPr>
              <w:rPr>
                <w:sz w:val="22"/>
              </w:rPr>
            </w:pPr>
          </w:p>
        </w:tc>
        <w:tc>
          <w:tcPr>
            <w:tcW w:w="5040" w:type="dxa"/>
          </w:tcPr>
          <w:p w:rsidR="00000000" w:rsidRDefault="00216019">
            <w:pPr>
              <w:rPr>
                <w:sz w:val="22"/>
                <w:u w:val="single"/>
              </w:rPr>
            </w:pPr>
            <w:r>
              <w:rPr>
                <w:sz w:val="22"/>
                <w:u w:val="single"/>
              </w:rPr>
              <w:lastRenderedPageBreak/>
              <w:t>Cost estimate for nutrition services:</w:t>
            </w:r>
          </w:p>
          <w:p w:rsidR="00000000" w:rsidRDefault="00216019">
            <w:pPr>
              <w:rPr>
                <w:sz w:val="22"/>
                <w:u w:val="single"/>
              </w:rPr>
            </w:pPr>
            <w:r>
              <w:rPr>
                <w:sz w:val="22"/>
                <w:u w:val="single"/>
              </w:rPr>
              <w:t>$16- $17 per half hour, with an estimated frequency of 200/1000/year = .27 per member per month to .28 per member per month</w:t>
            </w:r>
          </w:p>
          <w:p w:rsidR="00000000" w:rsidRDefault="00216019">
            <w:pPr>
              <w:rPr>
                <w:sz w:val="22"/>
              </w:rPr>
            </w:pPr>
          </w:p>
          <w:p w:rsidR="00000000" w:rsidRDefault="00216019">
            <w:pPr>
              <w:rPr>
                <w:sz w:val="22"/>
              </w:rPr>
            </w:pPr>
            <w:r>
              <w:rPr>
                <w:sz w:val="22"/>
              </w:rPr>
              <w:lastRenderedPageBreak/>
              <w:t>2003 projected avg. monthly eligibles = 16,139</w:t>
            </w:r>
          </w:p>
          <w:p w:rsidR="00000000" w:rsidRDefault="00216019">
            <w:pPr>
              <w:rPr>
                <w:sz w:val="22"/>
              </w:rPr>
            </w:pPr>
            <w:r>
              <w:rPr>
                <w:sz w:val="22"/>
              </w:rPr>
              <w:t>.27 x 16, 139 = $4,357.53 per m</w:t>
            </w:r>
            <w:r>
              <w:rPr>
                <w:sz w:val="22"/>
              </w:rPr>
              <w:t>onth x 12 mos. =</w:t>
            </w:r>
          </w:p>
          <w:p w:rsidR="00000000" w:rsidRDefault="00216019">
            <w:pPr>
              <w:rPr>
                <w:sz w:val="22"/>
              </w:rPr>
            </w:pPr>
            <w:r>
              <w:rPr>
                <w:sz w:val="22"/>
              </w:rPr>
              <w:t xml:space="preserve"> Total annual cost  $52,290 </w:t>
            </w:r>
          </w:p>
          <w:p w:rsidR="00000000" w:rsidRDefault="00216019">
            <w:pPr>
              <w:rPr>
                <w:sz w:val="22"/>
              </w:rPr>
            </w:pPr>
            <w:r>
              <w:rPr>
                <w:sz w:val="22"/>
              </w:rPr>
              <w:t xml:space="preserve">                                 $13,360 State $</w:t>
            </w:r>
          </w:p>
          <w:p w:rsidR="00000000" w:rsidRDefault="00216019">
            <w:pPr>
              <w:rPr>
                <w:sz w:val="22"/>
              </w:rPr>
            </w:pPr>
            <w:r>
              <w:rPr>
                <w:sz w:val="22"/>
              </w:rPr>
              <w:t xml:space="preserve">                                 $38,390 Federal $        </w:t>
            </w:r>
          </w:p>
          <w:p w:rsidR="00000000" w:rsidRDefault="00216019">
            <w:pPr>
              <w:rPr>
                <w:sz w:val="22"/>
                <w:u w:val="single"/>
              </w:rPr>
            </w:pPr>
          </w:p>
          <w:p w:rsidR="00000000" w:rsidRDefault="00216019">
            <w:pPr>
              <w:rPr>
                <w:sz w:val="22"/>
              </w:rPr>
            </w:pPr>
            <w:r>
              <w:rPr>
                <w:sz w:val="22"/>
              </w:rPr>
              <w:t>2003 projected avg. monthly eligibles = 16,139</w:t>
            </w:r>
          </w:p>
          <w:p w:rsidR="00000000" w:rsidRDefault="00216019">
            <w:pPr>
              <w:rPr>
                <w:sz w:val="22"/>
              </w:rPr>
            </w:pPr>
            <w:r>
              <w:rPr>
                <w:sz w:val="22"/>
              </w:rPr>
              <w:t>.28 x 16,139 = $4,518.92 per month x 12 mos. =</w:t>
            </w:r>
          </w:p>
          <w:p w:rsidR="00000000" w:rsidRDefault="00216019">
            <w:pPr>
              <w:rPr>
                <w:sz w:val="22"/>
              </w:rPr>
            </w:pPr>
            <w:r>
              <w:rPr>
                <w:sz w:val="22"/>
              </w:rPr>
              <w:t xml:space="preserve"> Total </w:t>
            </w:r>
            <w:r>
              <w:rPr>
                <w:sz w:val="22"/>
              </w:rPr>
              <w:t xml:space="preserve">annual cost  $54,227 </w:t>
            </w:r>
          </w:p>
          <w:p w:rsidR="00000000" w:rsidRDefault="00216019">
            <w:pPr>
              <w:rPr>
                <w:sz w:val="22"/>
              </w:rPr>
            </w:pPr>
            <w:r>
              <w:rPr>
                <w:sz w:val="22"/>
              </w:rPr>
              <w:t xml:space="preserve">                                 $13,855 State $</w:t>
            </w:r>
          </w:p>
          <w:p w:rsidR="00000000" w:rsidRDefault="00216019">
            <w:pPr>
              <w:rPr>
                <w:sz w:val="22"/>
              </w:rPr>
            </w:pPr>
            <w:r>
              <w:rPr>
                <w:sz w:val="22"/>
              </w:rPr>
              <w:t xml:space="preserve">                                 $40,372 Federal $        </w:t>
            </w:r>
          </w:p>
          <w:p w:rsidR="00000000" w:rsidRDefault="00216019">
            <w:pPr>
              <w:rPr>
                <w:sz w:val="22"/>
                <w:u w:val="single"/>
              </w:rPr>
            </w:pPr>
          </w:p>
          <w:p w:rsidR="00000000" w:rsidRDefault="00216019">
            <w:pPr>
              <w:rPr>
                <w:sz w:val="22"/>
              </w:rPr>
            </w:pPr>
            <w:r>
              <w:rPr>
                <w:sz w:val="22"/>
              </w:rPr>
              <w:t>2004 projected avg. monthly eligibles = 20,163</w:t>
            </w:r>
          </w:p>
          <w:p w:rsidR="00000000" w:rsidRDefault="00216019">
            <w:pPr>
              <w:rPr>
                <w:sz w:val="22"/>
              </w:rPr>
            </w:pPr>
            <w:r>
              <w:rPr>
                <w:sz w:val="22"/>
              </w:rPr>
              <w:t>.27 x 20,163 = $5,444.01 per month x 12 mos. =</w:t>
            </w:r>
          </w:p>
          <w:p w:rsidR="00000000" w:rsidRDefault="00216019">
            <w:pPr>
              <w:rPr>
                <w:sz w:val="22"/>
              </w:rPr>
            </w:pPr>
            <w:r>
              <w:rPr>
                <w:sz w:val="22"/>
              </w:rPr>
              <w:t xml:space="preserve"> Total annual cost  $65,328 </w:t>
            </w:r>
          </w:p>
          <w:p w:rsidR="00000000" w:rsidRDefault="00216019">
            <w:pPr>
              <w:rPr>
                <w:sz w:val="22"/>
              </w:rPr>
            </w:pPr>
            <w:r>
              <w:rPr>
                <w:sz w:val="22"/>
              </w:rPr>
              <w:t xml:space="preserve">  </w:t>
            </w:r>
            <w:r>
              <w:rPr>
                <w:sz w:val="22"/>
              </w:rPr>
              <w:t xml:space="preserve">                               $16,691 State $</w:t>
            </w:r>
          </w:p>
          <w:p w:rsidR="00000000" w:rsidRDefault="00216019">
            <w:pPr>
              <w:rPr>
                <w:sz w:val="22"/>
              </w:rPr>
            </w:pPr>
            <w:r>
              <w:rPr>
                <w:sz w:val="22"/>
              </w:rPr>
              <w:t xml:space="preserve">                                 $48,637 Federal $        </w:t>
            </w:r>
          </w:p>
          <w:p w:rsidR="00000000" w:rsidRDefault="00216019">
            <w:pPr>
              <w:rPr>
                <w:sz w:val="22"/>
                <w:u w:val="single"/>
              </w:rPr>
            </w:pPr>
          </w:p>
          <w:p w:rsidR="00000000" w:rsidRDefault="00216019">
            <w:pPr>
              <w:rPr>
                <w:sz w:val="22"/>
              </w:rPr>
            </w:pPr>
            <w:r>
              <w:rPr>
                <w:sz w:val="22"/>
              </w:rPr>
              <w:t>2004 projected avg. monthly eligibles = 20,163</w:t>
            </w:r>
          </w:p>
          <w:p w:rsidR="00000000" w:rsidRDefault="00216019">
            <w:pPr>
              <w:rPr>
                <w:sz w:val="22"/>
              </w:rPr>
            </w:pPr>
            <w:r>
              <w:rPr>
                <w:sz w:val="22"/>
              </w:rPr>
              <w:t>.28 x 20,163 = $5,645.64 per month x 12 mos. =</w:t>
            </w:r>
          </w:p>
          <w:p w:rsidR="00000000" w:rsidRDefault="00216019">
            <w:pPr>
              <w:rPr>
                <w:sz w:val="22"/>
              </w:rPr>
            </w:pPr>
            <w:r>
              <w:rPr>
                <w:sz w:val="22"/>
              </w:rPr>
              <w:t xml:space="preserve"> Total annual cost  $67,748 </w:t>
            </w:r>
          </w:p>
          <w:p w:rsidR="00000000" w:rsidRDefault="00216019">
            <w:pPr>
              <w:rPr>
                <w:sz w:val="22"/>
              </w:rPr>
            </w:pPr>
            <w:r>
              <w:rPr>
                <w:sz w:val="22"/>
              </w:rPr>
              <w:t xml:space="preserve">                          </w:t>
            </w:r>
            <w:r>
              <w:rPr>
                <w:sz w:val="22"/>
              </w:rPr>
              <w:t xml:space="preserve">       $17,310 State $</w:t>
            </w:r>
          </w:p>
          <w:p w:rsidR="00000000" w:rsidRDefault="00216019">
            <w:pPr>
              <w:rPr>
                <w:sz w:val="22"/>
              </w:rPr>
            </w:pPr>
            <w:r>
              <w:rPr>
                <w:sz w:val="22"/>
              </w:rPr>
              <w:t xml:space="preserve">                                 $50,438 Federal $        </w:t>
            </w:r>
          </w:p>
          <w:p w:rsidR="00000000" w:rsidRDefault="00216019">
            <w:pPr>
              <w:rPr>
                <w:sz w:val="22"/>
                <w:u w:val="single"/>
              </w:rPr>
            </w:pPr>
            <w:r>
              <w:rPr>
                <w:sz w:val="22"/>
                <w:u w:val="single"/>
              </w:rPr>
              <w:t>Cost estimate for nutritional supplements =</w:t>
            </w:r>
          </w:p>
          <w:p w:rsidR="00000000" w:rsidRDefault="00216019">
            <w:pPr>
              <w:rPr>
                <w:sz w:val="22"/>
              </w:rPr>
            </w:pPr>
            <w:r>
              <w:rPr>
                <w:sz w:val="22"/>
                <w:u w:val="single"/>
              </w:rPr>
              <w:t>.05 to .10 per member per month</w:t>
            </w:r>
          </w:p>
          <w:p w:rsidR="00000000" w:rsidRDefault="00216019">
            <w:pPr>
              <w:rPr>
                <w:sz w:val="22"/>
              </w:rPr>
            </w:pPr>
          </w:p>
          <w:p w:rsidR="00000000" w:rsidRDefault="00216019">
            <w:pPr>
              <w:rPr>
                <w:sz w:val="22"/>
              </w:rPr>
            </w:pPr>
            <w:r>
              <w:rPr>
                <w:sz w:val="22"/>
              </w:rPr>
              <w:t>2003 projected av. monthly eligibles = 16, 139</w:t>
            </w:r>
          </w:p>
          <w:p w:rsidR="00000000" w:rsidRDefault="00216019">
            <w:pPr>
              <w:rPr>
                <w:sz w:val="22"/>
              </w:rPr>
            </w:pPr>
            <w:r>
              <w:rPr>
                <w:sz w:val="22"/>
              </w:rPr>
              <w:t>.05 x 16,139 = $806.95 per month x 12 mos =</w:t>
            </w:r>
          </w:p>
          <w:p w:rsidR="00000000" w:rsidRDefault="00216019">
            <w:pPr>
              <w:rPr>
                <w:sz w:val="22"/>
              </w:rPr>
            </w:pPr>
            <w:r>
              <w:rPr>
                <w:sz w:val="22"/>
              </w:rPr>
              <w:t xml:space="preserve">Total </w:t>
            </w:r>
            <w:r>
              <w:rPr>
                <w:sz w:val="22"/>
              </w:rPr>
              <w:t xml:space="preserve">annual cost  $9,683 </w:t>
            </w:r>
          </w:p>
          <w:p w:rsidR="00000000" w:rsidRDefault="00216019">
            <w:pPr>
              <w:rPr>
                <w:sz w:val="22"/>
              </w:rPr>
            </w:pPr>
            <w:r>
              <w:rPr>
                <w:sz w:val="22"/>
              </w:rPr>
              <w:t xml:space="preserve">                                $ 2,474 State $</w:t>
            </w:r>
          </w:p>
          <w:p w:rsidR="00000000" w:rsidRDefault="00216019">
            <w:pPr>
              <w:rPr>
                <w:sz w:val="22"/>
                <w:u w:val="single"/>
              </w:rPr>
            </w:pPr>
            <w:r>
              <w:rPr>
                <w:sz w:val="22"/>
              </w:rPr>
              <w:t xml:space="preserve">                                $ 7,209 Federal $</w:t>
            </w:r>
          </w:p>
          <w:p w:rsidR="00000000" w:rsidRDefault="00216019">
            <w:pPr>
              <w:rPr>
                <w:sz w:val="22"/>
              </w:rPr>
            </w:pPr>
          </w:p>
          <w:p w:rsidR="00000000" w:rsidRDefault="00216019">
            <w:pPr>
              <w:rPr>
                <w:sz w:val="22"/>
              </w:rPr>
            </w:pPr>
            <w:r>
              <w:rPr>
                <w:sz w:val="22"/>
              </w:rPr>
              <w:t>.10 x 16,139 = $1,613.90 per month x 12 mos. =</w:t>
            </w:r>
          </w:p>
          <w:p w:rsidR="00000000" w:rsidRDefault="00216019">
            <w:pPr>
              <w:rPr>
                <w:sz w:val="22"/>
              </w:rPr>
            </w:pPr>
            <w:r>
              <w:rPr>
                <w:sz w:val="22"/>
              </w:rPr>
              <w:t xml:space="preserve">Total annual cost  $19,367 </w:t>
            </w:r>
          </w:p>
          <w:p w:rsidR="00000000" w:rsidRDefault="00216019">
            <w:pPr>
              <w:rPr>
                <w:sz w:val="22"/>
              </w:rPr>
            </w:pPr>
            <w:r>
              <w:rPr>
                <w:sz w:val="22"/>
              </w:rPr>
              <w:t xml:space="preserve">                                $  4,948 State $</w:t>
            </w:r>
          </w:p>
          <w:p w:rsidR="00000000" w:rsidRDefault="00216019">
            <w:pPr>
              <w:rPr>
                <w:sz w:val="22"/>
              </w:rPr>
            </w:pPr>
            <w:r>
              <w:rPr>
                <w:sz w:val="22"/>
              </w:rPr>
              <w:t xml:space="preserve">            </w:t>
            </w:r>
            <w:r>
              <w:rPr>
                <w:sz w:val="22"/>
              </w:rPr>
              <w:t xml:space="preserve">                    $ 14,419 Federal $</w:t>
            </w:r>
          </w:p>
          <w:p w:rsidR="00000000" w:rsidRDefault="00216019">
            <w:pPr>
              <w:rPr>
                <w:sz w:val="22"/>
              </w:rPr>
            </w:pPr>
          </w:p>
          <w:p w:rsidR="00000000" w:rsidRDefault="00216019">
            <w:pPr>
              <w:rPr>
                <w:sz w:val="22"/>
              </w:rPr>
            </w:pPr>
            <w:r>
              <w:rPr>
                <w:sz w:val="22"/>
              </w:rPr>
              <w:t>2004 projected av. monthly eligibles = 20,163</w:t>
            </w:r>
          </w:p>
          <w:p w:rsidR="00000000" w:rsidRDefault="00216019">
            <w:pPr>
              <w:rPr>
                <w:sz w:val="22"/>
              </w:rPr>
            </w:pPr>
            <w:r>
              <w:rPr>
                <w:sz w:val="22"/>
              </w:rPr>
              <w:t>.05 x 20,163 = $1,008.15 per month x 12 mos =</w:t>
            </w:r>
          </w:p>
          <w:p w:rsidR="00000000" w:rsidRDefault="00216019">
            <w:pPr>
              <w:rPr>
                <w:sz w:val="22"/>
              </w:rPr>
            </w:pPr>
            <w:r>
              <w:rPr>
                <w:sz w:val="22"/>
              </w:rPr>
              <w:t>Total annual cost  $12,098</w:t>
            </w:r>
          </w:p>
          <w:p w:rsidR="00000000" w:rsidRDefault="00216019">
            <w:pPr>
              <w:rPr>
                <w:sz w:val="22"/>
              </w:rPr>
            </w:pPr>
            <w:r>
              <w:rPr>
                <w:sz w:val="22"/>
              </w:rPr>
              <w:lastRenderedPageBreak/>
              <w:t xml:space="preserve">                                $ 3,091 State $</w:t>
            </w:r>
          </w:p>
          <w:p w:rsidR="00000000" w:rsidRDefault="00216019">
            <w:pPr>
              <w:rPr>
                <w:sz w:val="22"/>
                <w:u w:val="single"/>
              </w:rPr>
            </w:pPr>
            <w:r>
              <w:rPr>
                <w:sz w:val="22"/>
              </w:rPr>
              <w:t xml:space="preserve">                                $ 9,007 Federal $</w:t>
            </w:r>
          </w:p>
          <w:p w:rsidR="00000000" w:rsidRDefault="00216019">
            <w:pPr>
              <w:rPr>
                <w:sz w:val="22"/>
              </w:rPr>
            </w:pPr>
          </w:p>
          <w:p w:rsidR="00000000" w:rsidRDefault="00216019">
            <w:pPr>
              <w:rPr>
                <w:sz w:val="22"/>
              </w:rPr>
            </w:pPr>
            <w:r>
              <w:rPr>
                <w:sz w:val="22"/>
              </w:rPr>
              <w:t>.10 x 20,163 = $2,016.63 per month x 12 mos. =</w:t>
            </w:r>
          </w:p>
          <w:p w:rsidR="00000000" w:rsidRDefault="00216019">
            <w:pPr>
              <w:rPr>
                <w:sz w:val="22"/>
              </w:rPr>
            </w:pPr>
            <w:r>
              <w:rPr>
                <w:sz w:val="22"/>
              </w:rPr>
              <w:t xml:space="preserve">Total annual cost  $24,196 </w:t>
            </w:r>
          </w:p>
          <w:p w:rsidR="00000000" w:rsidRDefault="00216019">
            <w:pPr>
              <w:rPr>
                <w:sz w:val="22"/>
              </w:rPr>
            </w:pPr>
            <w:r>
              <w:rPr>
                <w:sz w:val="22"/>
              </w:rPr>
              <w:t xml:space="preserve">                                $  6,182 State $</w:t>
            </w:r>
          </w:p>
          <w:p w:rsidR="00000000" w:rsidRDefault="00216019">
            <w:pPr>
              <w:rPr>
                <w:sz w:val="22"/>
              </w:rPr>
            </w:pPr>
            <w:r>
              <w:rPr>
                <w:sz w:val="22"/>
              </w:rPr>
              <w:t xml:space="preserve">                                $ 18,014 Federal $</w:t>
            </w:r>
          </w:p>
        </w:tc>
      </w:tr>
      <w:tr w:rsidR="00000000">
        <w:tblPrEx>
          <w:tblCellMar>
            <w:top w:w="0" w:type="dxa"/>
            <w:bottom w:w="0" w:type="dxa"/>
          </w:tblCellMar>
        </w:tblPrEx>
        <w:tc>
          <w:tcPr>
            <w:tcW w:w="4608" w:type="dxa"/>
          </w:tcPr>
          <w:p w:rsidR="00000000" w:rsidRDefault="00216019">
            <w:pPr>
              <w:rPr>
                <w:sz w:val="22"/>
              </w:rPr>
            </w:pPr>
            <w:r>
              <w:rPr>
                <w:sz w:val="22"/>
              </w:rPr>
              <w:lastRenderedPageBreak/>
              <w:t>Physical and Occupational therapy services.</w:t>
            </w:r>
          </w:p>
        </w:tc>
        <w:tc>
          <w:tcPr>
            <w:tcW w:w="5040" w:type="dxa"/>
          </w:tcPr>
          <w:p w:rsidR="00000000" w:rsidRDefault="00216019">
            <w:pPr>
              <w:rPr>
                <w:sz w:val="22"/>
              </w:rPr>
            </w:pPr>
            <w:r>
              <w:rPr>
                <w:sz w:val="22"/>
              </w:rPr>
              <w:t>IHS covers physical and occupation</w:t>
            </w:r>
            <w:r>
              <w:rPr>
                <w:sz w:val="22"/>
              </w:rPr>
              <w:t xml:space="preserve">al therapy.  John Deere covers physical and occupational therapy with a physician’s referral.  Wellmark covers physical therapy. Occupational therapy is limited to services to treat the upper extremities.  </w:t>
            </w:r>
          </w:p>
        </w:tc>
        <w:tc>
          <w:tcPr>
            <w:tcW w:w="5040" w:type="dxa"/>
          </w:tcPr>
          <w:p w:rsidR="00000000" w:rsidRDefault="00216019">
            <w:pPr>
              <w:rPr>
                <w:sz w:val="22"/>
              </w:rPr>
            </w:pPr>
            <w:r>
              <w:rPr>
                <w:sz w:val="22"/>
              </w:rPr>
              <w:t xml:space="preserve">The current pricing assumptions include physical </w:t>
            </w:r>
            <w:r>
              <w:rPr>
                <w:sz w:val="22"/>
              </w:rPr>
              <w:t xml:space="preserve">and occupational therapy on an inpatient and outpatient basis. </w:t>
            </w:r>
          </w:p>
        </w:tc>
      </w:tr>
    </w:tbl>
    <w:p w:rsidR="00000000" w:rsidRDefault="00216019">
      <w:pPr>
        <w:rPr>
          <w:b/>
        </w:rPr>
      </w:pPr>
    </w:p>
    <w:p w:rsidR="00000000" w:rsidRDefault="00216019">
      <w:pPr>
        <w:rPr>
          <w:b/>
        </w:rPr>
      </w:pPr>
      <w:r>
        <w:rPr>
          <w:b/>
        </w:rPr>
        <w:br w:type="page"/>
      </w:r>
    </w:p>
    <w:tbl>
      <w:tblPr>
        <w:tblW w:w="0" w:type="auto"/>
        <w:tblLayout w:type="fixed"/>
        <w:tblCellMar>
          <w:left w:w="30" w:type="dxa"/>
          <w:right w:w="30" w:type="dxa"/>
        </w:tblCellMar>
        <w:tblLook w:val="0000"/>
      </w:tblPr>
      <w:tblGrid>
        <w:gridCol w:w="5790"/>
        <w:gridCol w:w="1620"/>
        <w:gridCol w:w="1530"/>
        <w:gridCol w:w="1440"/>
        <w:gridCol w:w="1530"/>
      </w:tblGrid>
      <w:tr w:rsidR="00000000">
        <w:tblPrEx>
          <w:tblCellMar>
            <w:top w:w="0" w:type="dxa"/>
            <w:bottom w:w="0" w:type="dxa"/>
          </w:tblCellMar>
        </w:tblPrEx>
        <w:trPr>
          <w:trHeight w:val="259"/>
        </w:trPr>
        <w:tc>
          <w:tcPr>
            <w:tcW w:w="5790" w:type="dxa"/>
          </w:tcPr>
          <w:p w:rsidR="00000000" w:rsidRDefault="00216019">
            <w:pPr>
              <w:jc w:val="right"/>
              <w:rPr>
                <w:snapToGrid w:val="0"/>
                <w:color w:val="000000"/>
                <w:sz w:val="20"/>
              </w:rPr>
            </w:pPr>
            <w:r>
              <w:br w:type="page"/>
            </w:r>
          </w:p>
        </w:tc>
        <w:tc>
          <w:tcPr>
            <w:tcW w:w="1620" w:type="dxa"/>
            <w:tcBorders>
              <w:bottom w:val="single" w:sz="4" w:space="0" w:color="auto"/>
            </w:tcBorders>
          </w:tcPr>
          <w:p w:rsidR="00000000" w:rsidRDefault="00216019">
            <w:pPr>
              <w:rPr>
                <w:snapToGrid w:val="0"/>
                <w:color w:val="000000"/>
                <w:sz w:val="20"/>
              </w:rPr>
            </w:pPr>
            <w:r>
              <w:rPr>
                <w:snapToGrid w:val="0"/>
                <w:color w:val="000000"/>
                <w:sz w:val="20"/>
              </w:rPr>
              <w:t>FY 03</w:t>
            </w:r>
          </w:p>
        </w:tc>
        <w:tc>
          <w:tcPr>
            <w:tcW w:w="1530" w:type="dxa"/>
            <w:tcBorders>
              <w:bottom w:val="single" w:sz="4" w:space="0" w:color="auto"/>
            </w:tcBorders>
          </w:tcPr>
          <w:p w:rsidR="00000000" w:rsidRDefault="00216019">
            <w:pPr>
              <w:rPr>
                <w:snapToGrid w:val="0"/>
                <w:color w:val="000000"/>
                <w:sz w:val="20"/>
              </w:rPr>
            </w:pPr>
            <w:r>
              <w:rPr>
                <w:snapToGrid w:val="0"/>
                <w:color w:val="000000"/>
                <w:sz w:val="20"/>
              </w:rPr>
              <w:t>FY 03</w:t>
            </w:r>
          </w:p>
        </w:tc>
        <w:tc>
          <w:tcPr>
            <w:tcW w:w="1440" w:type="dxa"/>
            <w:tcBorders>
              <w:bottom w:val="single" w:sz="4" w:space="0" w:color="auto"/>
            </w:tcBorders>
          </w:tcPr>
          <w:p w:rsidR="00000000" w:rsidRDefault="00216019">
            <w:pPr>
              <w:rPr>
                <w:snapToGrid w:val="0"/>
                <w:color w:val="000000"/>
                <w:sz w:val="20"/>
              </w:rPr>
            </w:pPr>
            <w:r>
              <w:rPr>
                <w:snapToGrid w:val="0"/>
                <w:color w:val="000000"/>
                <w:sz w:val="20"/>
              </w:rPr>
              <w:t>FY 04</w:t>
            </w:r>
          </w:p>
        </w:tc>
        <w:tc>
          <w:tcPr>
            <w:tcW w:w="1530" w:type="dxa"/>
            <w:tcBorders>
              <w:bottom w:val="single" w:sz="4" w:space="0" w:color="auto"/>
            </w:tcBorders>
          </w:tcPr>
          <w:p w:rsidR="00000000" w:rsidRDefault="00216019">
            <w:pPr>
              <w:rPr>
                <w:snapToGrid w:val="0"/>
                <w:color w:val="000000"/>
                <w:sz w:val="20"/>
              </w:rPr>
            </w:pPr>
            <w:r>
              <w:rPr>
                <w:snapToGrid w:val="0"/>
                <w:color w:val="000000"/>
                <w:sz w:val="20"/>
              </w:rPr>
              <w:t>FY 04</w:t>
            </w:r>
          </w:p>
        </w:tc>
      </w:tr>
      <w:tr w:rsidR="00000000">
        <w:tblPrEx>
          <w:tblCellMar>
            <w:top w:w="0" w:type="dxa"/>
            <w:bottom w:w="0" w:type="dxa"/>
          </w:tblCellMar>
        </w:tblPrEx>
        <w:trPr>
          <w:trHeight w:val="279"/>
        </w:trPr>
        <w:tc>
          <w:tcPr>
            <w:tcW w:w="5790" w:type="dxa"/>
          </w:tcPr>
          <w:p w:rsidR="00000000" w:rsidRDefault="00216019">
            <w:pPr>
              <w:rPr>
                <w:snapToGrid w:val="0"/>
                <w:color w:val="000000"/>
                <w:sz w:val="20"/>
              </w:rPr>
            </w:pPr>
            <w:r>
              <w:rPr>
                <w:snapToGrid w:val="0"/>
                <w:color w:val="000000"/>
                <w:sz w:val="20"/>
              </w:rPr>
              <w:t xml:space="preserve"> All Recommendations  </w:t>
            </w:r>
          </w:p>
        </w:tc>
        <w:tc>
          <w:tcPr>
            <w:tcW w:w="1620" w:type="dxa"/>
            <w:tcBorders>
              <w:bottom w:val="single" w:sz="4" w:space="0" w:color="auto"/>
            </w:tcBorders>
          </w:tcPr>
          <w:p w:rsidR="00000000" w:rsidRDefault="00216019">
            <w:pPr>
              <w:rPr>
                <w:snapToGrid w:val="0"/>
                <w:color w:val="000000"/>
                <w:sz w:val="20"/>
              </w:rPr>
            </w:pPr>
            <w:r>
              <w:rPr>
                <w:snapToGrid w:val="0"/>
                <w:color w:val="000000"/>
                <w:sz w:val="20"/>
              </w:rPr>
              <w:t xml:space="preserve">Minimum Costs </w:t>
            </w:r>
          </w:p>
        </w:tc>
        <w:tc>
          <w:tcPr>
            <w:tcW w:w="1530" w:type="dxa"/>
            <w:tcBorders>
              <w:bottom w:val="single" w:sz="4" w:space="0" w:color="auto"/>
            </w:tcBorders>
          </w:tcPr>
          <w:p w:rsidR="00000000" w:rsidRDefault="00216019">
            <w:pPr>
              <w:rPr>
                <w:snapToGrid w:val="0"/>
                <w:color w:val="000000"/>
                <w:sz w:val="20"/>
              </w:rPr>
            </w:pPr>
            <w:r>
              <w:rPr>
                <w:snapToGrid w:val="0"/>
                <w:color w:val="000000"/>
                <w:sz w:val="20"/>
              </w:rPr>
              <w:t>Maximum Costs</w:t>
            </w:r>
          </w:p>
        </w:tc>
        <w:tc>
          <w:tcPr>
            <w:tcW w:w="1440" w:type="dxa"/>
            <w:tcBorders>
              <w:bottom w:val="single" w:sz="4" w:space="0" w:color="auto"/>
            </w:tcBorders>
          </w:tcPr>
          <w:p w:rsidR="00000000" w:rsidRDefault="00216019">
            <w:pPr>
              <w:rPr>
                <w:snapToGrid w:val="0"/>
                <w:color w:val="000000"/>
                <w:sz w:val="20"/>
              </w:rPr>
            </w:pPr>
            <w:r>
              <w:rPr>
                <w:snapToGrid w:val="0"/>
                <w:color w:val="000000"/>
                <w:sz w:val="20"/>
              </w:rPr>
              <w:t xml:space="preserve">Minimum Costs </w:t>
            </w:r>
          </w:p>
        </w:tc>
        <w:tc>
          <w:tcPr>
            <w:tcW w:w="1530" w:type="dxa"/>
            <w:tcBorders>
              <w:bottom w:val="single" w:sz="4" w:space="0" w:color="auto"/>
            </w:tcBorders>
          </w:tcPr>
          <w:p w:rsidR="00000000" w:rsidRDefault="00216019">
            <w:pPr>
              <w:rPr>
                <w:snapToGrid w:val="0"/>
                <w:color w:val="000000"/>
                <w:sz w:val="20"/>
              </w:rPr>
            </w:pPr>
            <w:r>
              <w:rPr>
                <w:snapToGrid w:val="0"/>
                <w:color w:val="000000"/>
                <w:sz w:val="20"/>
              </w:rPr>
              <w:t xml:space="preserve">Maximum Costs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 xml:space="preserve"> Care Coordination with health plan </w:t>
            </w:r>
          </w:p>
        </w:tc>
        <w:tc>
          <w:tcPr>
            <w:tcW w:w="1620" w:type="dxa"/>
          </w:tcPr>
          <w:p w:rsidR="00000000" w:rsidRDefault="00216019">
            <w:pPr>
              <w:jc w:val="right"/>
              <w:rPr>
                <w:snapToGrid w:val="0"/>
                <w:color w:val="000000"/>
                <w:sz w:val="20"/>
              </w:rPr>
            </w:pPr>
            <w:r>
              <w:rPr>
                <w:snapToGrid w:val="0"/>
                <w:color w:val="000000"/>
                <w:sz w:val="20"/>
              </w:rPr>
              <w:t xml:space="preserve"> $     96,834 </w:t>
            </w:r>
          </w:p>
        </w:tc>
        <w:tc>
          <w:tcPr>
            <w:tcW w:w="1530" w:type="dxa"/>
          </w:tcPr>
          <w:p w:rsidR="00000000" w:rsidRDefault="00216019">
            <w:pPr>
              <w:jc w:val="right"/>
              <w:rPr>
                <w:snapToGrid w:val="0"/>
                <w:color w:val="000000"/>
                <w:sz w:val="20"/>
              </w:rPr>
            </w:pPr>
            <w:r>
              <w:rPr>
                <w:snapToGrid w:val="0"/>
                <w:color w:val="000000"/>
                <w:sz w:val="20"/>
              </w:rPr>
              <w:t xml:space="preserve"> $   145,251 </w:t>
            </w:r>
          </w:p>
        </w:tc>
        <w:tc>
          <w:tcPr>
            <w:tcW w:w="1440" w:type="dxa"/>
          </w:tcPr>
          <w:p w:rsidR="00000000" w:rsidRDefault="00216019">
            <w:pPr>
              <w:jc w:val="right"/>
              <w:rPr>
                <w:snapToGrid w:val="0"/>
                <w:color w:val="000000"/>
                <w:sz w:val="20"/>
              </w:rPr>
            </w:pPr>
            <w:r>
              <w:rPr>
                <w:snapToGrid w:val="0"/>
                <w:color w:val="000000"/>
                <w:sz w:val="20"/>
              </w:rPr>
              <w:t xml:space="preserve"> $    120,97</w:t>
            </w:r>
            <w:r>
              <w:rPr>
                <w:snapToGrid w:val="0"/>
                <w:color w:val="000000"/>
                <w:sz w:val="20"/>
              </w:rPr>
              <w:t xml:space="preserve">8 </w:t>
            </w:r>
          </w:p>
        </w:tc>
        <w:tc>
          <w:tcPr>
            <w:tcW w:w="1530" w:type="dxa"/>
          </w:tcPr>
          <w:p w:rsidR="00000000" w:rsidRDefault="00216019">
            <w:pPr>
              <w:jc w:val="right"/>
              <w:rPr>
                <w:snapToGrid w:val="0"/>
                <w:color w:val="000000"/>
                <w:sz w:val="20"/>
              </w:rPr>
            </w:pPr>
            <w:r>
              <w:rPr>
                <w:snapToGrid w:val="0"/>
                <w:color w:val="000000"/>
                <w:sz w:val="20"/>
              </w:rPr>
              <w:t xml:space="preserve"> $    181,467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 xml:space="preserve"> Carve out care coordination </w:t>
            </w:r>
          </w:p>
        </w:tc>
        <w:tc>
          <w:tcPr>
            <w:tcW w:w="1620" w:type="dxa"/>
          </w:tcPr>
          <w:p w:rsidR="00000000" w:rsidRDefault="00216019">
            <w:pPr>
              <w:jc w:val="right"/>
              <w:rPr>
                <w:snapToGrid w:val="0"/>
                <w:color w:val="000000"/>
                <w:sz w:val="20"/>
              </w:rPr>
            </w:pPr>
            <w:r>
              <w:rPr>
                <w:snapToGrid w:val="0"/>
                <w:color w:val="000000"/>
                <w:sz w:val="20"/>
              </w:rPr>
              <w:t xml:space="preserve"> $   319,556 </w:t>
            </w:r>
          </w:p>
        </w:tc>
        <w:tc>
          <w:tcPr>
            <w:tcW w:w="1530" w:type="dxa"/>
          </w:tcPr>
          <w:p w:rsidR="00000000" w:rsidRDefault="00216019">
            <w:pPr>
              <w:jc w:val="right"/>
              <w:rPr>
                <w:snapToGrid w:val="0"/>
                <w:color w:val="000000"/>
                <w:sz w:val="20"/>
              </w:rPr>
            </w:pPr>
            <w:r>
              <w:rPr>
                <w:snapToGrid w:val="0"/>
                <w:color w:val="000000"/>
                <w:sz w:val="20"/>
              </w:rPr>
              <w:t xml:space="preserve"> $   319,556 </w:t>
            </w:r>
          </w:p>
        </w:tc>
        <w:tc>
          <w:tcPr>
            <w:tcW w:w="1440" w:type="dxa"/>
          </w:tcPr>
          <w:p w:rsidR="00000000" w:rsidRDefault="00216019">
            <w:pPr>
              <w:jc w:val="right"/>
              <w:rPr>
                <w:snapToGrid w:val="0"/>
                <w:color w:val="000000"/>
                <w:sz w:val="20"/>
              </w:rPr>
            </w:pPr>
            <w:r>
              <w:rPr>
                <w:snapToGrid w:val="0"/>
                <w:color w:val="000000"/>
                <w:sz w:val="20"/>
              </w:rPr>
              <w:t xml:space="preserve"> $    399,231 </w:t>
            </w:r>
          </w:p>
        </w:tc>
        <w:tc>
          <w:tcPr>
            <w:tcW w:w="1530" w:type="dxa"/>
          </w:tcPr>
          <w:p w:rsidR="00000000" w:rsidRDefault="00216019">
            <w:pPr>
              <w:jc w:val="right"/>
              <w:rPr>
                <w:snapToGrid w:val="0"/>
                <w:color w:val="000000"/>
                <w:sz w:val="20"/>
              </w:rPr>
            </w:pPr>
            <w:r>
              <w:rPr>
                <w:snapToGrid w:val="0"/>
                <w:color w:val="000000"/>
                <w:sz w:val="20"/>
              </w:rPr>
              <w:t xml:space="preserve"> $    399,231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2.  Case management</w:t>
            </w:r>
          </w:p>
        </w:tc>
        <w:tc>
          <w:tcPr>
            <w:tcW w:w="1620" w:type="dxa"/>
          </w:tcPr>
          <w:p w:rsidR="00000000" w:rsidRDefault="00216019">
            <w:pPr>
              <w:jc w:val="right"/>
              <w:rPr>
                <w:snapToGrid w:val="0"/>
                <w:color w:val="000000"/>
                <w:sz w:val="20"/>
              </w:rPr>
            </w:pPr>
            <w:r>
              <w:rPr>
                <w:snapToGrid w:val="0"/>
                <w:color w:val="000000"/>
                <w:sz w:val="20"/>
              </w:rPr>
              <w:t xml:space="preserve"> $     56,164 </w:t>
            </w:r>
          </w:p>
        </w:tc>
        <w:tc>
          <w:tcPr>
            <w:tcW w:w="1530" w:type="dxa"/>
          </w:tcPr>
          <w:p w:rsidR="00000000" w:rsidRDefault="00216019">
            <w:pPr>
              <w:jc w:val="right"/>
              <w:rPr>
                <w:snapToGrid w:val="0"/>
                <w:color w:val="000000"/>
                <w:sz w:val="20"/>
              </w:rPr>
            </w:pPr>
            <w:r>
              <w:rPr>
                <w:snapToGrid w:val="0"/>
                <w:color w:val="000000"/>
                <w:sz w:val="20"/>
              </w:rPr>
              <w:t xml:space="preserve"> $     65,847 </w:t>
            </w:r>
          </w:p>
        </w:tc>
        <w:tc>
          <w:tcPr>
            <w:tcW w:w="1440" w:type="dxa"/>
          </w:tcPr>
          <w:p w:rsidR="00000000" w:rsidRDefault="00216019">
            <w:pPr>
              <w:jc w:val="right"/>
              <w:rPr>
                <w:snapToGrid w:val="0"/>
                <w:color w:val="000000"/>
                <w:sz w:val="20"/>
              </w:rPr>
            </w:pPr>
            <w:r>
              <w:rPr>
                <w:snapToGrid w:val="0"/>
                <w:color w:val="000000"/>
                <w:sz w:val="20"/>
              </w:rPr>
              <w:t xml:space="preserve"> $      70,167 </w:t>
            </w:r>
          </w:p>
        </w:tc>
        <w:tc>
          <w:tcPr>
            <w:tcW w:w="1530" w:type="dxa"/>
          </w:tcPr>
          <w:p w:rsidR="00000000" w:rsidRDefault="00216019">
            <w:pPr>
              <w:jc w:val="right"/>
              <w:rPr>
                <w:snapToGrid w:val="0"/>
                <w:color w:val="000000"/>
                <w:sz w:val="20"/>
              </w:rPr>
            </w:pPr>
            <w:r>
              <w:rPr>
                <w:snapToGrid w:val="0"/>
                <w:color w:val="000000"/>
                <w:sz w:val="20"/>
              </w:rPr>
              <w:t xml:space="preserve"> $      82,265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3.  Dental</w:t>
            </w:r>
          </w:p>
        </w:tc>
        <w:tc>
          <w:tcPr>
            <w:tcW w:w="1620" w:type="dxa"/>
          </w:tcPr>
          <w:p w:rsidR="00000000" w:rsidRDefault="00216019">
            <w:pPr>
              <w:jc w:val="right"/>
              <w:rPr>
                <w:snapToGrid w:val="0"/>
                <w:color w:val="000000"/>
                <w:sz w:val="20"/>
              </w:rPr>
            </w:pPr>
            <w:r>
              <w:rPr>
                <w:snapToGrid w:val="0"/>
                <w:color w:val="000000"/>
                <w:sz w:val="20"/>
              </w:rPr>
              <w:t xml:space="preserve">  $   344,729 </w:t>
            </w:r>
          </w:p>
        </w:tc>
        <w:tc>
          <w:tcPr>
            <w:tcW w:w="1530" w:type="dxa"/>
          </w:tcPr>
          <w:p w:rsidR="00000000" w:rsidRDefault="00216019">
            <w:pPr>
              <w:jc w:val="right"/>
              <w:rPr>
                <w:snapToGrid w:val="0"/>
                <w:color w:val="000000"/>
                <w:sz w:val="20"/>
              </w:rPr>
            </w:pPr>
            <w:r>
              <w:rPr>
                <w:snapToGrid w:val="0"/>
                <w:color w:val="000000"/>
                <w:sz w:val="20"/>
              </w:rPr>
              <w:t xml:space="preserve"> $   344,729 </w:t>
            </w:r>
          </w:p>
        </w:tc>
        <w:tc>
          <w:tcPr>
            <w:tcW w:w="1440" w:type="dxa"/>
          </w:tcPr>
          <w:p w:rsidR="00000000" w:rsidRDefault="00216019">
            <w:pPr>
              <w:jc w:val="right"/>
              <w:rPr>
                <w:snapToGrid w:val="0"/>
                <w:color w:val="000000"/>
                <w:sz w:val="20"/>
              </w:rPr>
            </w:pPr>
            <w:r>
              <w:rPr>
                <w:snapToGrid w:val="0"/>
                <w:color w:val="000000"/>
                <w:sz w:val="20"/>
              </w:rPr>
              <w:t xml:space="preserve"> $    430,682 </w:t>
            </w:r>
          </w:p>
        </w:tc>
        <w:tc>
          <w:tcPr>
            <w:tcW w:w="1530" w:type="dxa"/>
          </w:tcPr>
          <w:p w:rsidR="00000000" w:rsidRDefault="00216019">
            <w:pPr>
              <w:jc w:val="right"/>
              <w:rPr>
                <w:snapToGrid w:val="0"/>
                <w:color w:val="000000"/>
                <w:sz w:val="20"/>
              </w:rPr>
            </w:pPr>
            <w:r>
              <w:rPr>
                <w:snapToGrid w:val="0"/>
                <w:color w:val="000000"/>
                <w:sz w:val="20"/>
              </w:rPr>
              <w:t xml:space="preserve"> $  430,68</w:t>
            </w:r>
            <w:r>
              <w:rPr>
                <w:snapToGrid w:val="0"/>
                <w:color w:val="000000"/>
                <w:sz w:val="20"/>
              </w:rPr>
              <w:t xml:space="preserve">2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4. Mental health substance abuse</w:t>
            </w:r>
          </w:p>
        </w:tc>
        <w:tc>
          <w:tcPr>
            <w:tcW w:w="1620" w:type="dxa"/>
          </w:tcPr>
          <w:p w:rsidR="00000000" w:rsidRDefault="00216019">
            <w:pPr>
              <w:jc w:val="right"/>
              <w:rPr>
                <w:snapToGrid w:val="0"/>
                <w:color w:val="000000"/>
                <w:sz w:val="20"/>
              </w:rPr>
            </w:pPr>
            <w:r>
              <w:rPr>
                <w:snapToGrid w:val="0"/>
                <w:color w:val="000000"/>
                <w:sz w:val="20"/>
              </w:rPr>
              <w:t xml:space="preserve"> $     71,657 </w:t>
            </w:r>
          </w:p>
        </w:tc>
        <w:tc>
          <w:tcPr>
            <w:tcW w:w="1530" w:type="dxa"/>
          </w:tcPr>
          <w:p w:rsidR="00000000" w:rsidRDefault="00216019">
            <w:pPr>
              <w:jc w:val="right"/>
              <w:rPr>
                <w:snapToGrid w:val="0"/>
                <w:color w:val="000000"/>
                <w:sz w:val="20"/>
              </w:rPr>
            </w:pPr>
            <w:r>
              <w:rPr>
                <w:snapToGrid w:val="0"/>
                <w:color w:val="000000"/>
                <w:sz w:val="20"/>
              </w:rPr>
              <w:t xml:space="preserve"> $     71,657 </w:t>
            </w:r>
          </w:p>
        </w:tc>
        <w:tc>
          <w:tcPr>
            <w:tcW w:w="1440" w:type="dxa"/>
          </w:tcPr>
          <w:p w:rsidR="00000000" w:rsidRDefault="00216019">
            <w:pPr>
              <w:jc w:val="right"/>
              <w:rPr>
                <w:snapToGrid w:val="0"/>
                <w:color w:val="000000"/>
                <w:sz w:val="20"/>
              </w:rPr>
            </w:pPr>
            <w:r>
              <w:rPr>
                <w:snapToGrid w:val="0"/>
                <w:color w:val="000000"/>
                <w:sz w:val="20"/>
              </w:rPr>
              <w:t xml:space="preserve"> $      89,524 </w:t>
            </w:r>
          </w:p>
        </w:tc>
        <w:tc>
          <w:tcPr>
            <w:tcW w:w="1530" w:type="dxa"/>
          </w:tcPr>
          <w:p w:rsidR="00000000" w:rsidRDefault="00216019">
            <w:pPr>
              <w:jc w:val="right"/>
              <w:rPr>
                <w:snapToGrid w:val="0"/>
                <w:color w:val="000000"/>
                <w:sz w:val="20"/>
              </w:rPr>
            </w:pPr>
            <w:r>
              <w:rPr>
                <w:snapToGrid w:val="0"/>
                <w:color w:val="000000"/>
                <w:sz w:val="20"/>
              </w:rPr>
              <w:t xml:space="preserve"> $      89,524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5. Nutrition counseling</w:t>
            </w:r>
          </w:p>
        </w:tc>
        <w:tc>
          <w:tcPr>
            <w:tcW w:w="1620" w:type="dxa"/>
          </w:tcPr>
          <w:p w:rsidR="00000000" w:rsidRDefault="00216019">
            <w:pPr>
              <w:jc w:val="right"/>
              <w:rPr>
                <w:snapToGrid w:val="0"/>
                <w:color w:val="000000"/>
                <w:sz w:val="20"/>
              </w:rPr>
            </w:pPr>
            <w:r>
              <w:rPr>
                <w:snapToGrid w:val="0"/>
                <w:color w:val="000000"/>
                <w:sz w:val="20"/>
              </w:rPr>
              <w:t xml:space="preserve"> $     52,290 </w:t>
            </w:r>
          </w:p>
        </w:tc>
        <w:tc>
          <w:tcPr>
            <w:tcW w:w="1530" w:type="dxa"/>
          </w:tcPr>
          <w:p w:rsidR="00000000" w:rsidRDefault="00216019">
            <w:pPr>
              <w:jc w:val="right"/>
              <w:rPr>
                <w:snapToGrid w:val="0"/>
                <w:color w:val="000000"/>
                <w:sz w:val="20"/>
              </w:rPr>
            </w:pPr>
            <w:r>
              <w:rPr>
                <w:snapToGrid w:val="0"/>
                <w:color w:val="000000"/>
                <w:sz w:val="20"/>
              </w:rPr>
              <w:t xml:space="preserve"> $     54,227 </w:t>
            </w:r>
          </w:p>
        </w:tc>
        <w:tc>
          <w:tcPr>
            <w:tcW w:w="1440" w:type="dxa"/>
          </w:tcPr>
          <w:p w:rsidR="00000000" w:rsidRDefault="00216019">
            <w:pPr>
              <w:jc w:val="right"/>
              <w:rPr>
                <w:snapToGrid w:val="0"/>
                <w:color w:val="000000"/>
                <w:sz w:val="20"/>
              </w:rPr>
            </w:pPr>
            <w:r>
              <w:rPr>
                <w:snapToGrid w:val="0"/>
                <w:color w:val="000000"/>
                <w:sz w:val="20"/>
              </w:rPr>
              <w:t xml:space="preserve"> $      65,328 </w:t>
            </w:r>
          </w:p>
        </w:tc>
        <w:tc>
          <w:tcPr>
            <w:tcW w:w="1530" w:type="dxa"/>
          </w:tcPr>
          <w:p w:rsidR="00000000" w:rsidRDefault="00216019">
            <w:pPr>
              <w:jc w:val="right"/>
              <w:rPr>
                <w:snapToGrid w:val="0"/>
                <w:color w:val="000000"/>
                <w:sz w:val="20"/>
              </w:rPr>
            </w:pPr>
            <w:r>
              <w:rPr>
                <w:snapToGrid w:val="0"/>
                <w:color w:val="000000"/>
                <w:sz w:val="20"/>
              </w:rPr>
              <w:t xml:space="preserve"> $      67,748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 xml:space="preserve">    Nutrition supplements</w:t>
            </w:r>
          </w:p>
        </w:tc>
        <w:tc>
          <w:tcPr>
            <w:tcW w:w="1620" w:type="dxa"/>
            <w:tcBorders>
              <w:bottom w:val="single" w:sz="4" w:space="0" w:color="auto"/>
            </w:tcBorders>
          </w:tcPr>
          <w:p w:rsidR="00000000" w:rsidRDefault="00216019">
            <w:pPr>
              <w:jc w:val="right"/>
              <w:rPr>
                <w:snapToGrid w:val="0"/>
                <w:color w:val="000000"/>
                <w:sz w:val="20"/>
              </w:rPr>
            </w:pPr>
            <w:r>
              <w:rPr>
                <w:snapToGrid w:val="0"/>
                <w:color w:val="000000"/>
                <w:sz w:val="20"/>
              </w:rPr>
              <w:t xml:space="preserve"> $       9,683 </w:t>
            </w:r>
          </w:p>
        </w:tc>
        <w:tc>
          <w:tcPr>
            <w:tcW w:w="1530" w:type="dxa"/>
            <w:tcBorders>
              <w:bottom w:val="single" w:sz="4" w:space="0" w:color="auto"/>
            </w:tcBorders>
          </w:tcPr>
          <w:p w:rsidR="00000000" w:rsidRDefault="00216019">
            <w:pPr>
              <w:jc w:val="right"/>
              <w:rPr>
                <w:snapToGrid w:val="0"/>
                <w:color w:val="000000"/>
                <w:sz w:val="20"/>
              </w:rPr>
            </w:pPr>
            <w:r>
              <w:rPr>
                <w:snapToGrid w:val="0"/>
                <w:color w:val="000000"/>
                <w:sz w:val="20"/>
              </w:rPr>
              <w:t xml:space="preserve"> $     19,367 </w:t>
            </w:r>
          </w:p>
        </w:tc>
        <w:tc>
          <w:tcPr>
            <w:tcW w:w="1440" w:type="dxa"/>
            <w:tcBorders>
              <w:bottom w:val="single" w:sz="4" w:space="0" w:color="auto"/>
            </w:tcBorders>
          </w:tcPr>
          <w:p w:rsidR="00000000" w:rsidRDefault="00216019">
            <w:pPr>
              <w:jc w:val="right"/>
              <w:rPr>
                <w:snapToGrid w:val="0"/>
                <w:color w:val="000000"/>
                <w:sz w:val="20"/>
              </w:rPr>
            </w:pPr>
            <w:r>
              <w:rPr>
                <w:snapToGrid w:val="0"/>
                <w:color w:val="000000"/>
                <w:sz w:val="20"/>
              </w:rPr>
              <w:t xml:space="preserve"> $      12,0</w:t>
            </w:r>
            <w:r>
              <w:rPr>
                <w:snapToGrid w:val="0"/>
                <w:color w:val="000000"/>
                <w:sz w:val="20"/>
              </w:rPr>
              <w:t xml:space="preserve">98 </w:t>
            </w:r>
          </w:p>
        </w:tc>
        <w:tc>
          <w:tcPr>
            <w:tcW w:w="1530" w:type="dxa"/>
            <w:tcBorders>
              <w:bottom w:val="single" w:sz="4" w:space="0" w:color="auto"/>
            </w:tcBorders>
          </w:tcPr>
          <w:p w:rsidR="00000000" w:rsidRDefault="00216019">
            <w:pPr>
              <w:jc w:val="right"/>
              <w:rPr>
                <w:snapToGrid w:val="0"/>
                <w:color w:val="000000"/>
                <w:sz w:val="20"/>
              </w:rPr>
            </w:pPr>
            <w:r>
              <w:rPr>
                <w:snapToGrid w:val="0"/>
                <w:color w:val="000000"/>
                <w:sz w:val="20"/>
              </w:rPr>
              <w:t xml:space="preserve"> $      24,196 </w:t>
            </w:r>
          </w:p>
        </w:tc>
      </w:tr>
      <w:tr w:rsidR="00000000">
        <w:tblPrEx>
          <w:tblCellMar>
            <w:top w:w="0" w:type="dxa"/>
            <w:bottom w:w="0" w:type="dxa"/>
          </w:tblCellMar>
        </w:tblPrEx>
        <w:trPr>
          <w:trHeight w:val="259"/>
        </w:trPr>
        <w:tc>
          <w:tcPr>
            <w:tcW w:w="5790" w:type="dxa"/>
          </w:tcPr>
          <w:p w:rsidR="00000000" w:rsidRDefault="00216019">
            <w:pPr>
              <w:rPr>
                <w:b/>
                <w:snapToGrid w:val="0"/>
                <w:color w:val="000000"/>
                <w:sz w:val="20"/>
              </w:rPr>
            </w:pPr>
            <w:r>
              <w:rPr>
                <w:b/>
                <w:snapToGrid w:val="0"/>
                <w:color w:val="000000"/>
                <w:sz w:val="20"/>
              </w:rPr>
              <w:t>Total</w:t>
            </w:r>
          </w:p>
        </w:tc>
        <w:tc>
          <w:tcPr>
            <w:tcW w:w="1620" w:type="dxa"/>
          </w:tcPr>
          <w:p w:rsidR="00000000" w:rsidRDefault="00216019">
            <w:pPr>
              <w:jc w:val="right"/>
              <w:rPr>
                <w:b/>
                <w:snapToGrid w:val="0"/>
                <w:color w:val="000000"/>
                <w:sz w:val="20"/>
              </w:rPr>
            </w:pPr>
            <w:r>
              <w:rPr>
                <w:b/>
                <w:snapToGrid w:val="0"/>
                <w:color w:val="000000"/>
                <w:sz w:val="20"/>
              </w:rPr>
              <w:t xml:space="preserve"> $   950,913 </w:t>
            </w:r>
          </w:p>
        </w:tc>
        <w:tc>
          <w:tcPr>
            <w:tcW w:w="1530" w:type="dxa"/>
          </w:tcPr>
          <w:p w:rsidR="00000000" w:rsidRDefault="00216019">
            <w:pPr>
              <w:jc w:val="right"/>
              <w:rPr>
                <w:b/>
                <w:snapToGrid w:val="0"/>
                <w:color w:val="000000"/>
                <w:sz w:val="20"/>
              </w:rPr>
            </w:pPr>
            <w:r>
              <w:rPr>
                <w:b/>
                <w:snapToGrid w:val="0"/>
                <w:color w:val="000000"/>
                <w:sz w:val="20"/>
              </w:rPr>
              <w:t xml:space="preserve"> $ 1,020,634 </w:t>
            </w:r>
          </w:p>
        </w:tc>
        <w:tc>
          <w:tcPr>
            <w:tcW w:w="1440" w:type="dxa"/>
          </w:tcPr>
          <w:p w:rsidR="00000000" w:rsidRDefault="00216019">
            <w:pPr>
              <w:jc w:val="right"/>
              <w:rPr>
                <w:b/>
                <w:snapToGrid w:val="0"/>
                <w:color w:val="000000"/>
                <w:sz w:val="20"/>
              </w:rPr>
            </w:pPr>
            <w:r>
              <w:rPr>
                <w:b/>
                <w:snapToGrid w:val="0"/>
                <w:color w:val="000000"/>
                <w:sz w:val="20"/>
              </w:rPr>
              <w:t xml:space="preserve"> $ 1,188,088 </w:t>
            </w:r>
          </w:p>
        </w:tc>
        <w:tc>
          <w:tcPr>
            <w:tcW w:w="1530" w:type="dxa"/>
          </w:tcPr>
          <w:p w:rsidR="00000000" w:rsidRDefault="00216019">
            <w:pPr>
              <w:jc w:val="right"/>
              <w:rPr>
                <w:b/>
                <w:snapToGrid w:val="0"/>
                <w:color w:val="000000"/>
                <w:sz w:val="20"/>
              </w:rPr>
            </w:pPr>
            <w:r>
              <w:rPr>
                <w:b/>
                <w:snapToGrid w:val="0"/>
                <w:color w:val="000000"/>
                <w:sz w:val="20"/>
              </w:rPr>
              <w:t xml:space="preserve"> $  1,275,113 </w:t>
            </w:r>
          </w:p>
        </w:tc>
      </w:tr>
      <w:tr w:rsidR="00000000">
        <w:tblPrEx>
          <w:tblCellMar>
            <w:top w:w="0" w:type="dxa"/>
            <w:bottom w:w="0" w:type="dxa"/>
          </w:tblCellMar>
        </w:tblPrEx>
        <w:trPr>
          <w:trHeight w:val="259"/>
        </w:trPr>
        <w:tc>
          <w:tcPr>
            <w:tcW w:w="5790" w:type="dxa"/>
          </w:tcPr>
          <w:p w:rsidR="00000000" w:rsidRDefault="00216019">
            <w:pPr>
              <w:rPr>
                <w:i/>
                <w:snapToGrid w:val="0"/>
                <w:color w:val="000000"/>
                <w:sz w:val="20"/>
              </w:rPr>
            </w:pPr>
            <w:r>
              <w:rPr>
                <w:i/>
                <w:snapToGrid w:val="0"/>
                <w:color w:val="000000"/>
                <w:sz w:val="20"/>
              </w:rPr>
              <w:t>State dollars</w:t>
            </w:r>
          </w:p>
        </w:tc>
        <w:tc>
          <w:tcPr>
            <w:tcW w:w="1620" w:type="dxa"/>
          </w:tcPr>
          <w:p w:rsidR="00000000" w:rsidRDefault="00216019">
            <w:pPr>
              <w:jc w:val="right"/>
              <w:rPr>
                <w:i/>
                <w:snapToGrid w:val="0"/>
                <w:color w:val="000000"/>
                <w:sz w:val="20"/>
              </w:rPr>
            </w:pPr>
            <w:r>
              <w:rPr>
                <w:i/>
                <w:snapToGrid w:val="0"/>
                <w:color w:val="000000"/>
                <w:sz w:val="20"/>
              </w:rPr>
              <w:t xml:space="preserve"> $   242,958 </w:t>
            </w:r>
          </w:p>
        </w:tc>
        <w:tc>
          <w:tcPr>
            <w:tcW w:w="1530" w:type="dxa"/>
          </w:tcPr>
          <w:p w:rsidR="00000000" w:rsidRDefault="00216019">
            <w:pPr>
              <w:jc w:val="right"/>
              <w:rPr>
                <w:i/>
                <w:snapToGrid w:val="0"/>
                <w:color w:val="000000"/>
                <w:sz w:val="20"/>
              </w:rPr>
            </w:pPr>
            <w:r>
              <w:rPr>
                <w:i/>
                <w:snapToGrid w:val="0"/>
                <w:color w:val="000000"/>
                <w:sz w:val="20"/>
              </w:rPr>
              <w:t xml:space="preserve"> $   260,772</w:t>
            </w:r>
          </w:p>
        </w:tc>
        <w:tc>
          <w:tcPr>
            <w:tcW w:w="1440" w:type="dxa"/>
          </w:tcPr>
          <w:p w:rsidR="00000000" w:rsidRDefault="00216019">
            <w:pPr>
              <w:jc w:val="right"/>
              <w:rPr>
                <w:i/>
                <w:snapToGrid w:val="0"/>
                <w:color w:val="000000"/>
                <w:sz w:val="20"/>
              </w:rPr>
            </w:pPr>
            <w:r>
              <w:rPr>
                <w:i/>
                <w:snapToGrid w:val="0"/>
                <w:color w:val="000000"/>
                <w:sz w:val="20"/>
              </w:rPr>
              <w:t xml:space="preserve"> $    303,536 </w:t>
            </w:r>
          </w:p>
        </w:tc>
        <w:tc>
          <w:tcPr>
            <w:tcW w:w="1530" w:type="dxa"/>
          </w:tcPr>
          <w:p w:rsidR="00000000" w:rsidRDefault="00216019">
            <w:pPr>
              <w:jc w:val="right"/>
              <w:rPr>
                <w:i/>
                <w:snapToGrid w:val="0"/>
                <w:color w:val="000000"/>
                <w:sz w:val="20"/>
              </w:rPr>
            </w:pPr>
            <w:r>
              <w:rPr>
                <w:i/>
                <w:snapToGrid w:val="0"/>
                <w:color w:val="000000"/>
                <w:sz w:val="20"/>
              </w:rPr>
              <w:t xml:space="preserve"> $    325,791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Federal dollars</w:t>
            </w:r>
          </w:p>
        </w:tc>
        <w:tc>
          <w:tcPr>
            <w:tcW w:w="1620" w:type="dxa"/>
          </w:tcPr>
          <w:p w:rsidR="00000000" w:rsidRDefault="00216019">
            <w:pPr>
              <w:jc w:val="right"/>
              <w:rPr>
                <w:snapToGrid w:val="0"/>
                <w:color w:val="000000"/>
                <w:sz w:val="20"/>
              </w:rPr>
            </w:pPr>
            <w:r>
              <w:rPr>
                <w:snapToGrid w:val="0"/>
                <w:color w:val="000000"/>
                <w:sz w:val="20"/>
              </w:rPr>
              <w:t xml:space="preserve"> $  707,955</w:t>
            </w:r>
          </w:p>
        </w:tc>
        <w:tc>
          <w:tcPr>
            <w:tcW w:w="1530" w:type="dxa"/>
          </w:tcPr>
          <w:p w:rsidR="00000000" w:rsidRDefault="00216019">
            <w:pPr>
              <w:jc w:val="right"/>
              <w:rPr>
                <w:snapToGrid w:val="0"/>
                <w:color w:val="000000"/>
                <w:sz w:val="20"/>
              </w:rPr>
            </w:pPr>
            <w:r>
              <w:rPr>
                <w:snapToGrid w:val="0"/>
                <w:color w:val="000000"/>
                <w:sz w:val="20"/>
              </w:rPr>
              <w:t xml:space="preserve"> $   759,862 </w:t>
            </w:r>
          </w:p>
        </w:tc>
        <w:tc>
          <w:tcPr>
            <w:tcW w:w="1440" w:type="dxa"/>
          </w:tcPr>
          <w:p w:rsidR="00000000" w:rsidRDefault="00216019">
            <w:pPr>
              <w:jc w:val="right"/>
              <w:rPr>
                <w:snapToGrid w:val="0"/>
                <w:color w:val="000000"/>
                <w:sz w:val="20"/>
              </w:rPr>
            </w:pPr>
            <w:r>
              <w:rPr>
                <w:snapToGrid w:val="0"/>
                <w:color w:val="000000"/>
                <w:sz w:val="20"/>
              </w:rPr>
              <w:t xml:space="preserve"> $    884,472 </w:t>
            </w:r>
          </w:p>
        </w:tc>
        <w:tc>
          <w:tcPr>
            <w:tcW w:w="1530" w:type="dxa"/>
          </w:tcPr>
          <w:p w:rsidR="00000000" w:rsidRDefault="00216019">
            <w:pPr>
              <w:jc w:val="right"/>
              <w:rPr>
                <w:snapToGrid w:val="0"/>
                <w:color w:val="000000"/>
                <w:sz w:val="20"/>
              </w:rPr>
            </w:pPr>
            <w:r>
              <w:rPr>
                <w:snapToGrid w:val="0"/>
                <w:color w:val="000000"/>
                <w:sz w:val="20"/>
              </w:rPr>
              <w:t xml:space="preserve"> $    949,322 </w:t>
            </w:r>
          </w:p>
        </w:tc>
      </w:tr>
      <w:tr w:rsidR="00000000">
        <w:tblPrEx>
          <w:tblCellMar>
            <w:top w:w="0" w:type="dxa"/>
            <w:bottom w:w="0" w:type="dxa"/>
          </w:tblCellMar>
        </w:tblPrEx>
        <w:trPr>
          <w:trHeight w:hRule="exact" w:val="200"/>
        </w:trPr>
        <w:tc>
          <w:tcPr>
            <w:tcW w:w="5790" w:type="dxa"/>
          </w:tcPr>
          <w:p w:rsidR="00000000" w:rsidRDefault="00216019">
            <w:pPr>
              <w:jc w:val="right"/>
              <w:rPr>
                <w:snapToGrid w:val="0"/>
                <w:color w:val="000000"/>
                <w:sz w:val="20"/>
              </w:rPr>
            </w:pPr>
          </w:p>
        </w:tc>
        <w:tc>
          <w:tcPr>
            <w:tcW w:w="1620" w:type="dxa"/>
          </w:tcPr>
          <w:p w:rsidR="00000000" w:rsidRDefault="00216019">
            <w:pPr>
              <w:jc w:val="right"/>
              <w:rPr>
                <w:snapToGrid w:val="0"/>
                <w:color w:val="000000"/>
                <w:sz w:val="20"/>
              </w:rPr>
            </w:pPr>
          </w:p>
        </w:tc>
        <w:tc>
          <w:tcPr>
            <w:tcW w:w="1530" w:type="dxa"/>
          </w:tcPr>
          <w:p w:rsidR="00000000" w:rsidRDefault="00216019">
            <w:pPr>
              <w:jc w:val="right"/>
              <w:rPr>
                <w:snapToGrid w:val="0"/>
                <w:color w:val="000000"/>
                <w:sz w:val="20"/>
              </w:rPr>
            </w:pPr>
          </w:p>
        </w:tc>
        <w:tc>
          <w:tcPr>
            <w:tcW w:w="1440" w:type="dxa"/>
          </w:tcPr>
          <w:p w:rsidR="00000000" w:rsidRDefault="00216019">
            <w:pPr>
              <w:jc w:val="right"/>
              <w:rPr>
                <w:snapToGrid w:val="0"/>
                <w:color w:val="000000"/>
                <w:sz w:val="20"/>
              </w:rPr>
            </w:pPr>
          </w:p>
        </w:tc>
        <w:tc>
          <w:tcPr>
            <w:tcW w:w="1530" w:type="dxa"/>
          </w:tcPr>
          <w:p w:rsidR="00000000" w:rsidRDefault="00216019">
            <w:pPr>
              <w:jc w:val="right"/>
              <w:rPr>
                <w:snapToGrid w:val="0"/>
                <w:color w:val="000000"/>
                <w:sz w:val="20"/>
              </w:rPr>
            </w:pP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Recommendations—heal</w:t>
            </w:r>
            <w:r>
              <w:rPr>
                <w:snapToGrid w:val="0"/>
                <w:color w:val="000000"/>
                <w:sz w:val="20"/>
              </w:rPr>
              <w:t>th plans doing Care Coordination.</w:t>
            </w:r>
          </w:p>
        </w:tc>
        <w:tc>
          <w:tcPr>
            <w:tcW w:w="1620" w:type="dxa"/>
          </w:tcPr>
          <w:p w:rsidR="00000000" w:rsidRDefault="00216019">
            <w:pPr>
              <w:jc w:val="right"/>
              <w:rPr>
                <w:snapToGrid w:val="0"/>
                <w:color w:val="000000"/>
                <w:sz w:val="20"/>
              </w:rPr>
            </w:pPr>
          </w:p>
        </w:tc>
        <w:tc>
          <w:tcPr>
            <w:tcW w:w="1530" w:type="dxa"/>
          </w:tcPr>
          <w:p w:rsidR="00000000" w:rsidRDefault="00216019">
            <w:pPr>
              <w:jc w:val="right"/>
              <w:rPr>
                <w:snapToGrid w:val="0"/>
                <w:color w:val="000000"/>
                <w:sz w:val="20"/>
              </w:rPr>
            </w:pPr>
          </w:p>
        </w:tc>
        <w:tc>
          <w:tcPr>
            <w:tcW w:w="1440" w:type="dxa"/>
          </w:tcPr>
          <w:p w:rsidR="00000000" w:rsidRDefault="00216019">
            <w:pPr>
              <w:jc w:val="right"/>
              <w:rPr>
                <w:snapToGrid w:val="0"/>
                <w:color w:val="000000"/>
                <w:sz w:val="20"/>
              </w:rPr>
            </w:pPr>
          </w:p>
        </w:tc>
        <w:tc>
          <w:tcPr>
            <w:tcW w:w="1530" w:type="dxa"/>
          </w:tcPr>
          <w:p w:rsidR="00000000" w:rsidRDefault="00216019">
            <w:pPr>
              <w:jc w:val="right"/>
              <w:rPr>
                <w:snapToGrid w:val="0"/>
                <w:color w:val="000000"/>
                <w:sz w:val="20"/>
              </w:rPr>
            </w:pPr>
          </w:p>
        </w:tc>
      </w:tr>
      <w:tr w:rsidR="00000000">
        <w:tblPrEx>
          <w:tblCellMar>
            <w:top w:w="0" w:type="dxa"/>
            <w:bottom w:w="0" w:type="dxa"/>
          </w:tblCellMar>
        </w:tblPrEx>
        <w:trPr>
          <w:trHeight w:val="117"/>
        </w:trPr>
        <w:tc>
          <w:tcPr>
            <w:tcW w:w="5790" w:type="dxa"/>
          </w:tcPr>
          <w:p w:rsidR="00000000" w:rsidRDefault="00216019">
            <w:pPr>
              <w:rPr>
                <w:snapToGrid w:val="0"/>
                <w:color w:val="000000"/>
                <w:sz w:val="20"/>
              </w:rPr>
            </w:pPr>
            <w:r>
              <w:rPr>
                <w:snapToGrid w:val="0"/>
                <w:color w:val="000000"/>
                <w:sz w:val="20"/>
              </w:rPr>
              <w:t>1.  Care Coordination with health plan</w:t>
            </w:r>
          </w:p>
        </w:tc>
        <w:tc>
          <w:tcPr>
            <w:tcW w:w="1620" w:type="dxa"/>
          </w:tcPr>
          <w:p w:rsidR="00000000" w:rsidRDefault="00216019">
            <w:pPr>
              <w:jc w:val="right"/>
              <w:rPr>
                <w:snapToGrid w:val="0"/>
                <w:color w:val="000000"/>
                <w:sz w:val="20"/>
              </w:rPr>
            </w:pPr>
            <w:r>
              <w:rPr>
                <w:snapToGrid w:val="0"/>
                <w:color w:val="000000"/>
                <w:sz w:val="20"/>
              </w:rPr>
              <w:t xml:space="preserve"> $     96,834 </w:t>
            </w:r>
          </w:p>
        </w:tc>
        <w:tc>
          <w:tcPr>
            <w:tcW w:w="1530" w:type="dxa"/>
          </w:tcPr>
          <w:p w:rsidR="00000000" w:rsidRDefault="00216019">
            <w:pPr>
              <w:jc w:val="right"/>
              <w:rPr>
                <w:snapToGrid w:val="0"/>
                <w:color w:val="000000"/>
                <w:sz w:val="20"/>
              </w:rPr>
            </w:pPr>
            <w:r>
              <w:rPr>
                <w:snapToGrid w:val="0"/>
                <w:color w:val="000000"/>
                <w:sz w:val="20"/>
              </w:rPr>
              <w:t xml:space="preserve"> $   145,251 </w:t>
            </w:r>
          </w:p>
        </w:tc>
        <w:tc>
          <w:tcPr>
            <w:tcW w:w="1440" w:type="dxa"/>
          </w:tcPr>
          <w:p w:rsidR="00000000" w:rsidRDefault="00216019">
            <w:pPr>
              <w:jc w:val="right"/>
              <w:rPr>
                <w:snapToGrid w:val="0"/>
                <w:color w:val="000000"/>
                <w:sz w:val="20"/>
              </w:rPr>
            </w:pPr>
            <w:r>
              <w:rPr>
                <w:snapToGrid w:val="0"/>
                <w:color w:val="000000"/>
                <w:sz w:val="20"/>
              </w:rPr>
              <w:t xml:space="preserve"> $    120,978 </w:t>
            </w:r>
          </w:p>
        </w:tc>
        <w:tc>
          <w:tcPr>
            <w:tcW w:w="1530" w:type="dxa"/>
          </w:tcPr>
          <w:p w:rsidR="00000000" w:rsidRDefault="00216019">
            <w:pPr>
              <w:jc w:val="right"/>
              <w:rPr>
                <w:snapToGrid w:val="0"/>
                <w:color w:val="000000"/>
                <w:sz w:val="20"/>
              </w:rPr>
            </w:pPr>
            <w:r>
              <w:rPr>
                <w:snapToGrid w:val="0"/>
                <w:color w:val="000000"/>
                <w:sz w:val="20"/>
              </w:rPr>
              <w:t xml:space="preserve"> $    181,467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2.  Case management</w:t>
            </w:r>
          </w:p>
        </w:tc>
        <w:tc>
          <w:tcPr>
            <w:tcW w:w="1620" w:type="dxa"/>
          </w:tcPr>
          <w:p w:rsidR="00000000" w:rsidRDefault="00216019">
            <w:pPr>
              <w:jc w:val="right"/>
              <w:rPr>
                <w:snapToGrid w:val="0"/>
                <w:color w:val="000000"/>
                <w:sz w:val="20"/>
              </w:rPr>
            </w:pPr>
            <w:r>
              <w:rPr>
                <w:snapToGrid w:val="0"/>
                <w:color w:val="000000"/>
                <w:sz w:val="20"/>
              </w:rPr>
              <w:t xml:space="preserve"> $     56,164 </w:t>
            </w:r>
          </w:p>
        </w:tc>
        <w:tc>
          <w:tcPr>
            <w:tcW w:w="1530" w:type="dxa"/>
          </w:tcPr>
          <w:p w:rsidR="00000000" w:rsidRDefault="00216019">
            <w:pPr>
              <w:jc w:val="right"/>
              <w:rPr>
                <w:snapToGrid w:val="0"/>
                <w:color w:val="000000"/>
                <w:sz w:val="20"/>
              </w:rPr>
            </w:pPr>
            <w:r>
              <w:rPr>
                <w:snapToGrid w:val="0"/>
                <w:color w:val="000000"/>
                <w:sz w:val="20"/>
              </w:rPr>
              <w:t xml:space="preserve"> $     65,847 </w:t>
            </w:r>
          </w:p>
        </w:tc>
        <w:tc>
          <w:tcPr>
            <w:tcW w:w="1440" w:type="dxa"/>
          </w:tcPr>
          <w:p w:rsidR="00000000" w:rsidRDefault="00216019">
            <w:pPr>
              <w:jc w:val="right"/>
              <w:rPr>
                <w:snapToGrid w:val="0"/>
                <w:color w:val="000000"/>
                <w:sz w:val="20"/>
              </w:rPr>
            </w:pPr>
            <w:r>
              <w:rPr>
                <w:snapToGrid w:val="0"/>
                <w:color w:val="000000"/>
                <w:sz w:val="20"/>
              </w:rPr>
              <w:t xml:space="preserve"> $      70,167 </w:t>
            </w:r>
          </w:p>
        </w:tc>
        <w:tc>
          <w:tcPr>
            <w:tcW w:w="1530" w:type="dxa"/>
          </w:tcPr>
          <w:p w:rsidR="00000000" w:rsidRDefault="00216019">
            <w:pPr>
              <w:jc w:val="right"/>
              <w:rPr>
                <w:snapToGrid w:val="0"/>
                <w:color w:val="000000"/>
                <w:sz w:val="20"/>
              </w:rPr>
            </w:pPr>
            <w:r>
              <w:rPr>
                <w:snapToGrid w:val="0"/>
                <w:color w:val="000000"/>
                <w:sz w:val="20"/>
              </w:rPr>
              <w:t xml:space="preserve"> $      82,265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3.  Dental</w:t>
            </w:r>
          </w:p>
        </w:tc>
        <w:tc>
          <w:tcPr>
            <w:tcW w:w="1620" w:type="dxa"/>
          </w:tcPr>
          <w:p w:rsidR="00000000" w:rsidRDefault="00216019">
            <w:pPr>
              <w:jc w:val="right"/>
              <w:rPr>
                <w:snapToGrid w:val="0"/>
                <w:color w:val="000000"/>
                <w:sz w:val="20"/>
              </w:rPr>
            </w:pPr>
            <w:r>
              <w:rPr>
                <w:snapToGrid w:val="0"/>
                <w:color w:val="000000"/>
                <w:sz w:val="20"/>
              </w:rPr>
              <w:t xml:space="preserve">  $   344,729 </w:t>
            </w:r>
          </w:p>
        </w:tc>
        <w:tc>
          <w:tcPr>
            <w:tcW w:w="1530" w:type="dxa"/>
          </w:tcPr>
          <w:p w:rsidR="00000000" w:rsidRDefault="00216019">
            <w:pPr>
              <w:jc w:val="right"/>
              <w:rPr>
                <w:snapToGrid w:val="0"/>
                <w:color w:val="000000"/>
                <w:sz w:val="20"/>
              </w:rPr>
            </w:pPr>
            <w:r>
              <w:rPr>
                <w:snapToGrid w:val="0"/>
                <w:color w:val="000000"/>
                <w:sz w:val="20"/>
              </w:rPr>
              <w:t xml:space="preserve"> $   344,</w:t>
            </w:r>
            <w:r>
              <w:rPr>
                <w:snapToGrid w:val="0"/>
                <w:color w:val="000000"/>
                <w:sz w:val="20"/>
              </w:rPr>
              <w:t xml:space="preserve">729 </w:t>
            </w:r>
          </w:p>
        </w:tc>
        <w:tc>
          <w:tcPr>
            <w:tcW w:w="1440" w:type="dxa"/>
          </w:tcPr>
          <w:p w:rsidR="00000000" w:rsidRDefault="00216019">
            <w:pPr>
              <w:jc w:val="right"/>
              <w:rPr>
                <w:snapToGrid w:val="0"/>
                <w:color w:val="000000"/>
                <w:sz w:val="20"/>
              </w:rPr>
            </w:pPr>
            <w:r>
              <w:rPr>
                <w:snapToGrid w:val="0"/>
                <w:color w:val="000000"/>
                <w:sz w:val="20"/>
              </w:rPr>
              <w:t xml:space="preserve"> $    430,682 </w:t>
            </w:r>
          </w:p>
        </w:tc>
        <w:tc>
          <w:tcPr>
            <w:tcW w:w="1530" w:type="dxa"/>
          </w:tcPr>
          <w:p w:rsidR="00000000" w:rsidRDefault="00216019">
            <w:pPr>
              <w:jc w:val="right"/>
              <w:rPr>
                <w:snapToGrid w:val="0"/>
                <w:color w:val="000000"/>
                <w:sz w:val="20"/>
              </w:rPr>
            </w:pPr>
            <w:r>
              <w:rPr>
                <w:snapToGrid w:val="0"/>
                <w:color w:val="000000"/>
                <w:sz w:val="20"/>
              </w:rPr>
              <w:t xml:space="preserve"> $    430,682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4. Mental health substance abuse</w:t>
            </w:r>
          </w:p>
        </w:tc>
        <w:tc>
          <w:tcPr>
            <w:tcW w:w="1620" w:type="dxa"/>
          </w:tcPr>
          <w:p w:rsidR="00000000" w:rsidRDefault="00216019">
            <w:pPr>
              <w:jc w:val="right"/>
              <w:rPr>
                <w:snapToGrid w:val="0"/>
                <w:color w:val="000000"/>
                <w:sz w:val="20"/>
              </w:rPr>
            </w:pPr>
            <w:r>
              <w:rPr>
                <w:snapToGrid w:val="0"/>
                <w:color w:val="000000"/>
                <w:sz w:val="20"/>
              </w:rPr>
              <w:t xml:space="preserve"> $     71,657 </w:t>
            </w:r>
          </w:p>
        </w:tc>
        <w:tc>
          <w:tcPr>
            <w:tcW w:w="1530" w:type="dxa"/>
          </w:tcPr>
          <w:p w:rsidR="00000000" w:rsidRDefault="00216019">
            <w:pPr>
              <w:jc w:val="right"/>
              <w:rPr>
                <w:snapToGrid w:val="0"/>
                <w:color w:val="000000"/>
                <w:sz w:val="20"/>
              </w:rPr>
            </w:pPr>
            <w:r>
              <w:rPr>
                <w:snapToGrid w:val="0"/>
                <w:color w:val="000000"/>
                <w:sz w:val="20"/>
              </w:rPr>
              <w:t xml:space="preserve"> $     71,657 </w:t>
            </w:r>
          </w:p>
        </w:tc>
        <w:tc>
          <w:tcPr>
            <w:tcW w:w="1440" w:type="dxa"/>
          </w:tcPr>
          <w:p w:rsidR="00000000" w:rsidRDefault="00216019">
            <w:pPr>
              <w:jc w:val="right"/>
              <w:rPr>
                <w:snapToGrid w:val="0"/>
                <w:color w:val="000000"/>
                <w:sz w:val="20"/>
              </w:rPr>
            </w:pPr>
            <w:r>
              <w:rPr>
                <w:snapToGrid w:val="0"/>
                <w:color w:val="000000"/>
                <w:sz w:val="20"/>
              </w:rPr>
              <w:t xml:space="preserve"> $      89,524 </w:t>
            </w:r>
          </w:p>
        </w:tc>
        <w:tc>
          <w:tcPr>
            <w:tcW w:w="1530" w:type="dxa"/>
          </w:tcPr>
          <w:p w:rsidR="00000000" w:rsidRDefault="00216019">
            <w:pPr>
              <w:jc w:val="right"/>
              <w:rPr>
                <w:snapToGrid w:val="0"/>
                <w:color w:val="000000"/>
                <w:sz w:val="20"/>
              </w:rPr>
            </w:pPr>
            <w:r>
              <w:rPr>
                <w:snapToGrid w:val="0"/>
                <w:color w:val="000000"/>
                <w:sz w:val="20"/>
              </w:rPr>
              <w:t xml:space="preserve"> $      89,524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5. Nutrition counseling</w:t>
            </w:r>
          </w:p>
        </w:tc>
        <w:tc>
          <w:tcPr>
            <w:tcW w:w="1620" w:type="dxa"/>
          </w:tcPr>
          <w:p w:rsidR="00000000" w:rsidRDefault="00216019">
            <w:pPr>
              <w:jc w:val="right"/>
              <w:rPr>
                <w:snapToGrid w:val="0"/>
                <w:color w:val="000000"/>
                <w:sz w:val="20"/>
              </w:rPr>
            </w:pPr>
            <w:r>
              <w:rPr>
                <w:snapToGrid w:val="0"/>
                <w:color w:val="000000"/>
                <w:sz w:val="20"/>
              </w:rPr>
              <w:t xml:space="preserve"> $     52,290 </w:t>
            </w:r>
          </w:p>
        </w:tc>
        <w:tc>
          <w:tcPr>
            <w:tcW w:w="1530" w:type="dxa"/>
          </w:tcPr>
          <w:p w:rsidR="00000000" w:rsidRDefault="00216019">
            <w:pPr>
              <w:jc w:val="right"/>
              <w:rPr>
                <w:snapToGrid w:val="0"/>
                <w:color w:val="000000"/>
                <w:sz w:val="20"/>
              </w:rPr>
            </w:pPr>
            <w:r>
              <w:rPr>
                <w:snapToGrid w:val="0"/>
                <w:color w:val="000000"/>
                <w:sz w:val="20"/>
              </w:rPr>
              <w:t xml:space="preserve"> $     54,227 </w:t>
            </w:r>
          </w:p>
        </w:tc>
        <w:tc>
          <w:tcPr>
            <w:tcW w:w="1440" w:type="dxa"/>
          </w:tcPr>
          <w:p w:rsidR="00000000" w:rsidRDefault="00216019">
            <w:pPr>
              <w:jc w:val="right"/>
              <w:rPr>
                <w:snapToGrid w:val="0"/>
                <w:color w:val="000000"/>
                <w:sz w:val="20"/>
              </w:rPr>
            </w:pPr>
            <w:r>
              <w:rPr>
                <w:snapToGrid w:val="0"/>
                <w:color w:val="000000"/>
                <w:sz w:val="20"/>
              </w:rPr>
              <w:t xml:space="preserve"> $      65,328 </w:t>
            </w:r>
          </w:p>
        </w:tc>
        <w:tc>
          <w:tcPr>
            <w:tcW w:w="1530" w:type="dxa"/>
          </w:tcPr>
          <w:p w:rsidR="00000000" w:rsidRDefault="00216019">
            <w:pPr>
              <w:jc w:val="right"/>
              <w:rPr>
                <w:snapToGrid w:val="0"/>
                <w:color w:val="000000"/>
                <w:sz w:val="20"/>
              </w:rPr>
            </w:pPr>
            <w:r>
              <w:rPr>
                <w:snapToGrid w:val="0"/>
                <w:color w:val="000000"/>
                <w:sz w:val="20"/>
              </w:rPr>
              <w:t xml:space="preserve"> $      67,748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 xml:space="preserve">     Nutrition supplements</w:t>
            </w:r>
          </w:p>
        </w:tc>
        <w:tc>
          <w:tcPr>
            <w:tcW w:w="1620" w:type="dxa"/>
            <w:tcBorders>
              <w:bottom w:val="single" w:sz="4" w:space="0" w:color="auto"/>
            </w:tcBorders>
          </w:tcPr>
          <w:p w:rsidR="00000000" w:rsidRDefault="00216019">
            <w:pPr>
              <w:jc w:val="right"/>
              <w:rPr>
                <w:snapToGrid w:val="0"/>
                <w:color w:val="000000"/>
                <w:sz w:val="20"/>
              </w:rPr>
            </w:pPr>
            <w:r>
              <w:rPr>
                <w:snapToGrid w:val="0"/>
                <w:color w:val="000000"/>
                <w:sz w:val="20"/>
              </w:rPr>
              <w:t xml:space="preserve"> $       9</w:t>
            </w:r>
            <w:r>
              <w:rPr>
                <w:snapToGrid w:val="0"/>
                <w:color w:val="000000"/>
                <w:sz w:val="20"/>
              </w:rPr>
              <w:t xml:space="preserve">,683 </w:t>
            </w:r>
          </w:p>
        </w:tc>
        <w:tc>
          <w:tcPr>
            <w:tcW w:w="1530" w:type="dxa"/>
            <w:tcBorders>
              <w:bottom w:val="single" w:sz="4" w:space="0" w:color="auto"/>
            </w:tcBorders>
          </w:tcPr>
          <w:p w:rsidR="00000000" w:rsidRDefault="00216019">
            <w:pPr>
              <w:jc w:val="right"/>
              <w:rPr>
                <w:snapToGrid w:val="0"/>
                <w:color w:val="000000"/>
                <w:sz w:val="20"/>
              </w:rPr>
            </w:pPr>
            <w:r>
              <w:rPr>
                <w:snapToGrid w:val="0"/>
                <w:color w:val="000000"/>
                <w:sz w:val="20"/>
              </w:rPr>
              <w:t xml:space="preserve"> $     19,367 </w:t>
            </w:r>
          </w:p>
        </w:tc>
        <w:tc>
          <w:tcPr>
            <w:tcW w:w="1440" w:type="dxa"/>
            <w:tcBorders>
              <w:bottom w:val="single" w:sz="4" w:space="0" w:color="auto"/>
            </w:tcBorders>
          </w:tcPr>
          <w:p w:rsidR="00000000" w:rsidRDefault="00216019">
            <w:pPr>
              <w:jc w:val="right"/>
              <w:rPr>
                <w:snapToGrid w:val="0"/>
                <w:color w:val="000000"/>
                <w:sz w:val="20"/>
              </w:rPr>
            </w:pPr>
            <w:r>
              <w:rPr>
                <w:snapToGrid w:val="0"/>
                <w:color w:val="000000"/>
                <w:sz w:val="20"/>
              </w:rPr>
              <w:t xml:space="preserve"> $      12,098 </w:t>
            </w:r>
          </w:p>
        </w:tc>
        <w:tc>
          <w:tcPr>
            <w:tcW w:w="1530" w:type="dxa"/>
            <w:tcBorders>
              <w:bottom w:val="single" w:sz="4" w:space="0" w:color="auto"/>
            </w:tcBorders>
          </w:tcPr>
          <w:p w:rsidR="00000000" w:rsidRDefault="00216019">
            <w:pPr>
              <w:jc w:val="right"/>
              <w:rPr>
                <w:snapToGrid w:val="0"/>
                <w:color w:val="000000"/>
                <w:sz w:val="20"/>
              </w:rPr>
            </w:pPr>
            <w:r>
              <w:rPr>
                <w:snapToGrid w:val="0"/>
                <w:color w:val="000000"/>
                <w:sz w:val="20"/>
              </w:rPr>
              <w:t xml:space="preserve"> $      24,196 </w:t>
            </w:r>
          </w:p>
        </w:tc>
      </w:tr>
      <w:tr w:rsidR="00000000">
        <w:tblPrEx>
          <w:tblCellMar>
            <w:top w:w="0" w:type="dxa"/>
            <w:bottom w:w="0" w:type="dxa"/>
          </w:tblCellMar>
        </w:tblPrEx>
        <w:trPr>
          <w:trHeight w:val="259"/>
        </w:trPr>
        <w:tc>
          <w:tcPr>
            <w:tcW w:w="5790" w:type="dxa"/>
          </w:tcPr>
          <w:p w:rsidR="00000000" w:rsidRDefault="00216019">
            <w:pPr>
              <w:rPr>
                <w:b/>
                <w:snapToGrid w:val="0"/>
                <w:color w:val="000000"/>
                <w:sz w:val="20"/>
              </w:rPr>
            </w:pPr>
            <w:r>
              <w:rPr>
                <w:b/>
                <w:snapToGrid w:val="0"/>
                <w:color w:val="000000"/>
                <w:sz w:val="20"/>
              </w:rPr>
              <w:t>Total</w:t>
            </w:r>
          </w:p>
        </w:tc>
        <w:tc>
          <w:tcPr>
            <w:tcW w:w="1620" w:type="dxa"/>
          </w:tcPr>
          <w:p w:rsidR="00000000" w:rsidRDefault="00216019">
            <w:pPr>
              <w:jc w:val="right"/>
              <w:rPr>
                <w:snapToGrid w:val="0"/>
                <w:color w:val="000000"/>
                <w:sz w:val="20"/>
              </w:rPr>
            </w:pPr>
            <w:r>
              <w:rPr>
                <w:snapToGrid w:val="0"/>
                <w:color w:val="000000"/>
                <w:sz w:val="20"/>
              </w:rPr>
              <w:t xml:space="preserve">$  631,357 </w:t>
            </w:r>
          </w:p>
        </w:tc>
        <w:tc>
          <w:tcPr>
            <w:tcW w:w="1530" w:type="dxa"/>
          </w:tcPr>
          <w:p w:rsidR="00000000" w:rsidRDefault="00216019">
            <w:pPr>
              <w:jc w:val="right"/>
              <w:rPr>
                <w:snapToGrid w:val="0"/>
                <w:color w:val="000000"/>
                <w:sz w:val="20"/>
              </w:rPr>
            </w:pPr>
            <w:r>
              <w:rPr>
                <w:snapToGrid w:val="0"/>
                <w:color w:val="000000"/>
                <w:sz w:val="20"/>
              </w:rPr>
              <w:t xml:space="preserve">$  701,078 </w:t>
            </w:r>
          </w:p>
        </w:tc>
        <w:tc>
          <w:tcPr>
            <w:tcW w:w="1440" w:type="dxa"/>
          </w:tcPr>
          <w:p w:rsidR="00000000" w:rsidRDefault="00216019">
            <w:pPr>
              <w:jc w:val="right"/>
              <w:rPr>
                <w:snapToGrid w:val="0"/>
                <w:color w:val="000000"/>
                <w:sz w:val="20"/>
              </w:rPr>
            </w:pPr>
            <w:r>
              <w:rPr>
                <w:snapToGrid w:val="0"/>
                <w:color w:val="000000"/>
                <w:sz w:val="20"/>
              </w:rPr>
              <w:t xml:space="preserve">$    788,777 </w:t>
            </w:r>
          </w:p>
        </w:tc>
        <w:tc>
          <w:tcPr>
            <w:tcW w:w="1530" w:type="dxa"/>
          </w:tcPr>
          <w:p w:rsidR="00000000" w:rsidRDefault="00216019">
            <w:pPr>
              <w:jc w:val="right"/>
              <w:rPr>
                <w:snapToGrid w:val="0"/>
                <w:color w:val="000000"/>
                <w:sz w:val="20"/>
              </w:rPr>
            </w:pPr>
            <w:r>
              <w:rPr>
                <w:snapToGrid w:val="0"/>
                <w:color w:val="000000"/>
                <w:sz w:val="20"/>
              </w:rPr>
              <w:t xml:space="preserve">$   875,882 </w:t>
            </w:r>
          </w:p>
        </w:tc>
      </w:tr>
      <w:tr w:rsidR="00000000">
        <w:tblPrEx>
          <w:tblCellMar>
            <w:top w:w="0" w:type="dxa"/>
            <w:bottom w:w="0" w:type="dxa"/>
          </w:tblCellMar>
        </w:tblPrEx>
        <w:trPr>
          <w:trHeight w:val="259"/>
        </w:trPr>
        <w:tc>
          <w:tcPr>
            <w:tcW w:w="5790" w:type="dxa"/>
          </w:tcPr>
          <w:p w:rsidR="00000000" w:rsidRDefault="00216019">
            <w:pPr>
              <w:rPr>
                <w:i/>
                <w:snapToGrid w:val="0"/>
                <w:color w:val="000000"/>
                <w:sz w:val="20"/>
              </w:rPr>
            </w:pPr>
            <w:r>
              <w:rPr>
                <w:i/>
                <w:snapToGrid w:val="0"/>
                <w:color w:val="000000"/>
                <w:sz w:val="20"/>
              </w:rPr>
              <w:t>State dollars</w:t>
            </w:r>
          </w:p>
        </w:tc>
        <w:tc>
          <w:tcPr>
            <w:tcW w:w="1620" w:type="dxa"/>
          </w:tcPr>
          <w:p w:rsidR="00000000" w:rsidRDefault="00216019">
            <w:pPr>
              <w:jc w:val="right"/>
              <w:rPr>
                <w:snapToGrid w:val="0"/>
                <w:color w:val="000000"/>
                <w:sz w:val="20"/>
              </w:rPr>
            </w:pPr>
            <w:r>
              <w:rPr>
                <w:snapToGrid w:val="0"/>
                <w:color w:val="000000"/>
                <w:sz w:val="20"/>
              </w:rPr>
              <w:t xml:space="preserve">$  161,312 </w:t>
            </w:r>
          </w:p>
        </w:tc>
        <w:tc>
          <w:tcPr>
            <w:tcW w:w="1530" w:type="dxa"/>
          </w:tcPr>
          <w:p w:rsidR="00000000" w:rsidRDefault="00216019">
            <w:pPr>
              <w:jc w:val="right"/>
              <w:rPr>
                <w:snapToGrid w:val="0"/>
                <w:color w:val="000000"/>
                <w:sz w:val="20"/>
              </w:rPr>
            </w:pPr>
            <w:r>
              <w:rPr>
                <w:snapToGrid w:val="0"/>
                <w:color w:val="000000"/>
                <w:sz w:val="20"/>
              </w:rPr>
              <w:t xml:space="preserve">$  179,125 </w:t>
            </w:r>
          </w:p>
        </w:tc>
        <w:tc>
          <w:tcPr>
            <w:tcW w:w="1440" w:type="dxa"/>
          </w:tcPr>
          <w:p w:rsidR="00000000" w:rsidRDefault="00216019">
            <w:pPr>
              <w:jc w:val="right"/>
              <w:rPr>
                <w:snapToGrid w:val="0"/>
                <w:color w:val="000000"/>
                <w:sz w:val="20"/>
              </w:rPr>
            </w:pPr>
            <w:r>
              <w:rPr>
                <w:snapToGrid w:val="0"/>
                <w:color w:val="000000"/>
                <w:sz w:val="20"/>
              </w:rPr>
              <w:t xml:space="preserve">$    201,533 </w:t>
            </w:r>
          </w:p>
        </w:tc>
        <w:tc>
          <w:tcPr>
            <w:tcW w:w="1530" w:type="dxa"/>
          </w:tcPr>
          <w:p w:rsidR="00000000" w:rsidRDefault="00216019">
            <w:pPr>
              <w:jc w:val="right"/>
              <w:rPr>
                <w:snapToGrid w:val="0"/>
                <w:color w:val="000000"/>
                <w:sz w:val="20"/>
              </w:rPr>
            </w:pPr>
            <w:r>
              <w:rPr>
                <w:snapToGrid w:val="0"/>
                <w:color w:val="000000"/>
                <w:sz w:val="20"/>
              </w:rPr>
              <w:t xml:space="preserve">$  223,788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Federal dollars</w:t>
            </w:r>
          </w:p>
        </w:tc>
        <w:tc>
          <w:tcPr>
            <w:tcW w:w="1620" w:type="dxa"/>
          </w:tcPr>
          <w:p w:rsidR="00000000" w:rsidRDefault="00216019">
            <w:pPr>
              <w:jc w:val="right"/>
              <w:rPr>
                <w:snapToGrid w:val="0"/>
                <w:color w:val="000000"/>
                <w:sz w:val="20"/>
              </w:rPr>
            </w:pPr>
            <w:r>
              <w:rPr>
                <w:snapToGrid w:val="0"/>
                <w:color w:val="000000"/>
                <w:sz w:val="20"/>
              </w:rPr>
              <w:t xml:space="preserve">$  470,045 </w:t>
            </w:r>
          </w:p>
        </w:tc>
        <w:tc>
          <w:tcPr>
            <w:tcW w:w="1530" w:type="dxa"/>
          </w:tcPr>
          <w:p w:rsidR="00000000" w:rsidRDefault="00216019">
            <w:pPr>
              <w:jc w:val="right"/>
              <w:rPr>
                <w:snapToGrid w:val="0"/>
                <w:color w:val="000000"/>
                <w:sz w:val="20"/>
              </w:rPr>
            </w:pPr>
            <w:r>
              <w:rPr>
                <w:snapToGrid w:val="0"/>
                <w:color w:val="000000"/>
                <w:sz w:val="20"/>
              </w:rPr>
              <w:t xml:space="preserve">$  521,953 </w:t>
            </w:r>
          </w:p>
        </w:tc>
        <w:tc>
          <w:tcPr>
            <w:tcW w:w="1440" w:type="dxa"/>
          </w:tcPr>
          <w:p w:rsidR="00000000" w:rsidRDefault="00216019">
            <w:pPr>
              <w:jc w:val="right"/>
              <w:rPr>
                <w:snapToGrid w:val="0"/>
                <w:color w:val="000000"/>
                <w:sz w:val="20"/>
              </w:rPr>
            </w:pPr>
            <w:r>
              <w:rPr>
                <w:snapToGrid w:val="0"/>
                <w:color w:val="000000"/>
                <w:sz w:val="20"/>
              </w:rPr>
              <w:t xml:space="preserve">$    587,244 </w:t>
            </w:r>
          </w:p>
        </w:tc>
        <w:tc>
          <w:tcPr>
            <w:tcW w:w="1530" w:type="dxa"/>
          </w:tcPr>
          <w:p w:rsidR="00000000" w:rsidRDefault="00216019">
            <w:pPr>
              <w:jc w:val="right"/>
              <w:rPr>
                <w:snapToGrid w:val="0"/>
                <w:color w:val="000000"/>
                <w:sz w:val="20"/>
              </w:rPr>
            </w:pPr>
            <w:r>
              <w:rPr>
                <w:snapToGrid w:val="0"/>
                <w:color w:val="000000"/>
                <w:sz w:val="20"/>
              </w:rPr>
              <w:t xml:space="preserve">$  652,094 </w:t>
            </w:r>
          </w:p>
        </w:tc>
      </w:tr>
      <w:tr w:rsidR="00000000">
        <w:tblPrEx>
          <w:tblCellMar>
            <w:top w:w="0" w:type="dxa"/>
            <w:bottom w:w="0" w:type="dxa"/>
          </w:tblCellMar>
        </w:tblPrEx>
        <w:trPr>
          <w:trHeight w:hRule="exact" w:val="200"/>
        </w:trPr>
        <w:tc>
          <w:tcPr>
            <w:tcW w:w="5790" w:type="dxa"/>
          </w:tcPr>
          <w:p w:rsidR="00000000" w:rsidRDefault="00216019">
            <w:pPr>
              <w:jc w:val="right"/>
              <w:rPr>
                <w:snapToGrid w:val="0"/>
                <w:color w:val="000000"/>
                <w:sz w:val="20"/>
              </w:rPr>
            </w:pPr>
          </w:p>
        </w:tc>
        <w:tc>
          <w:tcPr>
            <w:tcW w:w="1620" w:type="dxa"/>
          </w:tcPr>
          <w:p w:rsidR="00000000" w:rsidRDefault="00216019">
            <w:pPr>
              <w:jc w:val="right"/>
              <w:rPr>
                <w:snapToGrid w:val="0"/>
                <w:color w:val="000000"/>
                <w:sz w:val="20"/>
              </w:rPr>
            </w:pPr>
          </w:p>
        </w:tc>
        <w:tc>
          <w:tcPr>
            <w:tcW w:w="1530" w:type="dxa"/>
          </w:tcPr>
          <w:p w:rsidR="00000000" w:rsidRDefault="00216019">
            <w:pPr>
              <w:jc w:val="right"/>
              <w:rPr>
                <w:snapToGrid w:val="0"/>
                <w:color w:val="000000"/>
                <w:sz w:val="20"/>
              </w:rPr>
            </w:pPr>
          </w:p>
        </w:tc>
        <w:tc>
          <w:tcPr>
            <w:tcW w:w="1440" w:type="dxa"/>
          </w:tcPr>
          <w:p w:rsidR="00000000" w:rsidRDefault="00216019">
            <w:pPr>
              <w:jc w:val="right"/>
              <w:rPr>
                <w:snapToGrid w:val="0"/>
                <w:color w:val="000000"/>
                <w:sz w:val="20"/>
              </w:rPr>
            </w:pPr>
          </w:p>
        </w:tc>
        <w:tc>
          <w:tcPr>
            <w:tcW w:w="1530" w:type="dxa"/>
          </w:tcPr>
          <w:p w:rsidR="00000000" w:rsidRDefault="00216019">
            <w:pPr>
              <w:jc w:val="right"/>
              <w:rPr>
                <w:snapToGrid w:val="0"/>
                <w:color w:val="000000"/>
                <w:sz w:val="20"/>
              </w:rPr>
            </w:pP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Recomm</w:t>
            </w:r>
            <w:r>
              <w:rPr>
                <w:snapToGrid w:val="0"/>
                <w:color w:val="000000"/>
                <w:sz w:val="20"/>
              </w:rPr>
              <w:t>endations with Care Coordination, Carve Out</w:t>
            </w:r>
          </w:p>
        </w:tc>
        <w:tc>
          <w:tcPr>
            <w:tcW w:w="1620" w:type="dxa"/>
          </w:tcPr>
          <w:p w:rsidR="00000000" w:rsidRDefault="00216019">
            <w:pPr>
              <w:jc w:val="right"/>
              <w:rPr>
                <w:snapToGrid w:val="0"/>
                <w:color w:val="000000"/>
                <w:sz w:val="20"/>
              </w:rPr>
            </w:pPr>
          </w:p>
        </w:tc>
        <w:tc>
          <w:tcPr>
            <w:tcW w:w="1530" w:type="dxa"/>
          </w:tcPr>
          <w:p w:rsidR="00000000" w:rsidRDefault="00216019">
            <w:pPr>
              <w:jc w:val="right"/>
              <w:rPr>
                <w:snapToGrid w:val="0"/>
                <w:color w:val="000000"/>
                <w:sz w:val="20"/>
              </w:rPr>
            </w:pPr>
          </w:p>
        </w:tc>
        <w:tc>
          <w:tcPr>
            <w:tcW w:w="1440" w:type="dxa"/>
          </w:tcPr>
          <w:p w:rsidR="00000000" w:rsidRDefault="00216019">
            <w:pPr>
              <w:jc w:val="right"/>
              <w:rPr>
                <w:snapToGrid w:val="0"/>
                <w:color w:val="000000"/>
                <w:sz w:val="20"/>
              </w:rPr>
            </w:pPr>
          </w:p>
        </w:tc>
        <w:tc>
          <w:tcPr>
            <w:tcW w:w="1530" w:type="dxa"/>
          </w:tcPr>
          <w:p w:rsidR="00000000" w:rsidRDefault="00216019">
            <w:pPr>
              <w:jc w:val="right"/>
              <w:rPr>
                <w:snapToGrid w:val="0"/>
                <w:color w:val="000000"/>
                <w:sz w:val="20"/>
              </w:rPr>
            </w:pP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1.  Carve out care coordination</w:t>
            </w:r>
          </w:p>
        </w:tc>
        <w:tc>
          <w:tcPr>
            <w:tcW w:w="1620" w:type="dxa"/>
          </w:tcPr>
          <w:p w:rsidR="00000000" w:rsidRDefault="00216019">
            <w:pPr>
              <w:jc w:val="right"/>
              <w:rPr>
                <w:snapToGrid w:val="0"/>
                <w:color w:val="000000"/>
                <w:sz w:val="20"/>
              </w:rPr>
            </w:pPr>
            <w:r>
              <w:rPr>
                <w:snapToGrid w:val="0"/>
                <w:color w:val="000000"/>
                <w:sz w:val="20"/>
              </w:rPr>
              <w:t xml:space="preserve"> $   319,556 </w:t>
            </w:r>
          </w:p>
        </w:tc>
        <w:tc>
          <w:tcPr>
            <w:tcW w:w="1530" w:type="dxa"/>
          </w:tcPr>
          <w:p w:rsidR="00000000" w:rsidRDefault="00216019">
            <w:pPr>
              <w:jc w:val="right"/>
              <w:rPr>
                <w:snapToGrid w:val="0"/>
                <w:color w:val="000000"/>
                <w:sz w:val="20"/>
              </w:rPr>
            </w:pPr>
            <w:r>
              <w:rPr>
                <w:snapToGrid w:val="0"/>
                <w:color w:val="000000"/>
                <w:sz w:val="20"/>
              </w:rPr>
              <w:t xml:space="preserve"> $   319,556 </w:t>
            </w:r>
          </w:p>
        </w:tc>
        <w:tc>
          <w:tcPr>
            <w:tcW w:w="1440" w:type="dxa"/>
          </w:tcPr>
          <w:p w:rsidR="00000000" w:rsidRDefault="00216019">
            <w:pPr>
              <w:jc w:val="right"/>
              <w:rPr>
                <w:snapToGrid w:val="0"/>
                <w:color w:val="000000"/>
                <w:sz w:val="20"/>
              </w:rPr>
            </w:pPr>
            <w:r>
              <w:rPr>
                <w:snapToGrid w:val="0"/>
                <w:color w:val="000000"/>
                <w:sz w:val="20"/>
              </w:rPr>
              <w:t xml:space="preserve"> $    399,231 </w:t>
            </w:r>
          </w:p>
        </w:tc>
        <w:tc>
          <w:tcPr>
            <w:tcW w:w="1530" w:type="dxa"/>
          </w:tcPr>
          <w:p w:rsidR="00000000" w:rsidRDefault="00216019">
            <w:pPr>
              <w:jc w:val="right"/>
              <w:rPr>
                <w:snapToGrid w:val="0"/>
                <w:color w:val="000000"/>
                <w:sz w:val="20"/>
              </w:rPr>
            </w:pPr>
            <w:r>
              <w:rPr>
                <w:snapToGrid w:val="0"/>
                <w:color w:val="000000"/>
                <w:sz w:val="20"/>
              </w:rPr>
              <w:t xml:space="preserve"> $    399,231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2.  Case management</w:t>
            </w:r>
          </w:p>
        </w:tc>
        <w:tc>
          <w:tcPr>
            <w:tcW w:w="1620" w:type="dxa"/>
          </w:tcPr>
          <w:p w:rsidR="00000000" w:rsidRDefault="00216019">
            <w:pPr>
              <w:jc w:val="right"/>
              <w:rPr>
                <w:snapToGrid w:val="0"/>
                <w:color w:val="000000"/>
                <w:sz w:val="20"/>
              </w:rPr>
            </w:pPr>
            <w:r>
              <w:rPr>
                <w:snapToGrid w:val="0"/>
                <w:color w:val="000000"/>
                <w:sz w:val="20"/>
              </w:rPr>
              <w:t xml:space="preserve"> $     56,164 </w:t>
            </w:r>
          </w:p>
        </w:tc>
        <w:tc>
          <w:tcPr>
            <w:tcW w:w="1530" w:type="dxa"/>
          </w:tcPr>
          <w:p w:rsidR="00000000" w:rsidRDefault="00216019">
            <w:pPr>
              <w:jc w:val="right"/>
              <w:rPr>
                <w:snapToGrid w:val="0"/>
                <w:color w:val="000000"/>
                <w:sz w:val="20"/>
              </w:rPr>
            </w:pPr>
            <w:r>
              <w:rPr>
                <w:snapToGrid w:val="0"/>
                <w:color w:val="000000"/>
                <w:sz w:val="20"/>
              </w:rPr>
              <w:t xml:space="preserve"> $     65,847 </w:t>
            </w:r>
          </w:p>
        </w:tc>
        <w:tc>
          <w:tcPr>
            <w:tcW w:w="1440" w:type="dxa"/>
          </w:tcPr>
          <w:p w:rsidR="00000000" w:rsidRDefault="00216019">
            <w:pPr>
              <w:jc w:val="right"/>
              <w:rPr>
                <w:snapToGrid w:val="0"/>
                <w:color w:val="000000"/>
                <w:sz w:val="20"/>
              </w:rPr>
            </w:pPr>
            <w:r>
              <w:rPr>
                <w:snapToGrid w:val="0"/>
                <w:color w:val="000000"/>
                <w:sz w:val="20"/>
              </w:rPr>
              <w:t xml:space="preserve"> $      70,167 </w:t>
            </w:r>
          </w:p>
        </w:tc>
        <w:tc>
          <w:tcPr>
            <w:tcW w:w="1530" w:type="dxa"/>
          </w:tcPr>
          <w:p w:rsidR="00000000" w:rsidRDefault="00216019">
            <w:pPr>
              <w:jc w:val="right"/>
              <w:rPr>
                <w:snapToGrid w:val="0"/>
                <w:color w:val="000000"/>
                <w:sz w:val="20"/>
              </w:rPr>
            </w:pPr>
            <w:r>
              <w:rPr>
                <w:snapToGrid w:val="0"/>
                <w:color w:val="000000"/>
                <w:sz w:val="20"/>
              </w:rPr>
              <w:t xml:space="preserve"> $      82,265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3.  Dental</w:t>
            </w:r>
          </w:p>
        </w:tc>
        <w:tc>
          <w:tcPr>
            <w:tcW w:w="1620" w:type="dxa"/>
          </w:tcPr>
          <w:p w:rsidR="00000000" w:rsidRDefault="00216019">
            <w:pPr>
              <w:jc w:val="right"/>
              <w:rPr>
                <w:snapToGrid w:val="0"/>
                <w:color w:val="000000"/>
                <w:sz w:val="20"/>
              </w:rPr>
            </w:pPr>
            <w:r>
              <w:rPr>
                <w:snapToGrid w:val="0"/>
                <w:color w:val="000000"/>
                <w:sz w:val="20"/>
              </w:rPr>
              <w:t xml:space="preserve">  $   344,729 </w:t>
            </w:r>
          </w:p>
        </w:tc>
        <w:tc>
          <w:tcPr>
            <w:tcW w:w="1530" w:type="dxa"/>
          </w:tcPr>
          <w:p w:rsidR="00000000" w:rsidRDefault="00216019">
            <w:pPr>
              <w:jc w:val="right"/>
              <w:rPr>
                <w:snapToGrid w:val="0"/>
                <w:color w:val="000000"/>
                <w:sz w:val="20"/>
              </w:rPr>
            </w:pPr>
            <w:r>
              <w:rPr>
                <w:snapToGrid w:val="0"/>
                <w:color w:val="000000"/>
                <w:sz w:val="20"/>
              </w:rPr>
              <w:t xml:space="preserve"> $   34</w:t>
            </w:r>
            <w:r>
              <w:rPr>
                <w:snapToGrid w:val="0"/>
                <w:color w:val="000000"/>
                <w:sz w:val="20"/>
              </w:rPr>
              <w:t xml:space="preserve">4,729 </w:t>
            </w:r>
          </w:p>
        </w:tc>
        <w:tc>
          <w:tcPr>
            <w:tcW w:w="1440" w:type="dxa"/>
          </w:tcPr>
          <w:p w:rsidR="00000000" w:rsidRDefault="00216019">
            <w:pPr>
              <w:jc w:val="right"/>
              <w:rPr>
                <w:snapToGrid w:val="0"/>
                <w:color w:val="000000"/>
                <w:sz w:val="20"/>
              </w:rPr>
            </w:pPr>
            <w:r>
              <w:rPr>
                <w:snapToGrid w:val="0"/>
                <w:color w:val="000000"/>
                <w:sz w:val="20"/>
              </w:rPr>
              <w:t xml:space="preserve"> $    430,682 </w:t>
            </w:r>
          </w:p>
        </w:tc>
        <w:tc>
          <w:tcPr>
            <w:tcW w:w="1530" w:type="dxa"/>
          </w:tcPr>
          <w:p w:rsidR="00000000" w:rsidRDefault="00216019">
            <w:pPr>
              <w:jc w:val="right"/>
              <w:rPr>
                <w:snapToGrid w:val="0"/>
                <w:color w:val="000000"/>
                <w:sz w:val="20"/>
              </w:rPr>
            </w:pPr>
            <w:r>
              <w:rPr>
                <w:snapToGrid w:val="0"/>
                <w:color w:val="000000"/>
                <w:sz w:val="20"/>
              </w:rPr>
              <w:t xml:space="preserve"> $    430,682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4. Mental health substance abuse</w:t>
            </w:r>
          </w:p>
        </w:tc>
        <w:tc>
          <w:tcPr>
            <w:tcW w:w="1620" w:type="dxa"/>
          </w:tcPr>
          <w:p w:rsidR="00000000" w:rsidRDefault="00216019">
            <w:pPr>
              <w:jc w:val="right"/>
              <w:rPr>
                <w:snapToGrid w:val="0"/>
                <w:color w:val="000000"/>
                <w:sz w:val="20"/>
              </w:rPr>
            </w:pPr>
            <w:r>
              <w:rPr>
                <w:snapToGrid w:val="0"/>
                <w:color w:val="000000"/>
                <w:sz w:val="20"/>
              </w:rPr>
              <w:t xml:space="preserve"> $     71,657 </w:t>
            </w:r>
          </w:p>
        </w:tc>
        <w:tc>
          <w:tcPr>
            <w:tcW w:w="1530" w:type="dxa"/>
          </w:tcPr>
          <w:p w:rsidR="00000000" w:rsidRDefault="00216019">
            <w:pPr>
              <w:jc w:val="right"/>
              <w:rPr>
                <w:snapToGrid w:val="0"/>
                <w:color w:val="000000"/>
                <w:sz w:val="20"/>
              </w:rPr>
            </w:pPr>
            <w:r>
              <w:rPr>
                <w:snapToGrid w:val="0"/>
                <w:color w:val="000000"/>
                <w:sz w:val="20"/>
              </w:rPr>
              <w:t xml:space="preserve"> $     71,657 </w:t>
            </w:r>
          </w:p>
        </w:tc>
        <w:tc>
          <w:tcPr>
            <w:tcW w:w="1440" w:type="dxa"/>
          </w:tcPr>
          <w:p w:rsidR="00000000" w:rsidRDefault="00216019">
            <w:pPr>
              <w:jc w:val="right"/>
              <w:rPr>
                <w:snapToGrid w:val="0"/>
                <w:color w:val="000000"/>
                <w:sz w:val="20"/>
              </w:rPr>
            </w:pPr>
            <w:r>
              <w:rPr>
                <w:snapToGrid w:val="0"/>
                <w:color w:val="000000"/>
                <w:sz w:val="20"/>
              </w:rPr>
              <w:t xml:space="preserve"> $      89,524 </w:t>
            </w:r>
          </w:p>
        </w:tc>
        <w:tc>
          <w:tcPr>
            <w:tcW w:w="1530" w:type="dxa"/>
          </w:tcPr>
          <w:p w:rsidR="00000000" w:rsidRDefault="00216019">
            <w:pPr>
              <w:jc w:val="right"/>
              <w:rPr>
                <w:snapToGrid w:val="0"/>
                <w:color w:val="000000"/>
                <w:sz w:val="20"/>
              </w:rPr>
            </w:pPr>
            <w:r>
              <w:rPr>
                <w:snapToGrid w:val="0"/>
                <w:color w:val="000000"/>
                <w:sz w:val="20"/>
              </w:rPr>
              <w:t xml:space="preserve"> $      89,524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5. Nutrition counseling</w:t>
            </w:r>
          </w:p>
        </w:tc>
        <w:tc>
          <w:tcPr>
            <w:tcW w:w="1620" w:type="dxa"/>
          </w:tcPr>
          <w:p w:rsidR="00000000" w:rsidRDefault="00216019">
            <w:pPr>
              <w:jc w:val="right"/>
              <w:rPr>
                <w:snapToGrid w:val="0"/>
                <w:color w:val="000000"/>
                <w:sz w:val="20"/>
              </w:rPr>
            </w:pPr>
            <w:r>
              <w:rPr>
                <w:snapToGrid w:val="0"/>
                <w:color w:val="000000"/>
                <w:sz w:val="20"/>
              </w:rPr>
              <w:t xml:space="preserve"> $     52,290 </w:t>
            </w:r>
          </w:p>
        </w:tc>
        <w:tc>
          <w:tcPr>
            <w:tcW w:w="1530" w:type="dxa"/>
          </w:tcPr>
          <w:p w:rsidR="00000000" w:rsidRDefault="00216019">
            <w:pPr>
              <w:jc w:val="right"/>
              <w:rPr>
                <w:snapToGrid w:val="0"/>
                <w:color w:val="000000"/>
                <w:sz w:val="20"/>
              </w:rPr>
            </w:pPr>
            <w:r>
              <w:rPr>
                <w:snapToGrid w:val="0"/>
                <w:color w:val="000000"/>
                <w:sz w:val="20"/>
              </w:rPr>
              <w:t xml:space="preserve"> $     54,227 </w:t>
            </w:r>
          </w:p>
        </w:tc>
        <w:tc>
          <w:tcPr>
            <w:tcW w:w="1440" w:type="dxa"/>
          </w:tcPr>
          <w:p w:rsidR="00000000" w:rsidRDefault="00216019">
            <w:pPr>
              <w:jc w:val="right"/>
              <w:rPr>
                <w:snapToGrid w:val="0"/>
                <w:color w:val="000000"/>
                <w:sz w:val="20"/>
              </w:rPr>
            </w:pPr>
            <w:r>
              <w:rPr>
                <w:snapToGrid w:val="0"/>
                <w:color w:val="000000"/>
                <w:sz w:val="20"/>
              </w:rPr>
              <w:t xml:space="preserve"> $      65,328 </w:t>
            </w:r>
          </w:p>
        </w:tc>
        <w:tc>
          <w:tcPr>
            <w:tcW w:w="1530" w:type="dxa"/>
          </w:tcPr>
          <w:p w:rsidR="00000000" w:rsidRDefault="00216019">
            <w:pPr>
              <w:jc w:val="right"/>
              <w:rPr>
                <w:snapToGrid w:val="0"/>
                <w:color w:val="000000"/>
                <w:sz w:val="20"/>
              </w:rPr>
            </w:pPr>
            <w:r>
              <w:rPr>
                <w:snapToGrid w:val="0"/>
                <w:color w:val="000000"/>
                <w:sz w:val="20"/>
              </w:rPr>
              <w:t xml:space="preserve"> $      67,748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 xml:space="preserve">    Nutrition supplements</w:t>
            </w:r>
          </w:p>
        </w:tc>
        <w:tc>
          <w:tcPr>
            <w:tcW w:w="1620" w:type="dxa"/>
            <w:tcBorders>
              <w:bottom w:val="single" w:sz="4" w:space="0" w:color="auto"/>
            </w:tcBorders>
          </w:tcPr>
          <w:p w:rsidR="00000000" w:rsidRDefault="00216019">
            <w:pPr>
              <w:jc w:val="right"/>
              <w:rPr>
                <w:snapToGrid w:val="0"/>
                <w:color w:val="000000"/>
                <w:sz w:val="20"/>
              </w:rPr>
            </w:pPr>
            <w:r>
              <w:rPr>
                <w:snapToGrid w:val="0"/>
                <w:color w:val="000000"/>
                <w:sz w:val="20"/>
              </w:rPr>
              <w:t xml:space="preserve"> $       </w:t>
            </w:r>
            <w:r>
              <w:rPr>
                <w:snapToGrid w:val="0"/>
                <w:color w:val="000000"/>
                <w:sz w:val="20"/>
              </w:rPr>
              <w:t xml:space="preserve">9,683 </w:t>
            </w:r>
          </w:p>
        </w:tc>
        <w:tc>
          <w:tcPr>
            <w:tcW w:w="1530" w:type="dxa"/>
            <w:tcBorders>
              <w:bottom w:val="single" w:sz="4" w:space="0" w:color="auto"/>
            </w:tcBorders>
          </w:tcPr>
          <w:p w:rsidR="00000000" w:rsidRDefault="00216019">
            <w:pPr>
              <w:jc w:val="right"/>
              <w:rPr>
                <w:snapToGrid w:val="0"/>
                <w:color w:val="000000"/>
                <w:sz w:val="20"/>
              </w:rPr>
            </w:pPr>
            <w:r>
              <w:rPr>
                <w:snapToGrid w:val="0"/>
                <w:color w:val="000000"/>
                <w:sz w:val="20"/>
              </w:rPr>
              <w:t xml:space="preserve"> $     19,367 </w:t>
            </w:r>
          </w:p>
        </w:tc>
        <w:tc>
          <w:tcPr>
            <w:tcW w:w="1440" w:type="dxa"/>
            <w:tcBorders>
              <w:bottom w:val="single" w:sz="4" w:space="0" w:color="auto"/>
            </w:tcBorders>
          </w:tcPr>
          <w:p w:rsidR="00000000" w:rsidRDefault="00216019">
            <w:pPr>
              <w:jc w:val="right"/>
              <w:rPr>
                <w:snapToGrid w:val="0"/>
                <w:color w:val="000000"/>
                <w:sz w:val="20"/>
              </w:rPr>
            </w:pPr>
            <w:r>
              <w:rPr>
                <w:snapToGrid w:val="0"/>
                <w:color w:val="000000"/>
                <w:sz w:val="20"/>
              </w:rPr>
              <w:t xml:space="preserve"> $      12,098 </w:t>
            </w:r>
          </w:p>
        </w:tc>
        <w:tc>
          <w:tcPr>
            <w:tcW w:w="1530" w:type="dxa"/>
            <w:tcBorders>
              <w:bottom w:val="single" w:sz="4" w:space="0" w:color="auto"/>
            </w:tcBorders>
          </w:tcPr>
          <w:p w:rsidR="00000000" w:rsidRDefault="00216019">
            <w:pPr>
              <w:jc w:val="right"/>
              <w:rPr>
                <w:snapToGrid w:val="0"/>
                <w:color w:val="000000"/>
                <w:sz w:val="20"/>
              </w:rPr>
            </w:pPr>
            <w:r>
              <w:rPr>
                <w:snapToGrid w:val="0"/>
                <w:color w:val="000000"/>
                <w:sz w:val="20"/>
              </w:rPr>
              <w:t xml:space="preserve"> $      24,196 </w:t>
            </w:r>
          </w:p>
        </w:tc>
      </w:tr>
      <w:tr w:rsidR="00000000">
        <w:tblPrEx>
          <w:tblCellMar>
            <w:top w:w="0" w:type="dxa"/>
            <w:bottom w:w="0" w:type="dxa"/>
          </w:tblCellMar>
        </w:tblPrEx>
        <w:trPr>
          <w:trHeight w:val="259"/>
        </w:trPr>
        <w:tc>
          <w:tcPr>
            <w:tcW w:w="5790" w:type="dxa"/>
          </w:tcPr>
          <w:p w:rsidR="00000000" w:rsidRDefault="00216019">
            <w:pPr>
              <w:rPr>
                <w:b/>
                <w:snapToGrid w:val="0"/>
                <w:color w:val="000000"/>
                <w:sz w:val="20"/>
              </w:rPr>
            </w:pPr>
            <w:r>
              <w:rPr>
                <w:b/>
                <w:snapToGrid w:val="0"/>
                <w:color w:val="000000"/>
                <w:sz w:val="20"/>
              </w:rPr>
              <w:t>Total</w:t>
            </w:r>
          </w:p>
        </w:tc>
        <w:tc>
          <w:tcPr>
            <w:tcW w:w="1620" w:type="dxa"/>
          </w:tcPr>
          <w:p w:rsidR="00000000" w:rsidRDefault="00216019">
            <w:pPr>
              <w:jc w:val="right"/>
              <w:rPr>
                <w:snapToGrid w:val="0"/>
                <w:color w:val="000000"/>
                <w:sz w:val="20"/>
              </w:rPr>
            </w:pPr>
            <w:r>
              <w:rPr>
                <w:snapToGrid w:val="0"/>
                <w:color w:val="000000"/>
                <w:sz w:val="20"/>
              </w:rPr>
              <w:t xml:space="preserve">$  854,079 </w:t>
            </w:r>
          </w:p>
        </w:tc>
        <w:tc>
          <w:tcPr>
            <w:tcW w:w="1530" w:type="dxa"/>
          </w:tcPr>
          <w:p w:rsidR="00000000" w:rsidRDefault="00216019">
            <w:pPr>
              <w:jc w:val="right"/>
              <w:rPr>
                <w:snapToGrid w:val="0"/>
                <w:color w:val="000000"/>
                <w:sz w:val="20"/>
              </w:rPr>
            </w:pPr>
            <w:r>
              <w:rPr>
                <w:snapToGrid w:val="0"/>
                <w:color w:val="000000"/>
                <w:sz w:val="20"/>
              </w:rPr>
              <w:t xml:space="preserve">$  875,383 </w:t>
            </w:r>
          </w:p>
        </w:tc>
        <w:tc>
          <w:tcPr>
            <w:tcW w:w="1440" w:type="dxa"/>
          </w:tcPr>
          <w:p w:rsidR="00000000" w:rsidRDefault="00216019">
            <w:pPr>
              <w:jc w:val="right"/>
              <w:rPr>
                <w:snapToGrid w:val="0"/>
                <w:color w:val="000000"/>
                <w:sz w:val="20"/>
              </w:rPr>
            </w:pPr>
            <w:r>
              <w:rPr>
                <w:snapToGrid w:val="0"/>
                <w:color w:val="000000"/>
                <w:sz w:val="20"/>
              </w:rPr>
              <w:t xml:space="preserve">$ 1,067,030 </w:t>
            </w:r>
          </w:p>
        </w:tc>
        <w:tc>
          <w:tcPr>
            <w:tcW w:w="1530" w:type="dxa"/>
          </w:tcPr>
          <w:p w:rsidR="00000000" w:rsidRDefault="00216019">
            <w:pPr>
              <w:jc w:val="right"/>
              <w:rPr>
                <w:snapToGrid w:val="0"/>
                <w:color w:val="000000"/>
                <w:sz w:val="20"/>
              </w:rPr>
            </w:pPr>
            <w:r>
              <w:rPr>
                <w:snapToGrid w:val="0"/>
                <w:color w:val="000000"/>
                <w:sz w:val="20"/>
              </w:rPr>
              <w:t xml:space="preserve">$1,093,646 </w:t>
            </w:r>
          </w:p>
        </w:tc>
      </w:tr>
      <w:tr w:rsidR="00000000">
        <w:tblPrEx>
          <w:tblCellMar>
            <w:top w:w="0" w:type="dxa"/>
            <w:bottom w:w="0" w:type="dxa"/>
          </w:tblCellMar>
        </w:tblPrEx>
        <w:trPr>
          <w:trHeight w:val="259"/>
        </w:trPr>
        <w:tc>
          <w:tcPr>
            <w:tcW w:w="5790" w:type="dxa"/>
          </w:tcPr>
          <w:p w:rsidR="00000000" w:rsidRDefault="00216019">
            <w:pPr>
              <w:rPr>
                <w:i/>
                <w:snapToGrid w:val="0"/>
                <w:color w:val="000000"/>
                <w:sz w:val="20"/>
              </w:rPr>
            </w:pPr>
            <w:r>
              <w:rPr>
                <w:i/>
                <w:snapToGrid w:val="0"/>
                <w:color w:val="000000"/>
                <w:sz w:val="20"/>
              </w:rPr>
              <w:t>State dollars</w:t>
            </w:r>
          </w:p>
        </w:tc>
        <w:tc>
          <w:tcPr>
            <w:tcW w:w="1620" w:type="dxa"/>
          </w:tcPr>
          <w:p w:rsidR="00000000" w:rsidRDefault="00216019">
            <w:pPr>
              <w:jc w:val="right"/>
              <w:rPr>
                <w:snapToGrid w:val="0"/>
                <w:color w:val="000000"/>
                <w:sz w:val="20"/>
              </w:rPr>
            </w:pPr>
            <w:r>
              <w:rPr>
                <w:snapToGrid w:val="0"/>
                <w:color w:val="000000"/>
                <w:sz w:val="20"/>
              </w:rPr>
              <w:t xml:space="preserve">$  218,217 </w:t>
            </w:r>
          </w:p>
        </w:tc>
        <w:tc>
          <w:tcPr>
            <w:tcW w:w="1530" w:type="dxa"/>
          </w:tcPr>
          <w:p w:rsidR="00000000" w:rsidRDefault="00216019">
            <w:pPr>
              <w:jc w:val="right"/>
              <w:rPr>
                <w:snapToGrid w:val="0"/>
                <w:color w:val="000000"/>
                <w:sz w:val="20"/>
              </w:rPr>
            </w:pPr>
            <w:r>
              <w:rPr>
                <w:snapToGrid w:val="0"/>
                <w:color w:val="000000"/>
                <w:sz w:val="20"/>
              </w:rPr>
              <w:t xml:space="preserve">$  223,660 </w:t>
            </w:r>
          </w:p>
        </w:tc>
        <w:tc>
          <w:tcPr>
            <w:tcW w:w="1440" w:type="dxa"/>
          </w:tcPr>
          <w:p w:rsidR="00000000" w:rsidRDefault="00216019">
            <w:pPr>
              <w:jc w:val="right"/>
              <w:rPr>
                <w:snapToGrid w:val="0"/>
                <w:color w:val="000000"/>
                <w:sz w:val="20"/>
              </w:rPr>
            </w:pPr>
            <w:r>
              <w:rPr>
                <w:snapToGrid w:val="0"/>
                <w:color w:val="000000"/>
                <w:sz w:val="20"/>
              </w:rPr>
              <w:t xml:space="preserve">$    272,626 </w:t>
            </w:r>
          </w:p>
        </w:tc>
        <w:tc>
          <w:tcPr>
            <w:tcW w:w="1530" w:type="dxa"/>
          </w:tcPr>
          <w:p w:rsidR="00000000" w:rsidRDefault="00216019">
            <w:pPr>
              <w:jc w:val="right"/>
              <w:rPr>
                <w:snapToGrid w:val="0"/>
                <w:color w:val="000000"/>
                <w:sz w:val="20"/>
              </w:rPr>
            </w:pPr>
            <w:r>
              <w:rPr>
                <w:snapToGrid w:val="0"/>
                <w:color w:val="000000"/>
                <w:sz w:val="20"/>
              </w:rPr>
              <w:t xml:space="preserve">$   279,427 </w:t>
            </w:r>
          </w:p>
        </w:tc>
      </w:tr>
      <w:tr w:rsidR="00000000">
        <w:tblPrEx>
          <w:tblCellMar>
            <w:top w:w="0" w:type="dxa"/>
            <w:bottom w:w="0" w:type="dxa"/>
          </w:tblCellMar>
        </w:tblPrEx>
        <w:trPr>
          <w:trHeight w:val="259"/>
        </w:trPr>
        <w:tc>
          <w:tcPr>
            <w:tcW w:w="5790" w:type="dxa"/>
          </w:tcPr>
          <w:p w:rsidR="00000000" w:rsidRDefault="00216019">
            <w:pPr>
              <w:rPr>
                <w:snapToGrid w:val="0"/>
                <w:color w:val="000000"/>
                <w:sz w:val="20"/>
              </w:rPr>
            </w:pPr>
            <w:r>
              <w:rPr>
                <w:snapToGrid w:val="0"/>
                <w:color w:val="000000"/>
                <w:sz w:val="20"/>
              </w:rPr>
              <w:t>Federal dollars</w:t>
            </w:r>
          </w:p>
        </w:tc>
        <w:tc>
          <w:tcPr>
            <w:tcW w:w="1620" w:type="dxa"/>
          </w:tcPr>
          <w:p w:rsidR="00000000" w:rsidRDefault="00216019">
            <w:pPr>
              <w:jc w:val="right"/>
              <w:rPr>
                <w:snapToGrid w:val="0"/>
                <w:color w:val="000000"/>
                <w:sz w:val="20"/>
              </w:rPr>
            </w:pPr>
            <w:r>
              <w:rPr>
                <w:snapToGrid w:val="0"/>
                <w:color w:val="000000"/>
                <w:sz w:val="20"/>
              </w:rPr>
              <w:t xml:space="preserve">$  635,862 </w:t>
            </w:r>
          </w:p>
        </w:tc>
        <w:tc>
          <w:tcPr>
            <w:tcW w:w="1530" w:type="dxa"/>
          </w:tcPr>
          <w:p w:rsidR="00000000" w:rsidRDefault="00216019">
            <w:pPr>
              <w:jc w:val="right"/>
              <w:rPr>
                <w:snapToGrid w:val="0"/>
                <w:color w:val="000000"/>
                <w:sz w:val="20"/>
              </w:rPr>
            </w:pPr>
            <w:r>
              <w:rPr>
                <w:snapToGrid w:val="0"/>
                <w:color w:val="000000"/>
                <w:sz w:val="20"/>
              </w:rPr>
              <w:t xml:space="preserve">$  651,723 </w:t>
            </w:r>
          </w:p>
        </w:tc>
        <w:tc>
          <w:tcPr>
            <w:tcW w:w="1440" w:type="dxa"/>
          </w:tcPr>
          <w:p w:rsidR="00000000" w:rsidRDefault="00216019">
            <w:pPr>
              <w:jc w:val="right"/>
              <w:rPr>
                <w:snapToGrid w:val="0"/>
                <w:color w:val="000000"/>
                <w:sz w:val="20"/>
              </w:rPr>
            </w:pPr>
            <w:r>
              <w:rPr>
                <w:snapToGrid w:val="0"/>
                <w:color w:val="000000"/>
                <w:sz w:val="20"/>
              </w:rPr>
              <w:t xml:space="preserve">$    794,404 </w:t>
            </w:r>
          </w:p>
        </w:tc>
        <w:tc>
          <w:tcPr>
            <w:tcW w:w="1530" w:type="dxa"/>
          </w:tcPr>
          <w:p w:rsidR="00000000" w:rsidRDefault="00216019">
            <w:pPr>
              <w:jc w:val="right"/>
              <w:rPr>
                <w:snapToGrid w:val="0"/>
                <w:color w:val="000000"/>
                <w:sz w:val="20"/>
              </w:rPr>
            </w:pPr>
            <w:r>
              <w:rPr>
                <w:snapToGrid w:val="0"/>
                <w:color w:val="000000"/>
                <w:sz w:val="20"/>
              </w:rPr>
              <w:t xml:space="preserve">$  814,219 </w:t>
            </w:r>
          </w:p>
        </w:tc>
      </w:tr>
    </w:tbl>
    <w:p w:rsidR="00000000" w:rsidRDefault="00216019">
      <w:pPr>
        <w:sectPr w:rsidR="00000000">
          <w:footerReference w:type="default" r:id="rId12"/>
          <w:pgSz w:w="15840" w:h="12240" w:orient="landscape" w:code="1"/>
          <w:pgMar w:top="720" w:right="720" w:bottom="720" w:left="720" w:header="720" w:footer="720" w:gutter="0"/>
          <w:pgNumType w:start="1"/>
          <w:cols w:space="720"/>
        </w:sect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left="720" w:hanging="720"/>
        <w:rPr>
          <w:i/>
          <w:sz w:val="36"/>
        </w:rPr>
      </w:pPr>
    </w:p>
    <w:p w:rsidR="00000000" w:rsidRDefault="00216019">
      <w:pPr>
        <w:ind w:firstLine="720"/>
        <w:rPr>
          <w:i/>
          <w:sz w:val="36"/>
        </w:rPr>
      </w:pPr>
      <w:r>
        <w:rPr>
          <w:i/>
          <w:sz w:val="36"/>
        </w:rPr>
        <w:t>Attachment 2:</w:t>
      </w:r>
      <w:r>
        <w:rPr>
          <w:i/>
          <w:sz w:val="36"/>
        </w:rPr>
        <w:tab/>
        <w:t xml:space="preserve">  Outcomes of Care for Children Enrolled in</w:t>
      </w:r>
    </w:p>
    <w:p w:rsidR="00000000" w:rsidRDefault="00216019">
      <w:pPr>
        <w:ind w:left="1440" w:firstLine="720"/>
        <w:rPr>
          <w:i/>
          <w:sz w:val="36"/>
        </w:rPr>
      </w:pPr>
      <w:r>
        <w:rPr>
          <w:i/>
          <w:sz w:val="36"/>
        </w:rPr>
        <w:t xml:space="preserve"> </w:t>
      </w:r>
      <w:r>
        <w:rPr>
          <w:b/>
          <w:i/>
          <w:iCs/>
          <w:sz w:val="36"/>
        </w:rPr>
        <w:t>hawk</w:t>
      </w:r>
      <w:r>
        <w:rPr>
          <w:b/>
          <w:i/>
          <w:iCs/>
          <w:sz w:val="36"/>
        </w:rPr>
        <w:noBreakHyphen/>
        <w:t>i</w:t>
      </w:r>
      <w:r>
        <w:rPr>
          <w:i/>
          <w:iCs/>
          <w:sz w:val="36"/>
        </w:rPr>
        <w:t xml:space="preserve"> </w:t>
      </w:r>
      <w:r>
        <w:rPr>
          <w:i/>
          <w:sz w:val="36"/>
        </w:rPr>
        <w:t>and Attention Deficit Hyperactivity</w:t>
      </w:r>
    </w:p>
    <w:p w:rsidR="00000000" w:rsidRDefault="00216019">
      <w:pPr>
        <w:ind w:left="2160" w:firstLine="720"/>
        <w:rPr>
          <w:i/>
          <w:sz w:val="36"/>
        </w:rPr>
      </w:pPr>
      <w:r>
        <w:rPr>
          <w:i/>
          <w:sz w:val="36"/>
        </w:rPr>
        <w:t xml:space="preserve">Disorder and Children in </w:t>
      </w:r>
      <w:r>
        <w:rPr>
          <w:b/>
          <w:i/>
          <w:iCs/>
          <w:sz w:val="36"/>
        </w:rPr>
        <w:t>hawk</w:t>
      </w:r>
      <w:r>
        <w:rPr>
          <w:b/>
          <w:i/>
          <w:iCs/>
          <w:sz w:val="36"/>
        </w:rPr>
        <w:noBreakHyphen/>
        <w:t>i</w:t>
      </w:r>
    </w:p>
    <w:p w:rsidR="00000000" w:rsidRDefault="00216019">
      <w:pPr>
        <w:ind w:left="720" w:hanging="720"/>
        <w:jc w:val="center"/>
        <w:rPr>
          <w:i/>
          <w:sz w:val="36"/>
        </w:rPr>
      </w:pPr>
    </w:p>
    <w:p w:rsidR="00000000" w:rsidRDefault="00216019">
      <w:pPr>
        <w:ind w:left="720" w:hanging="720"/>
        <w:jc w:val="center"/>
        <w:rPr>
          <w:i/>
          <w:sz w:val="36"/>
        </w:rPr>
        <w:sectPr w:rsidR="00000000">
          <w:pgSz w:w="12240" w:h="15840" w:code="1"/>
          <w:pgMar w:top="720" w:right="720" w:bottom="720" w:left="720" w:header="720" w:footer="720" w:gutter="0"/>
          <w:pgNumType w:start="1"/>
          <w:cols w:space="720"/>
          <w:titlePg/>
        </w:sectPr>
      </w:pPr>
    </w:p>
    <w:p w:rsidR="00000000" w:rsidRDefault="00216019">
      <w:pPr>
        <w:pStyle w:val="text"/>
        <w:spacing w:line="0" w:lineRule="atLeast"/>
        <w:rPr>
          <w:rFonts w:ascii="Arial" w:hAnsi="Arial"/>
          <w:b/>
          <w:color w:val="000000"/>
          <w:sz w:val="44"/>
        </w:rPr>
      </w:pPr>
      <w:r>
        <w:rPr>
          <w:rFonts w:ascii="Arial" w:hAnsi="Arial"/>
          <w:b/>
          <w:color w:val="000000"/>
          <w:sz w:val="44"/>
        </w:rPr>
        <w:lastRenderedPageBreak/>
        <w:t xml:space="preserve">Outcomes of care for </w:t>
      </w:r>
      <w:r>
        <w:rPr>
          <w:rFonts w:ascii="Arial" w:hAnsi="Arial"/>
          <w:b/>
          <w:color w:val="000000"/>
          <w:sz w:val="44"/>
        </w:rPr>
        <w:br/>
        <w:t xml:space="preserve">children in </w:t>
      </w:r>
      <w:r>
        <w:rPr>
          <w:rFonts w:ascii="Arial" w:hAnsi="Arial"/>
          <w:b/>
          <w:i/>
          <w:color w:val="000000"/>
          <w:sz w:val="44"/>
        </w:rPr>
        <w:t>hawk-i</w:t>
      </w:r>
      <w:r>
        <w:rPr>
          <w:rFonts w:ascii="Arial" w:hAnsi="Arial"/>
          <w:b/>
          <w:color w:val="000000"/>
          <w:sz w:val="44"/>
        </w:rPr>
        <w:t xml:space="preserve"> </w:t>
      </w:r>
    </w:p>
    <w:p w:rsidR="00000000" w:rsidRDefault="00216019">
      <w:pPr>
        <w:pStyle w:val="text"/>
        <w:spacing w:line="0" w:lineRule="atLeast"/>
        <w:rPr>
          <w:rFonts w:ascii="Arial" w:hAnsi="Arial"/>
          <w:b/>
          <w:color w:val="000000"/>
          <w:sz w:val="44"/>
        </w:rPr>
      </w:pPr>
    </w:p>
    <w:p w:rsidR="00000000" w:rsidRDefault="00216019">
      <w:pPr>
        <w:pStyle w:val="text"/>
        <w:spacing w:line="0" w:lineRule="atLeast"/>
        <w:outlineLvl w:val="0"/>
        <w:rPr>
          <w:rFonts w:ascii="Arial" w:hAnsi="Arial"/>
          <w:b/>
          <w:color w:val="000000"/>
          <w:sz w:val="36"/>
        </w:rPr>
      </w:pPr>
    </w:p>
    <w:p w:rsidR="00000000" w:rsidRDefault="00216019">
      <w:pPr>
        <w:pStyle w:val="text"/>
        <w:spacing w:line="0" w:lineRule="atLeast"/>
        <w:rPr>
          <w:rFonts w:ascii="Arial" w:hAnsi="Arial"/>
          <w:color w:val="000000"/>
          <w:sz w:val="32"/>
        </w:rPr>
      </w:pPr>
      <w:r>
        <w:rPr>
          <w:rFonts w:ascii="Arial" w:hAnsi="Arial"/>
          <w:b/>
          <w:color w:val="000000"/>
          <w:sz w:val="32"/>
        </w:rPr>
        <w:t xml:space="preserve">Report to the </w:t>
      </w:r>
      <w:r>
        <w:rPr>
          <w:rFonts w:ascii="Arial" w:hAnsi="Arial"/>
          <w:b/>
          <w:color w:val="000000"/>
          <w:sz w:val="32"/>
        </w:rPr>
        <w:br/>
        <w:t xml:space="preserve">Iowa Department of Human Services </w:t>
      </w:r>
    </w:p>
    <w:p w:rsidR="00000000" w:rsidRDefault="00216019">
      <w:pPr>
        <w:pStyle w:val="text"/>
        <w:spacing w:line="0" w:lineRule="atLeast"/>
        <w:rPr>
          <w:rFonts w:ascii="Arial" w:hAnsi="Arial"/>
          <w:color w:val="000000"/>
        </w:rPr>
      </w:pPr>
    </w:p>
    <w:p w:rsidR="00000000" w:rsidRDefault="00216019">
      <w:pPr>
        <w:pStyle w:val="text"/>
        <w:spacing w:line="0" w:lineRule="atLeast"/>
        <w:rPr>
          <w:rFonts w:ascii="Arial" w:hAnsi="Arial"/>
          <w:color w:val="000000"/>
        </w:rPr>
      </w:pPr>
      <w:r>
        <w:rPr>
          <w:rFonts w:ascii="Arial" w:hAnsi="Arial"/>
          <w:color w:val="000000"/>
        </w:rPr>
        <w:t>Elizabeth T. Momany, PhD</w:t>
      </w:r>
      <w:r>
        <w:rPr>
          <w:rFonts w:ascii="Arial" w:hAnsi="Arial"/>
          <w:color w:val="000000"/>
        </w:rPr>
        <w:br/>
        <w:t xml:space="preserve">Assistant Research Scientist </w:t>
      </w:r>
    </w:p>
    <w:p w:rsidR="00000000" w:rsidRDefault="00216019">
      <w:pPr>
        <w:pStyle w:val="text"/>
        <w:spacing w:line="0" w:lineRule="atLeast"/>
        <w:rPr>
          <w:rFonts w:ascii="Arial" w:hAnsi="Arial"/>
          <w:color w:val="000000"/>
        </w:rPr>
      </w:pPr>
      <w:r>
        <w:rPr>
          <w:rFonts w:ascii="Arial" w:hAnsi="Arial"/>
          <w:color w:val="000000"/>
        </w:rPr>
        <w:t>Peter C. Damiano, DDS, MPH</w:t>
      </w:r>
      <w:r>
        <w:rPr>
          <w:rFonts w:ascii="Arial" w:hAnsi="Arial"/>
          <w:color w:val="000000"/>
        </w:rPr>
        <w:br/>
        <w:t>Professor and Director</w:t>
      </w:r>
    </w:p>
    <w:p w:rsidR="00000000" w:rsidRDefault="00216019">
      <w:pPr>
        <w:pStyle w:val="text"/>
        <w:spacing w:line="0" w:lineRule="atLeast"/>
        <w:rPr>
          <w:rFonts w:ascii="Arial" w:hAnsi="Arial"/>
          <w:color w:val="000000"/>
        </w:rPr>
      </w:pPr>
      <w:r>
        <w:rPr>
          <w:rFonts w:ascii="Arial" w:hAnsi="Arial"/>
          <w:color w:val="000000"/>
        </w:rPr>
        <w:t xml:space="preserve">Margaret C. Tyler, MA, MSW </w:t>
      </w:r>
      <w:r>
        <w:rPr>
          <w:rFonts w:ascii="Arial" w:hAnsi="Arial"/>
          <w:color w:val="000000"/>
        </w:rPr>
        <w:br/>
        <w:t xml:space="preserve">Research Assistant </w:t>
      </w:r>
    </w:p>
    <w:p w:rsidR="00000000" w:rsidRDefault="00216019">
      <w:pPr>
        <w:pStyle w:val="text"/>
        <w:spacing w:line="0" w:lineRule="atLeast"/>
        <w:rPr>
          <w:rFonts w:ascii="Arial" w:hAnsi="Arial"/>
          <w:color w:val="000000"/>
        </w:rPr>
      </w:pPr>
    </w:p>
    <w:p w:rsidR="00000000" w:rsidRDefault="00216019">
      <w:pPr>
        <w:pStyle w:val="text"/>
        <w:spacing w:line="0" w:lineRule="atLeast"/>
        <w:rPr>
          <w:rFonts w:ascii="Arial" w:hAnsi="Arial"/>
          <w:b/>
          <w:color w:val="000000"/>
        </w:rPr>
      </w:pPr>
      <w:r>
        <w:rPr>
          <w:rFonts w:ascii="Arial" w:hAnsi="Arial"/>
          <w:color w:val="000000"/>
        </w:rPr>
        <w:t xml:space="preserve">Health Policy Research Program </w:t>
      </w:r>
      <w:r>
        <w:rPr>
          <w:rFonts w:ascii="Arial" w:hAnsi="Arial"/>
          <w:color w:val="000000"/>
        </w:rPr>
        <w:br/>
        <w:t>Public Policy Center</w:t>
      </w:r>
      <w:r>
        <w:rPr>
          <w:rFonts w:ascii="Arial" w:hAnsi="Arial"/>
          <w:color w:val="000000"/>
        </w:rPr>
        <w:br/>
        <w:t>The University of Iowa</w:t>
      </w:r>
    </w:p>
    <w:p w:rsidR="00000000" w:rsidRDefault="00216019">
      <w:pPr>
        <w:pStyle w:val="text"/>
        <w:spacing w:line="0" w:lineRule="atLeast"/>
        <w:rPr>
          <w:rFonts w:ascii="Arial" w:hAnsi="Arial"/>
          <w:b/>
          <w:color w:val="000000"/>
        </w:rPr>
      </w:pPr>
    </w:p>
    <w:p w:rsidR="00000000" w:rsidRDefault="00216019">
      <w:pPr>
        <w:pStyle w:val="text"/>
        <w:spacing w:line="264" w:lineRule="exact"/>
        <w:rPr>
          <w:rFonts w:ascii="Arial" w:hAnsi="Arial"/>
          <w:color w:val="000000"/>
        </w:rPr>
      </w:pPr>
      <w:r>
        <w:rPr>
          <w:rFonts w:ascii="Arial" w:hAnsi="Arial"/>
          <w:color w:val="000000"/>
        </w:rPr>
        <w:t>October 2003</w:t>
      </w:r>
    </w:p>
    <w:p w:rsidR="00000000" w:rsidRDefault="00216019">
      <w:pPr>
        <w:pStyle w:val="text"/>
        <w:spacing w:line="264" w:lineRule="exact"/>
        <w:rPr>
          <w:rFonts w:ascii="Arial" w:hAnsi="Arial"/>
          <w:color w:val="000000"/>
        </w:rPr>
      </w:pPr>
    </w:p>
    <w:p w:rsidR="00000000" w:rsidRDefault="00216019">
      <w:pPr>
        <w:pStyle w:val="text"/>
        <w:spacing w:line="264" w:lineRule="exact"/>
        <w:rPr>
          <w:rFonts w:ascii="Arial" w:hAnsi="Arial"/>
          <w:color w:val="000000"/>
        </w:rPr>
      </w:pPr>
    </w:p>
    <w:p w:rsidR="00000000" w:rsidRDefault="00216019">
      <w:pPr>
        <w:pStyle w:val="BodyText3"/>
        <w:rPr>
          <w:rFonts w:ascii="Arial" w:hAnsi="Arial"/>
          <w:sz w:val="18"/>
        </w:rPr>
      </w:pPr>
      <w:r>
        <w:rPr>
          <w:rFonts w:ascii="Arial" w:hAnsi="Arial"/>
          <w:sz w:val="18"/>
        </w:rPr>
        <w:t>The Iowa Department of Human Servi</w:t>
      </w:r>
      <w:r>
        <w:rPr>
          <w:rFonts w:ascii="Arial" w:hAnsi="Arial"/>
          <w:sz w:val="18"/>
        </w:rPr>
        <w:t>ces and the U.S. Department of Health and Human Services, Center for Medicare and Medicaid Services, supported this study. The results and views expressed are the independent products of university research and do not necessarily represent the views of the</w:t>
      </w:r>
      <w:r>
        <w:rPr>
          <w:rFonts w:ascii="Arial" w:hAnsi="Arial"/>
          <w:sz w:val="18"/>
        </w:rPr>
        <w:t xml:space="preserve"> funding agencies. Any analysis, interpretation, or conclusion based on these data is solely that of the authors.  </w:t>
      </w:r>
    </w:p>
    <w:p w:rsidR="00000000" w:rsidRDefault="00216019">
      <w:pPr>
        <w:jc w:val="center"/>
        <w:rPr>
          <w:b/>
          <w:bCs/>
          <w:color w:val="000000"/>
          <w:sz w:val="28"/>
        </w:rPr>
      </w:pPr>
      <w:r>
        <w:rPr>
          <w:color w:val="000000"/>
        </w:rPr>
        <w:br w:type="page"/>
      </w:r>
      <w:r>
        <w:rPr>
          <w:b/>
          <w:bCs/>
          <w:color w:val="000000"/>
          <w:sz w:val="28"/>
        </w:rPr>
        <w:lastRenderedPageBreak/>
        <w:t>Outcomes of c</w:t>
      </w:r>
      <w:r>
        <w:rPr>
          <w:b/>
          <w:bCs/>
          <w:sz w:val="28"/>
        </w:rPr>
        <w:t xml:space="preserve">are for </w:t>
      </w:r>
      <w:r>
        <w:rPr>
          <w:b/>
          <w:bCs/>
          <w:sz w:val="28"/>
        </w:rPr>
        <w:br/>
        <w:t xml:space="preserve">children enrolled in </w:t>
      </w:r>
      <w:r>
        <w:rPr>
          <w:b/>
          <w:bCs/>
          <w:color w:val="000000"/>
          <w:sz w:val="28"/>
        </w:rPr>
        <w:t>hawk-i</w:t>
      </w:r>
    </w:p>
    <w:p w:rsidR="00000000" w:rsidRDefault="00216019">
      <w:pPr>
        <w:rPr>
          <w:color w:val="000000"/>
        </w:rPr>
      </w:pPr>
    </w:p>
    <w:p w:rsidR="00000000" w:rsidRDefault="00216019">
      <w:pPr>
        <w:rPr>
          <w:i/>
          <w:iCs/>
          <w:color w:val="000000"/>
        </w:rPr>
      </w:pPr>
      <w:r>
        <w:rPr>
          <w:i/>
          <w:iCs/>
          <w:color w:val="000000"/>
        </w:rPr>
        <w:t>Introduction</w:t>
      </w:r>
    </w:p>
    <w:p w:rsidR="00000000" w:rsidRDefault="00216019">
      <w:pPr>
        <w:rPr>
          <w:i/>
          <w:iCs/>
          <w:color w:val="000000"/>
        </w:rPr>
      </w:pPr>
    </w:p>
    <w:p w:rsidR="00000000" w:rsidRDefault="00216019">
      <w:pPr>
        <w:pStyle w:val="BodyText"/>
        <w:rPr>
          <w:rFonts w:ascii="Arial" w:hAnsi="Arial"/>
          <w:i w:val="0"/>
          <w:iCs/>
        </w:rPr>
      </w:pPr>
      <w:r>
        <w:rPr>
          <w:rFonts w:ascii="Arial" w:hAnsi="Arial"/>
          <w:i w:val="0"/>
          <w:iCs/>
        </w:rPr>
        <w:t>This report presents results from an analysis of outcomes of care for chil</w:t>
      </w:r>
      <w:r>
        <w:rPr>
          <w:rFonts w:ascii="Arial" w:hAnsi="Arial"/>
          <w:i w:val="0"/>
          <w:iCs/>
        </w:rPr>
        <w:t>dren enrolled in the Healthy and Well Kids in Iowa program (</w:t>
      </w:r>
      <w:r>
        <w:rPr>
          <w:rFonts w:ascii="Arial" w:hAnsi="Arial"/>
          <w:b/>
        </w:rPr>
        <w:t>hawk-i</w:t>
      </w:r>
      <w:r>
        <w:rPr>
          <w:rFonts w:ascii="Arial" w:hAnsi="Arial"/>
          <w:b/>
          <w:i w:val="0"/>
          <w:iCs/>
        </w:rPr>
        <w:t>)</w:t>
      </w:r>
      <w:r>
        <w:rPr>
          <w:rFonts w:ascii="Arial" w:hAnsi="Arial"/>
          <w:i w:val="0"/>
          <w:iCs/>
        </w:rPr>
        <w:t xml:space="preserve">, conducted by the University of Iowa Public Policy Center for the Iowa Department of Human Services (IDHS). The </w:t>
      </w:r>
      <w:r>
        <w:rPr>
          <w:rFonts w:ascii="Arial" w:hAnsi="Arial"/>
          <w:b/>
        </w:rPr>
        <w:t>hawk-i</w:t>
      </w:r>
      <w:r>
        <w:rPr>
          <w:rFonts w:ascii="Arial" w:hAnsi="Arial"/>
          <w:i w:val="0"/>
          <w:iCs/>
        </w:rPr>
        <w:t xml:space="preserve"> program is the separate portion of the Iowa State Child Health Insura</w:t>
      </w:r>
      <w:r>
        <w:rPr>
          <w:rFonts w:ascii="Arial" w:hAnsi="Arial"/>
          <w:i w:val="0"/>
          <w:iCs/>
        </w:rPr>
        <w:t>nce Program (SCHIP) and provides services to children in families with incomes between 133 and 200% of the Federal Poverty Level (FPL). The IDHS contracts with John Deere Health Plan, Iowa Health Solutions and Wellmark Blue Cross/Blue Shield to provide ser</w:t>
      </w:r>
      <w:r>
        <w:rPr>
          <w:rFonts w:ascii="Arial" w:hAnsi="Arial"/>
          <w:i w:val="0"/>
          <w:iCs/>
        </w:rPr>
        <w:t xml:space="preserve">vices to </w:t>
      </w:r>
      <w:r>
        <w:rPr>
          <w:rFonts w:ascii="Arial" w:hAnsi="Arial"/>
          <w:b/>
        </w:rPr>
        <w:t>hawk-i</w:t>
      </w:r>
      <w:r>
        <w:rPr>
          <w:rFonts w:ascii="Arial" w:hAnsi="Arial"/>
          <w:i w:val="0"/>
          <w:iCs/>
        </w:rPr>
        <w:t xml:space="preserve"> enrollees on a county-by-county basis. This report provides a summary of plan-specific results for 10 different outcomes of care in four different service areas: preventive visits for children and adolescents, dental visits, Measles, Mumps </w:t>
      </w:r>
      <w:r>
        <w:rPr>
          <w:rFonts w:ascii="Arial" w:hAnsi="Arial"/>
          <w:i w:val="0"/>
          <w:iCs/>
        </w:rPr>
        <w:t xml:space="preserve">and Rubella (MMR) immunization and behavioral and emotional health visits. </w:t>
      </w:r>
    </w:p>
    <w:p w:rsidR="00000000" w:rsidRDefault="00216019">
      <w:pPr>
        <w:pStyle w:val="BodyText"/>
        <w:rPr>
          <w:rFonts w:ascii="Arial" w:hAnsi="Arial"/>
          <w:i w:val="0"/>
          <w:iCs/>
        </w:rPr>
      </w:pPr>
    </w:p>
    <w:p w:rsidR="00000000" w:rsidRDefault="00216019">
      <w:pPr>
        <w:pStyle w:val="BodyText"/>
        <w:rPr>
          <w:rFonts w:ascii="Arial" w:hAnsi="Arial"/>
          <w:i w:val="0"/>
          <w:iCs/>
        </w:rPr>
      </w:pPr>
      <w:r>
        <w:rPr>
          <w:rFonts w:ascii="Arial" w:hAnsi="Arial"/>
          <w:i w:val="0"/>
          <w:iCs/>
        </w:rPr>
        <w:t xml:space="preserve">This is the first evaluation of outcome measures as part of the quality assurance activities for the </w:t>
      </w:r>
      <w:r>
        <w:rPr>
          <w:rFonts w:ascii="Arial" w:hAnsi="Arial"/>
          <w:b/>
        </w:rPr>
        <w:t>hawk-i</w:t>
      </w:r>
      <w:r>
        <w:rPr>
          <w:rFonts w:ascii="Arial" w:hAnsi="Arial"/>
          <w:i w:val="0"/>
          <w:iCs/>
        </w:rPr>
        <w:t xml:space="preserve"> program. The measures were adapted from the Healthplan Employer Data an</w:t>
      </w:r>
      <w:r>
        <w:rPr>
          <w:rFonts w:ascii="Arial" w:hAnsi="Arial"/>
          <w:i w:val="0"/>
          <w:iCs/>
        </w:rPr>
        <w:t>d Information Set (HEDIS)</w:t>
      </w:r>
      <w:r>
        <w:rPr>
          <w:rStyle w:val="FootnoteReference"/>
          <w:rFonts w:ascii="Arial" w:hAnsi="Arial"/>
          <w:i w:val="0"/>
          <w:iCs/>
        </w:rPr>
        <w:footnoteReference w:id="2"/>
      </w:r>
      <w:r>
        <w:rPr>
          <w:rFonts w:ascii="Arial" w:hAnsi="Arial"/>
          <w:i w:val="0"/>
          <w:iCs/>
        </w:rPr>
        <w:t xml:space="preserve">. HEDIS are a set of measures developed by the National Committee for Quality Assurance (NCQA) for evaluating the outcomes of health plans. The </w:t>
      </w:r>
      <w:r>
        <w:rPr>
          <w:rFonts w:ascii="Arial" w:hAnsi="Arial"/>
          <w:b/>
        </w:rPr>
        <w:t>hawk-i</w:t>
      </w:r>
      <w:r>
        <w:rPr>
          <w:rFonts w:ascii="Arial" w:hAnsi="Arial"/>
          <w:b/>
          <w:i w:val="0"/>
          <w:iCs/>
        </w:rPr>
        <w:t xml:space="preserve"> </w:t>
      </w:r>
      <w:r>
        <w:rPr>
          <w:rFonts w:ascii="Arial" w:hAnsi="Arial"/>
          <w:i w:val="0"/>
          <w:iCs/>
        </w:rPr>
        <w:t>clinical advisory committee, in collaboration with researchers from the Univers</w:t>
      </w:r>
      <w:r>
        <w:rPr>
          <w:rFonts w:ascii="Arial" w:hAnsi="Arial"/>
          <w:i w:val="0"/>
          <w:iCs/>
        </w:rPr>
        <w:t xml:space="preserve">ity of Iowa Public Policy Center, identified four service areas that were of greatest interest. HEDIS measures were then adapted to fit the available </w:t>
      </w:r>
      <w:r>
        <w:rPr>
          <w:rFonts w:ascii="Arial" w:hAnsi="Arial"/>
          <w:b/>
        </w:rPr>
        <w:t>hawk-i</w:t>
      </w:r>
      <w:r>
        <w:rPr>
          <w:rFonts w:ascii="Arial" w:hAnsi="Arial"/>
          <w:b/>
          <w:i w:val="0"/>
          <w:iCs/>
        </w:rPr>
        <w:t xml:space="preserve"> </w:t>
      </w:r>
      <w:r>
        <w:rPr>
          <w:rFonts w:ascii="Arial" w:hAnsi="Arial"/>
          <w:i w:val="0"/>
          <w:iCs/>
        </w:rPr>
        <w:t>data. The HEDIS outcome measures (i.e., utilization rates) were determined through an analysis of c</w:t>
      </w:r>
      <w:r>
        <w:rPr>
          <w:rFonts w:ascii="Arial" w:hAnsi="Arial"/>
          <w:i w:val="0"/>
          <w:iCs/>
        </w:rPr>
        <w:t xml:space="preserve">laims, encounter and eligibility data for children in each of the </w:t>
      </w:r>
      <w:r>
        <w:rPr>
          <w:rFonts w:ascii="Arial" w:hAnsi="Arial"/>
          <w:b/>
        </w:rPr>
        <w:t>hawk-i</w:t>
      </w:r>
      <w:r>
        <w:rPr>
          <w:rFonts w:ascii="Arial" w:hAnsi="Arial"/>
          <w:i w:val="0"/>
          <w:iCs/>
        </w:rPr>
        <w:t xml:space="preserve"> health plans. With the plan comparisons presented here we can determine whether the plans are meeting the expectations for care provision within the </w:t>
      </w:r>
      <w:r>
        <w:rPr>
          <w:rFonts w:ascii="Arial" w:hAnsi="Arial"/>
          <w:b/>
        </w:rPr>
        <w:t>hawk-i</w:t>
      </w:r>
      <w:r>
        <w:rPr>
          <w:rFonts w:ascii="Arial" w:hAnsi="Arial"/>
          <w:b/>
          <w:i w:val="0"/>
          <w:iCs/>
        </w:rPr>
        <w:t xml:space="preserve"> </w:t>
      </w:r>
      <w:r>
        <w:rPr>
          <w:rFonts w:ascii="Arial" w:hAnsi="Arial"/>
          <w:i w:val="0"/>
          <w:iCs/>
        </w:rPr>
        <w:t xml:space="preserve">program. </w:t>
      </w:r>
    </w:p>
    <w:p w:rsidR="00000000" w:rsidRDefault="00216019">
      <w:pPr>
        <w:pStyle w:val="BodyText"/>
        <w:rPr>
          <w:rFonts w:ascii="Arial" w:hAnsi="Arial"/>
          <w:i w:val="0"/>
          <w:iCs/>
        </w:rPr>
      </w:pPr>
    </w:p>
    <w:p w:rsidR="00000000" w:rsidRDefault="00216019">
      <w:pPr>
        <w:pStyle w:val="BodyText"/>
        <w:rPr>
          <w:rFonts w:ascii="Arial" w:hAnsi="Arial"/>
          <w:i w:val="0"/>
          <w:iCs/>
        </w:rPr>
      </w:pPr>
      <w:r>
        <w:rPr>
          <w:rFonts w:ascii="Arial" w:hAnsi="Arial"/>
          <w:i w:val="0"/>
          <w:iCs/>
        </w:rPr>
        <w:t>Outcome data sho</w:t>
      </w:r>
      <w:r>
        <w:rPr>
          <w:rFonts w:ascii="Arial" w:hAnsi="Arial"/>
          <w:i w:val="0"/>
          <w:iCs/>
        </w:rPr>
        <w:t>uld always be interpreted with caution. Limitations of this data may include differential rates of missing data across the plans, the systematic use of inappropriate codes, or the miscoding of diagnoses. Despite these limitations, important knowledge is ga</w:t>
      </w:r>
      <w:r>
        <w:rPr>
          <w:rFonts w:ascii="Arial" w:hAnsi="Arial"/>
          <w:i w:val="0"/>
          <w:iCs/>
        </w:rPr>
        <w:t xml:space="preserve">ined by comparing outcome results between plans.   </w:t>
      </w:r>
    </w:p>
    <w:p w:rsidR="00000000" w:rsidRDefault="00216019">
      <w:pPr>
        <w:pStyle w:val="BodyText"/>
        <w:rPr>
          <w:rFonts w:ascii="Arial" w:hAnsi="Arial"/>
          <w:i w:val="0"/>
          <w:iCs/>
        </w:rPr>
      </w:pPr>
    </w:p>
    <w:p w:rsidR="00000000" w:rsidRDefault="00216019">
      <w:pPr>
        <w:jc w:val="center"/>
        <w:rPr>
          <w:b/>
          <w:bCs/>
          <w:sz w:val="28"/>
        </w:rPr>
      </w:pPr>
      <w:r>
        <w:rPr>
          <w:b/>
          <w:bCs/>
          <w:sz w:val="28"/>
        </w:rPr>
        <w:t xml:space="preserve">Outcomes of Care for Children in </w:t>
      </w:r>
      <w:r>
        <w:rPr>
          <w:b/>
          <w:bCs/>
          <w:i/>
          <w:iCs/>
          <w:sz w:val="28"/>
        </w:rPr>
        <w:t xml:space="preserve">hawk-i </w:t>
      </w:r>
    </w:p>
    <w:p w:rsidR="00000000" w:rsidRDefault="00216019">
      <w:pPr>
        <w:jc w:val="center"/>
        <w:rPr>
          <w:b/>
          <w:bCs/>
          <w:i/>
          <w:iCs/>
          <w:sz w:val="28"/>
        </w:rPr>
      </w:pPr>
    </w:p>
    <w:p w:rsidR="00000000" w:rsidRDefault="00216019">
      <w:pPr>
        <w:rPr>
          <w:b/>
          <w:bCs/>
          <w:i/>
          <w:iCs/>
        </w:rPr>
      </w:pPr>
      <w:r>
        <w:rPr>
          <w:b/>
          <w:bCs/>
          <w:i/>
          <w:iCs/>
        </w:rPr>
        <w:t>Preventive care for children and adolescents</w:t>
      </w:r>
    </w:p>
    <w:p w:rsidR="00000000" w:rsidRDefault="00216019"/>
    <w:p w:rsidR="00000000" w:rsidRDefault="00216019">
      <w:pPr>
        <w:pStyle w:val="BodyText"/>
        <w:rPr>
          <w:rFonts w:ascii="Arial" w:hAnsi="Arial"/>
        </w:rPr>
      </w:pPr>
      <w:r>
        <w:rPr>
          <w:rFonts w:ascii="Arial" w:hAnsi="Arial"/>
          <w:i w:val="0"/>
          <w:iCs/>
        </w:rPr>
        <w:t>The percent of children and adolescents with a preventive visit is divided into two age categories: children ages t</w:t>
      </w:r>
      <w:r>
        <w:rPr>
          <w:rFonts w:ascii="Arial" w:hAnsi="Arial"/>
          <w:i w:val="0"/>
          <w:iCs/>
        </w:rPr>
        <w:t>hree through six and adolescents ages twelve through 19 (Figures 1-4). According to the American Academy of Pediatrics (AAP) periodicity schedule</w:t>
      </w:r>
      <w:r>
        <w:rPr>
          <w:rStyle w:val="FootnoteReference"/>
          <w:rFonts w:ascii="Arial" w:hAnsi="Arial"/>
          <w:i w:val="0"/>
          <w:iCs/>
        </w:rPr>
        <w:footnoteReference w:id="3"/>
      </w:r>
      <w:r>
        <w:rPr>
          <w:rFonts w:ascii="Arial" w:hAnsi="Arial"/>
          <w:i w:val="0"/>
          <w:iCs/>
        </w:rPr>
        <w:t xml:space="preserve">, children should receive annual visits at ages three, four, five and six years of age and biannual visits at </w:t>
      </w:r>
      <w:r>
        <w:rPr>
          <w:rFonts w:ascii="Arial" w:hAnsi="Arial"/>
          <w:i w:val="0"/>
          <w:iCs/>
        </w:rPr>
        <w:t xml:space="preserve">ages eight and ten with annual visits during adolescence for ages 11 through 21. Preventive visits do not just address the medical needs of the child, but can also provide an opportunity for anticipatory guidance to parents and children. Figure 1 provides </w:t>
      </w:r>
      <w:r>
        <w:rPr>
          <w:rFonts w:ascii="Arial" w:hAnsi="Arial"/>
          <w:i w:val="0"/>
          <w:iCs/>
        </w:rPr>
        <w:t xml:space="preserve">comparisons for children in the three </w:t>
      </w:r>
      <w:r>
        <w:rPr>
          <w:rFonts w:ascii="Arial" w:hAnsi="Arial"/>
          <w:b/>
        </w:rPr>
        <w:t>hawk-i</w:t>
      </w:r>
      <w:r>
        <w:rPr>
          <w:rFonts w:ascii="Arial" w:hAnsi="Arial"/>
          <w:i w:val="0"/>
          <w:iCs/>
        </w:rPr>
        <w:t xml:space="preserve"> plans to data from a report by the American Public Human Services Association (APHSA)</w:t>
      </w:r>
      <w:r>
        <w:rPr>
          <w:rStyle w:val="FootnoteReference"/>
          <w:rFonts w:ascii="Arial" w:hAnsi="Arial"/>
          <w:i w:val="0"/>
          <w:iCs/>
        </w:rPr>
        <w:footnoteReference w:id="4"/>
      </w:r>
      <w:r>
        <w:rPr>
          <w:rFonts w:ascii="Arial" w:hAnsi="Arial"/>
          <w:i w:val="0"/>
          <w:iCs/>
        </w:rPr>
        <w:t xml:space="preserve"> that provides a national benchmark for this HEDIS measure for Medicaid plans in 1999 and 2000 for children three throug</w:t>
      </w:r>
      <w:r>
        <w:rPr>
          <w:rFonts w:ascii="Arial" w:hAnsi="Arial"/>
        </w:rPr>
        <w:t xml:space="preserve">h </w:t>
      </w:r>
      <w:r>
        <w:rPr>
          <w:rFonts w:ascii="Arial" w:hAnsi="Arial"/>
          <w:i w:val="0"/>
          <w:iCs/>
        </w:rPr>
        <w:lastRenderedPageBreak/>
        <w:t>six</w:t>
      </w:r>
      <w:r>
        <w:rPr>
          <w:rFonts w:ascii="Arial" w:hAnsi="Arial"/>
          <w:i w:val="0"/>
          <w:iCs/>
        </w:rPr>
        <w:t xml:space="preserve"> years of age. This comparison indicates that all three </w:t>
      </w:r>
      <w:r>
        <w:rPr>
          <w:rFonts w:ascii="Arial" w:hAnsi="Arial"/>
          <w:b/>
        </w:rPr>
        <w:t>hawk-</w:t>
      </w:r>
      <w:r>
        <w:rPr>
          <w:rFonts w:ascii="Arial" w:hAnsi="Arial"/>
          <w:b/>
          <w:i w:val="0"/>
          <w:iCs/>
        </w:rPr>
        <w:t>i</w:t>
      </w:r>
      <w:r>
        <w:rPr>
          <w:rFonts w:ascii="Arial" w:hAnsi="Arial"/>
          <w:i w:val="0"/>
          <w:iCs/>
        </w:rPr>
        <w:t xml:space="preserve"> plans have preventive visit rates this age group that are below the national averages for Medicaid programs. In a previous report, “Evaluating the Iowa Medicaid Managed Care Program: Outcomes o</w:t>
      </w:r>
      <w:r>
        <w:rPr>
          <w:rFonts w:ascii="Arial" w:hAnsi="Arial"/>
          <w:i w:val="0"/>
          <w:iCs/>
        </w:rPr>
        <w:t>f Care”,</w:t>
      </w:r>
      <w:r>
        <w:rPr>
          <w:rStyle w:val="FootnoteReference"/>
          <w:rFonts w:ascii="Arial" w:hAnsi="Arial"/>
          <w:i w:val="0"/>
          <w:iCs/>
        </w:rPr>
        <w:footnoteReference w:id="5"/>
      </w:r>
      <w:r>
        <w:rPr>
          <w:rFonts w:ascii="Arial" w:hAnsi="Arial"/>
          <w:i w:val="0"/>
          <w:iCs/>
        </w:rPr>
        <w:t xml:space="preserve"> we reported preventive visit rates for children ages three through six within the Iowa Medicaid program. These rates ranged from 52% for United Health Care to nearly 80% for children within the MediPASS program. Preventive care rates for children</w:t>
      </w:r>
      <w:r>
        <w:rPr>
          <w:rFonts w:ascii="Arial" w:hAnsi="Arial"/>
          <w:i w:val="0"/>
          <w:iCs/>
        </w:rPr>
        <w:t xml:space="preserve"> within all of the Medicaid plans were above the APHSA rates for 1999 and well above the rates for the plans within </w:t>
      </w:r>
      <w:r>
        <w:rPr>
          <w:rFonts w:ascii="Arial" w:hAnsi="Arial"/>
          <w:b/>
        </w:rPr>
        <w:t>hawk-i</w:t>
      </w:r>
      <w:r>
        <w:rPr>
          <w:rFonts w:ascii="Arial" w:hAnsi="Arial"/>
          <w:i w:val="0"/>
          <w:iCs/>
        </w:rPr>
        <w:t>. In fact, over 60% of children ages 3-6 within the Medicaid program enrolled in Iowa Health Solutions for at least 11 months had a pr</w:t>
      </w:r>
      <w:r>
        <w:rPr>
          <w:rFonts w:ascii="Arial" w:hAnsi="Arial"/>
          <w:i w:val="0"/>
          <w:iCs/>
        </w:rPr>
        <w:t xml:space="preserve">eventive visit during 2000, while only 35% of children ages three through six years of age within </w:t>
      </w:r>
      <w:r>
        <w:rPr>
          <w:rFonts w:ascii="Arial" w:hAnsi="Arial"/>
          <w:b/>
        </w:rPr>
        <w:t>hawk-i</w:t>
      </w:r>
      <w:r>
        <w:rPr>
          <w:rFonts w:ascii="Arial" w:hAnsi="Arial"/>
          <w:i w:val="0"/>
          <w:iCs/>
        </w:rPr>
        <w:t xml:space="preserve"> enrolled in Iowa Health Solutions for at least 11 months had a preventive visit. The differential for John Deere was 63% versus 43%. Wellmark does not </w:t>
      </w:r>
      <w:r>
        <w:rPr>
          <w:rFonts w:ascii="Arial" w:hAnsi="Arial"/>
          <w:i w:val="0"/>
          <w:iCs/>
        </w:rPr>
        <w:t xml:space="preserve">participate in the Medicaid managed care program so comparable figures are not available. These findings indicate that either the plans or their providers are not as effective in providing access to preventive care for children within </w:t>
      </w:r>
      <w:r>
        <w:rPr>
          <w:rFonts w:ascii="Arial" w:hAnsi="Arial"/>
          <w:b/>
        </w:rPr>
        <w:t>hawk-i</w:t>
      </w:r>
      <w:r>
        <w:rPr>
          <w:rFonts w:ascii="Arial" w:hAnsi="Arial"/>
          <w:i w:val="0"/>
          <w:iCs/>
        </w:rPr>
        <w:t xml:space="preserve"> or the encount</w:t>
      </w:r>
      <w:r>
        <w:rPr>
          <w:rFonts w:ascii="Arial" w:hAnsi="Arial"/>
          <w:i w:val="0"/>
          <w:iCs/>
        </w:rPr>
        <w:t>er data is not sufficient for outcome analyses. Further investigation is warranted to determine whether the encounter data is truly reflecting the rates of service.</w:t>
      </w:r>
      <w:r>
        <w:rPr>
          <w:rFonts w:ascii="Arial" w:hAnsi="Arial"/>
        </w:rPr>
        <w:t xml:space="preserve"> </w:t>
      </w:r>
    </w:p>
    <w:p w:rsidR="00000000" w:rsidRDefault="00216019">
      <w:pPr>
        <w:pStyle w:val="Heading5"/>
      </w:pPr>
    </w:p>
    <w:p w:rsidR="00000000" w:rsidRDefault="00216019">
      <w:pPr>
        <w:pStyle w:val="Heading5"/>
      </w:pPr>
      <w:r>
        <w:t xml:space="preserve">Figure 1. Rate of well child visits for children 3-6 years of age </w:t>
      </w:r>
      <w:r>
        <w:br/>
        <w:t xml:space="preserve">enrolled for at least </w:t>
      </w:r>
      <w:r>
        <w:t>11 months by plan and compared to APHSA rates</w:t>
      </w:r>
    </w:p>
    <w:p w:rsidR="00000000" w:rsidRDefault="00216019">
      <w:pPr>
        <w:pStyle w:val="BodyText"/>
        <w:jc w:val="center"/>
        <w:rPr>
          <w:rFonts w:ascii="Arial" w:hAnsi="Arial"/>
        </w:rPr>
      </w:pPr>
      <w:r>
        <w:rPr>
          <w:rFonts w:ascii="Arial" w:hAnsi="Arial"/>
          <w:noProof/>
        </w:rPr>
        <w:drawing>
          <wp:inline distT="0" distB="0" distL="0" distR="0">
            <wp:extent cx="4718050" cy="321373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216019">
      <w:pPr>
        <w:pStyle w:val="BodyText"/>
        <w:rPr>
          <w:rFonts w:ascii="Arial" w:hAnsi="Arial"/>
        </w:rPr>
      </w:pPr>
    </w:p>
    <w:p w:rsidR="00000000" w:rsidRDefault="00216019">
      <w:pPr>
        <w:pStyle w:val="BodyText"/>
        <w:rPr>
          <w:rFonts w:ascii="Arial" w:hAnsi="Arial"/>
          <w:i w:val="0"/>
          <w:iCs/>
        </w:rPr>
      </w:pPr>
      <w:r>
        <w:rPr>
          <w:rFonts w:ascii="Arial" w:hAnsi="Arial"/>
          <w:i w:val="0"/>
          <w:iCs/>
        </w:rPr>
        <w:t>Figures 2 and 3 indicate the percentage of children receiving preventive care for each of the four individual ages (ages 3-6) during FY 2001. Figure 2 shows rates for all children in</w:t>
      </w:r>
      <w:r>
        <w:rPr>
          <w:rFonts w:ascii="Arial" w:hAnsi="Arial"/>
          <w:i w:val="0"/>
          <w:iCs/>
        </w:rPr>
        <w:t xml:space="preserve"> </w:t>
      </w:r>
      <w:r>
        <w:rPr>
          <w:rFonts w:ascii="Arial" w:hAnsi="Arial"/>
          <w:b/>
        </w:rPr>
        <w:t>hawk-i</w:t>
      </w:r>
      <w:r>
        <w:rPr>
          <w:rFonts w:ascii="Arial" w:hAnsi="Arial"/>
          <w:i w:val="0"/>
          <w:iCs/>
        </w:rPr>
        <w:t xml:space="preserve"> where Figure 3 only includes children who were eligible for 11 or 12 months during 2001. In general, children seem to receive the most preventive care visits during the fourth and fifth years of life, as parents prepare to send their children to sc</w:t>
      </w:r>
      <w:r>
        <w:rPr>
          <w:rFonts w:ascii="Arial" w:hAnsi="Arial"/>
          <w:i w:val="0"/>
          <w:iCs/>
        </w:rPr>
        <w:t xml:space="preserve">hool. Within all ages there is variation among the plans however the variation was most apparent for rates when only those children who were eligible for 11 and 12 months were included in the calculations (Figure 3). </w:t>
      </w:r>
    </w:p>
    <w:p w:rsidR="00000000" w:rsidRDefault="00216019">
      <w:pPr>
        <w:pStyle w:val="Heading5"/>
      </w:pPr>
    </w:p>
    <w:p w:rsidR="00000000" w:rsidRDefault="00216019">
      <w:pPr>
        <w:pStyle w:val="Heading5"/>
      </w:pPr>
      <w:r>
        <w:t xml:space="preserve">Figure 2. Percent of children with a </w:t>
      </w:r>
      <w:r>
        <w:t xml:space="preserve">well child visit in </w:t>
      </w:r>
      <w:r>
        <w:br/>
        <w:t>fiscal year 2001 by age and plan</w:t>
      </w:r>
    </w:p>
    <w:p w:rsidR="00000000" w:rsidRDefault="00216019">
      <w:pPr>
        <w:pStyle w:val="Heading2"/>
        <w:rPr>
          <w:rFonts w:ascii="Arial" w:hAnsi="Arial"/>
        </w:rPr>
      </w:pPr>
      <w:r>
        <w:rPr>
          <w:rFonts w:ascii="Arial" w:hAnsi="Arial"/>
          <w:noProof/>
        </w:rPr>
        <w:drawing>
          <wp:inline distT="0" distB="0" distL="0" distR="0">
            <wp:extent cx="3995420" cy="271653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000" w:rsidRDefault="00216019">
      <w:pPr>
        <w:pStyle w:val="BodyText"/>
        <w:keepNext/>
        <w:jc w:val="center"/>
        <w:rPr>
          <w:rFonts w:ascii="Arial" w:hAnsi="Arial"/>
        </w:rPr>
      </w:pPr>
    </w:p>
    <w:p w:rsidR="00000000" w:rsidRDefault="00216019">
      <w:pPr>
        <w:pStyle w:val="Heading5"/>
      </w:pPr>
    </w:p>
    <w:p w:rsidR="00000000" w:rsidRDefault="00216019">
      <w:pPr>
        <w:pStyle w:val="Heading5"/>
      </w:pPr>
    </w:p>
    <w:p w:rsidR="00000000" w:rsidRDefault="00216019">
      <w:pPr>
        <w:pStyle w:val="Heading5"/>
      </w:pPr>
      <w:r>
        <w:t xml:space="preserve">Figure 3. Percent of children enrolled in a plan for at least 11 months </w:t>
      </w:r>
      <w:r>
        <w:br/>
        <w:t>with a well child visit in fiscal year 2001 by age and plan</w:t>
      </w:r>
    </w:p>
    <w:p w:rsidR="00000000" w:rsidRDefault="00216019">
      <w:pPr>
        <w:jc w:val="center"/>
      </w:pPr>
      <w:r>
        <w:rPr>
          <w:noProof/>
        </w:rPr>
        <w:drawing>
          <wp:inline distT="0" distB="0" distL="0" distR="0">
            <wp:extent cx="4260850" cy="29019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0000" w:rsidRDefault="00216019">
      <w:pPr>
        <w:jc w:val="center"/>
      </w:pPr>
    </w:p>
    <w:p w:rsidR="00000000" w:rsidRDefault="00216019">
      <w:pPr>
        <w:pStyle w:val="BodyText"/>
        <w:rPr>
          <w:rFonts w:ascii="Arial" w:hAnsi="Arial"/>
          <w:i w:val="0"/>
          <w:iCs/>
        </w:rPr>
      </w:pPr>
      <w:r>
        <w:rPr>
          <w:rFonts w:ascii="Arial" w:hAnsi="Arial"/>
          <w:i w:val="0"/>
          <w:iCs/>
        </w:rPr>
        <w:t>The rates o</w:t>
      </w:r>
      <w:r>
        <w:rPr>
          <w:rFonts w:ascii="Arial" w:hAnsi="Arial"/>
          <w:i w:val="0"/>
          <w:iCs/>
        </w:rPr>
        <w:t>f adolescents who were enrolled for at least 11 or 12 months during the year and had at least one preventive visit during FY 2001 by plan are shown in Figure 4.  The rate of preventive visits for adolescents in John Deere is comparable to the national aver</w:t>
      </w:r>
      <w:r>
        <w:rPr>
          <w:rFonts w:ascii="Arial" w:hAnsi="Arial"/>
          <w:i w:val="0"/>
          <w:iCs/>
        </w:rPr>
        <w:t xml:space="preserve">age; however, the rates for adolescents in Iowa Health Solutions and Wellmark are well below this average. John Deere and Iowa Health Solutions also have rates for adolescent preventive care that are below the rates found for adolescents enrolled in these </w:t>
      </w:r>
      <w:r>
        <w:rPr>
          <w:rFonts w:ascii="Arial" w:hAnsi="Arial"/>
          <w:i w:val="0"/>
          <w:iCs/>
        </w:rPr>
        <w:t xml:space="preserve">plans through the Medicaid program. Generally, the rates for preventive care are low within the three </w:t>
      </w:r>
      <w:r>
        <w:rPr>
          <w:rFonts w:ascii="Arial" w:hAnsi="Arial"/>
          <w:b/>
        </w:rPr>
        <w:t>hawk-i</w:t>
      </w:r>
      <w:r>
        <w:rPr>
          <w:rFonts w:ascii="Arial" w:hAnsi="Arial"/>
          <w:i w:val="0"/>
          <w:iCs/>
        </w:rPr>
        <w:t xml:space="preserve"> plans, especially when compared to the AAP guidelines for annual visits during adolescence, indicating that feedback to the plans and monitoring is</w:t>
      </w:r>
      <w:r>
        <w:rPr>
          <w:rFonts w:ascii="Arial" w:hAnsi="Arial"/>
          <w:i w:val="0"/>
          <w:iCs/>
        </w:rPr>
        <w:t xml:space="preserve"> necessary to assure future improvement. </w:t>
      </w:r>
    </w:p>
    <w:p w:rsidR="00000000" w:rsidRDefault="00216019">
      <w:pPr>
        <w:jc w:val="center"/>
      </w:pPr>
    </w:p>
    <w:p w:rsidR="00000000" w:rsidRDefault="00216019">
      <w:pPr>
        <w:pStyle w:val="Heading5"/>
      </w:pPr>
      <w:r>
        <w:t xml:space="preserve">Figure 4. Rate of well adolescent visits for adolescents 12-19 years of age </w:t>
      </w:r>
      <w:r>
        <w:br/>
        <w:t>enrolled for at least 11 months by plan and compared to APHSA rates</w:t>
      </w:r>
    </w:p>
    <w:p w:rsidR="00000000" w:rsidRDefault="00216019">
      <w:pPr>
        <w:pStyle w:val="BodyText"/>
        <w:jc w:val="center"/>
        <w:rPr>
          <w:rFonts w:ascii="Arial" w:hAnsi="Arial"/>
        </w:rPr>
      </w:pPr>
      <w:r>
        <w:rPr>
          <w:rFonts w:ascii="Arial" w:hAnsi="Arial"/>
          <w:noProof/>
        </w:rPr>
        <w:drawing>
          <wp:inline distT="0" distB="0" distL="0" distR="0">
            <wp:extent cx="4108450" cy="279590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0000" w:rsidRDefault="00216019">
      <w:pPr>
        <w:pStyle w:val="Heading2"/>
        <w:rPr>
          <w:rFonts w:ascii="Arial" w:hAnsi="Arial"/>
          <w:color w:val="000000"/>
        </w:rPr>
      </w:pPr>
    </w:p>
    <w:p w:rsidR="00000000" w:rsidRDefault="00216019">
      <w:pPr>
        <w:rPr>
          <w:b/>
          <w:bCs/>
          <w:sz w:val="28"/>
        </w:rPr>
      </w:pPr>
      <w:r>
        <w:rPr>
          <w:b/>
          <w:bCs/>
          <w:sz w:val="28"/>
        </w:rPr>
        <w:t xml:space="preserve">Preventive dental care for children and </w:t>
      </w:r>
      <w:r>
        <w:rPr>
          <w:b/>
          <w:bCs/>
          <w:sz w:val="28"/>
        </w:rPr>
        <w:t>adolescents</w:t>
      </w:r>
    </w:p>
    <w:p w:rsidR="00000000" w:rsidRDefault="00216019">
      <w:pPr>
        <w:rPr>
          <w:b/>
          <w:bCs/>
          <w:sz w:val="28"/>
        </w:rPr>
      </w:pPr>
    </w:p>
    <w:p w:rsidR="00000000" w:rsidRDefault="00216019">
      <w:pPr>
        <w:pStyle w:val="BodyText"/>
        <w:rPr>
          <w:rFonts w:ascii="Arial" w:hAnsi="Arial"/>
          <w:i w:val="0"/>
          <w:iCs/>
        </w:rPr>
      </w:pPr>
      <w:r>
        <w:rPr>
          <w:rFonts w:ascii="Arial" w:hAnsi="Arial"/>
          <w:i w:val="0"/>
          <w:iCs/>
        </w:rPr>
        <w:t>In addition to regular preventive medical visits, children are recommended to have regular preventive dental visits. Although the AAP does not have a periodicity schedule for dental visits, the American Academy of Pediatric Dentistry guideline</w:t>
      </w:r>
      <w:r>
        <w:rPr>
          <w:rFonts w:ascii="Arial" w:hAnsi="Arial"/>
          <w:i w:val="0"/>
          <w:iCs/>
        </w:rPr>
        <w:t>s indicate that beginning at age one, children should have preventive dental procedures “every 6 months or as indicated by individual patient’s risk status/susceptibility to disease”</w:t>
      </w:r>
      <w:r>
        <w:rPr>
          <w:rStyle w:val="FootnoteReference"/>
          <w:rFonts w:ascii="Arial" w:hAnsi="Arial"/>
          <w:i w:val="0"/>
          <w:iCs/>
        </w:rPr>
        <w:footnoteReference w:id="6"/>
      </w:r>
      <w:r>
        <w:rPr>
          <w:rFonts w:ascii="Arial" w:hAnsi="Arial"/>
          <w:i w:val="0"/>
          <w:iCs/>
        </w:rPr>
        <w:t>. Figure 5 indicates the rate of preventive dental visits for children an</w:t>
      </w:r>
      <w:r>
        <w:rPr>
          <w:rFonts w:ascii="Arial" w:hAnsi="Arial"/>
          <w:i w:val="0"/>
          <w:iCs/>
        </w:rPr>
        <w:t>d adolescents for the three plans for children in four different age categories: age 2-6, 7-11, 12-15, 16-18. Within this figure the rates are calculated for all children regardless of length of enrollment. Figure 6 provides the same rates, however, only c</w:t>
      </w:r>
      <w:r>
        <w:rPr>
          <w:rFonts w:ascii="Arial" w:hAnsi="Arial"/>
          <w:i w:val="0"/>
          <w:iCs/>
        </w:rPr>
        <w:t>hildren who were eligible for at least 11 months during FY 2001 are included. These rates were calculated consistent with the protocol established for the HEDIS dental outcome measures. Across all age groups in both figures, children in Iowa Health Solutio</w:t>
      </w:r>
      <w:r>
        <w:rPr>
          <w:rFonts w:ascii="Arial" w:hAnsi="Arial"/>
          <w:i w:val="0"/>
          <w:iCs/>
        </w:rPr>
        <w:t xml:space="preserve">ns had the lowest rates of preventive dental care. Preventive dental utilization rates for children in Wellmark and John Deere were more comparable. </w:t>
      </w:r>
    </w:p>
    <w:p w:rsidR="00000000" w:rsidRDefault="00216019">
      <w:pPr>
        <w:pStyle w:val="Heading5"/>
      </w:pPr>
      <w:r>
        <w:lastRenderedPageBreak/>
        <w:t xml:space="preserve">Figure 5. Percent of children with a preventive dental visit in </w:t>
      </w:r>
      <w:r>
        <w:br/>
        <w:t>fiscal year 2001 by age and plan</w:t>
      </w:r>
    </w:p>
    <w:p w:rsidR="00000000" w:rsidRDefault="00216019">
      <w:pPr>
        <w:pStyle w:val="BodyText"/>
        <w:jc w:val="center"/>
        <w:rPr>
          <w:rFonts w:ascii="Arial" w:hAnsi="Arial"/>
        </w:rPr>
      </w:pPr>
      <w:bookmarkStart w:id="0" w:name="OLE_LINK9"/>
      <w:bookmarkStart w:id="1" w:name="OLE_LINK10"/>
      <w:r>
        <w:rPr>
          <w:rFonts w:ascii="Arial" w:hAnsi="Arial"/>
          <w:noProof/>
        </w:rPr>
        <w:drawing>
          <wp:inline distT="0" distB="0" distL="0" distR="0">
            <wp:extent cx="5002530" cy="338582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0"/>
      <w:bookmarkEnd w:id="1"/>
    </w:p>
    <w:p w:rsidR="00000000" w:rsidRDefault="00216019">
      <w:pPr>
        <w:pStyle w:val="BodyText"/>
        <w:rPr>
          <w:rFonts w:ascii="Arial" w:hAnsi="Arial"/>
        </w:rPr>
      </w:pPr>
    </w:p>
    <w:p w:rsidR="00000000" w:rsidRDefault="00216019">
      <w:pPr>
        <w:pStyle w:val="Heading5"/>
      </w:pPr>
      <w:r>
        <w:t xml:space="preserve">Figure 6. Percent of children enrolled in a plan for at least 11 months </w:t>
      </w:r>
      <w:r>
        <w:br/>
        <w:t>with a preventive dental visit in fiscal year 2001 by age and plan</w:t>
      </w:r>
    </w:p>
    <w:p w:rsidR="00000000" w:rsidRDefault="00216019">
      <w:pPr>
        <w:pStyle w:val="BodyText"/>
        <w:jc w:val="center"/>
        <w:rPr>
          <w:rFonts w:ascii="Arial" w:hAnsi="Arial"/>
        </w:rPr>
      </w:pPr>
      <w:bookmarkStart w:id="2" w:name="OLE_LINK11"/>
      <w:bookmarkStart w:id="3" w:name="OLE_LINK12"/>
      <w:r>
        <w:rPr>
          <w:rFonts w:ascii="Arial" w:hAnsi="Arial"/>
          <w:noProof/>
        </w:rPr>
        <w:drawing>
          <wp:inline distT="0" distB="0" distL="0" distR="0">
            <wp:extent cx="4996180" cy="338582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2"/>
      <w:bookmarkEnd w:id="3"/>
    </w:p>
    <w:p w:rsidR="00000000" w:rsidRDefault="00216019">
      <w:pPr>
        <w:pStyle w:val="BodyText"/>
        <w:rPr>
          <w:rFonts w:ascii="Arial" w:hAnsi="Arial"/>
        </w:rPr>
      </w:pPr>
    </w:p>
    <w:p w:rsidR="00000000" w:rsidRDefault="00216019">
      <w:pPr>
        <w:pStyle w:val="BodyText"/>
        <w:rPr>
          <w:rFonts w:ascii="Arial" w:hAnsi="Arial"/>
          <w:i w:val="0"/>
          <w:iCs/>
        </w:rPr>
      </w:pPr>
      <w:r>
        <w:rPr>
          <w:rFonts w:ascii="Arial" w:hAnsi="Arial"/>
          <w:i w:val="0"/>
          <w:iCs/>
        </w:rPr>
        <w:t>The rates of having any dental visit, not just a preventive dental v</w:t>
      </w:r>
      <w:r>
        <w:rPr>
          <w:rFonts w:ascii="Arial" w:hAnsi="Arial"/>
          <w:i w:val="0"/>
          <w:iCs/>
        </w:rPr>
        <w:t xml:space="preserve">isit, for children enrolled for at least 11 months are presented in Figure 7. Once again, children in Iowa Health Solutions had the lowest visit rates regardless of age group. </w:t>
      </w:r>
    </w:p>
    <w:p w:rsidR="00000000" w:rsidRDefault="00216019">
      <w:pPr>
        <w:pStyle w:val="BodyText"/>
        <w:jc w:val="center"/>
        <w:rPr>
          <w:rFonts w:ascii="Arial" w:hAnsi="Arial"/>
        </w:rPr>
      </w:pPr>
    </w:p>
    <w:p w:rsidR="00000000" w:rsidRDefault="00216019">
      <w:pPr>
        <w:pStyle w:val="Heading5"/>
      </w:pPr>
      <w:r>
        <w:lastRenderedPageBreak/>
        <w:t xml:space="preserve">Figure 7. Percent of children enrolled in a plan for at least 11 months </w:t>
      </w:r>
      <w:r>
        <w:br/>
        <w:t xml:space="preserve">with </w:t>
      </w:r>
      <w:r>
        <w:t>any type of dental visit in fiscal year 2001 by age and plan</w:t>
      </w:r>
    </w:p>
    <w:p w:rsidR="00000000" w:rsidRDefault="00216019">
      <w:pPr>
        <w:pStyle w:val="BodyText"/>
        <w:jc w:val="center"/>
        <w:rPr>
          <w:rFonts w:ascii="Arial" w:hAnsi="Arial"/>
        </w:rPr>
      </w:pPr>
      <w:bookmarkStart w:id="4" w:name="OLE_LINK13"/>
      <w:r>
        <w:rPr>
          <w:rFonts w:ascii="Arial" w:hAnsi="Arial"/>
          <w:noProof/>
        </w:rPr>
        <w:drawing>
          <wp:inline distT="0" distB="0" distL="0" distR="0">
            <wp:extent cx="5704840" cy="362458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4"/>
    </w:p>
    <w:p w:rsidR="00000000" w:rsidRDefault="00216019">
      <w:pPr>
        <w:pStyle w:val="BodyText"/>
        <w:rPr>
          <w:rFonts w:ascii="Arial" w:hAnsi="Arial"/>
        </w:rPr>
      </w:pPr>
    </w:p>
    <w:p w:rsidR="00000000" w:rsidRDefault="00216019">
      <w:pPr>
        <w:pStyle w:val="BodyText"/>
        <w:rPr>
          <w:rFonts w:ascii="Arial" w:hAnsi="Arial"/>
          <w:i w:val="0"/>
          <w:iCs/>
        </w:rPr>
      </w:pPr>
      <w:r>
        <w:rPr>
          <w:rFonts w:ascii="Arial" w:hAnsi="Arial"/>
          <w:i w:val="0"/>
          <w:iCs/>
        </w:rPr>
        <w:t>Across the three figures, for children ages two through six and sixteen through eighteen John Deere had the highest utilization rates, while for children seven through</w:t>
      </w:r>
      <w:r>
        <w:rPr>
          <w:rFonts w:ascii="Arial" w:hAnsi="Arial"/>
          <w:i w:val="0"/>
          <w:iCs/>
        </w:rPr>
        <w:t xml:space="preserve"> fifteen Wellmark had the highest utilization rates.</w:t>
      </w:r>
    </w:p>
    <w:p w:rsidR="00000000" w:rsidRDefault="00216019">
      <w:pPr>
        <w:pStyle w:val="BodyText"/>
        <w:rPr>
          <w:rFonts w:ascii="Arial" w:hAnsi="Arial"/>
          <w:i w:val="0"/>
          <w:iCs/>
        </w:rPr>
      </w:pPr>
    </w:p>
    <w:p w:rsidR="00000000" w:rsidRDefault="00216019">
      <w:pPr>
        <w:pStyle w:val="BodyText"/>
        <w:rPr>
          <w:rFonts w:ascii="Arial" w:hAnsi="Arial"/>
          <w:i w:val="0"/>
          <w:iCs/>
        </w:rPr>
      </w:pPr>
      <w:r>
        <w:rPr>
          <w:rFonts w:ascii="Arial" w:hAnsi="Arial"/>
          <w:i w:val="0"/>
          <w:iCs/>
        </w:rPr>
        <w:t>The consistently low rates for Iowa Health Solutions should be of concern. For some age groups the rates for Iowa Health Solutions are less than half those for the other plans. This may be due to poor a</w:t>
      </w:r>
      <w:r>
        <w:rPr>
          <w:rFonts w:ascii="Arial" w:hAnsi="Arial"/>
          <w:i w:val="0"/>
          <w:iCs/>
        </w:rPr>
        <w:t>ccess to providers, geographic differences in practice and care seeking, or ineffective communication regarding the services and providers available to enrollees. Further investigation should be undertaken to determine whether these rates continue to be lo</w:t>
      </w:r>
      <w:r>
        <w:rPr>
          <w:rFonts w:ascii="Arial" w:hAnsi="Arial"/>
          <w:i w:val="0"/>
          <w:iCs/>
        </w:rPr>
        <w:t>w over time and to determine what factors may underlie these rate differentials.</w:t>
      </w:r>
    </w:p>
    <w:p w:rsidR="00000000" w:rsidRDefault="00216019">
      <w:pPr>
        <w:pStyle w:val="BodyText"/>
        <w:rPr>
          <w:rFonts w:ascii="Arial" w:hAnsi="Arial"/>
          <w:i w:val="0"/>
          <w:iCs/>
        </w:rPr>
      </w:pPr>
    </w:p>
    <w:p w:rsidR="00000000" w:rsidRDefault="00216019">
      <w:pPr>
        <w:pStyle w:val="BodyText"/>
        <w:rPr>
          <w:rFonts w:ascii="Arial" w:hAnsi="Arial"/>
          <w:i w:val="0"/>
          <w:iCs/>
        </w:rPr>
      </w:pPr>
      <w:r>
        <w:rPr>
          <w:rFonts w:ascii="Arial" w:hAnsi="Arial"/>
          <w:i w:val="0"/>
          <w:iCs/>
        </w:rPr>
        <w:t xml:space="preserve">Figure 8 provides a comparison of dental rates for children enrolled in Medicaid or the </w:t>
      </w:r>
      <w:r>
        <w:rPr>
          <w:rFonts w:ascii="Arial" w:hAnsi="Arial"/>
          <w:b/>
        </w:rPr>
        <w:t>hawk-i</w:t>
      </w:r>
      <w:r>
        <w:rPr>
          <w:rFonts w:ascii="Arial" w:hAnsi="Arial"/>
          <w:b/>
          <w:i w:val="0"/>
          <w:iCs/>
        </w:rPr>
        <w:t xml:space="preserve"> </w:t>
      </w:r>
      <w:r>
        <w:rPr>
          <w:rFonts w:ascii="Arial" w:hAnsi="Arial"/>
          <w:i w:val="0"/>
          <w:iCs/>
        </w:rPr>
        <w:t xml:space="preserve">program for at least 11 months. Children in </w:t>
      </w:r>
      <w:r>
        <w:rPr>
          <w:rFonts w:ascii="Arial" w:hAnsi="Arial"/>
          <w:b/>
        </w:rPr>
        <w:t>hawk-i</w:t>
      </w:r>
      <w:r>
        <w:rPr>
          <w:rFonts w:ascii="Arial" w:hAnsi="Arial"/>
          <w:b/>
          <w:i w:val="0"/>
          <w:iCs/>
        </w:rPr>
        <w:t xml:space="preserve"> </w:t>
      </w:r>
      <w:r>
        <w:rPr>
          <w:rFonts w:ascii="Arial" w:hAnsi="Arial"/>
          <w:i w:val="0"/>
          <w:iCs/>
        </w:rPr>
        <w:t>consistently had higher rate</w:t>
      </w:r>
      <w:r>
        <w:rPr>
          <w:rFonts w:ascii="Arial" w:hAnsi="Arial"/>
          <w:i w:val="0"/>
          <w:iCs/>
        </w:rPr>
        <w:t xml:space="preserve">s of utilization than children within the Medicaid program. This may be due to increased need in the population entering </w:t>
      </w:r>
      <w:r>
        <w:rPr>
          <w:rFonts w:ascii="Arial" w:hAnsi="Arial"/>
          <w:b/>
        </w:rPr>
        <w:t>hawk-i</w:t>
      </w:r>
      <w:r>
        <w:rPr>
          <w:rFonts w:ascii="Arial" w:hAnsi="Arial"/>
          <w:i w:val="0"/>
          <w:iCs/>
        </w:rPr>
        <w:t xml:space="preserve"> or it could be due to enhanced access to dentists through the managed care plan dental panels. </w:t>
      </w:r>
    </w:p>
    <w:p w:rsidR="00000000" w:rsidRDefault="00216019">
      <w:pPr>
        <w:pStyle w:val="Heading5"/>
      </w:pPr>
      <w:r>
        <w:lastRenderedPageBreak/>
        <w:t>Figure 8. Comparison of dental u</w:t>
      </w:r>
      <w:r>
        <w:t xml:space="preserve">tilization rates for children </w:t>
      </w:r>
      <w:r>
        <w:br/>
        <w:t xml:space="preserve">enrolled for at least 11 months in Medicaid or </w:t>
      </w:r>
      <w:r>
        <w:rPr>
          <w:i/>
        </w:rPr>
        <w:t>hawk-i</w:t>
      </w:r>
    </w:p>
    <w:p w:rsidR="00000000" w:rsidRDefault="00216019">
      <w:pPr>
        <w:pStyle w:val="BodyText"/>
        <w:jc w:val="center"/>
        <w:rPr>
          <w:rFonts w:ascii="Arial" w:hAnsi="Arial"/>
        </w:rPr>
      </w:pPr>
      <w:bookmarkStart w:id="5" w:name="OLE_LINK14"/>
      <w:r>
        <w:rPr>
          <w:rFonts w:ascii="Arial" w:hAnsi="Arial"/>
          <w:noProof/>
        </w:rPr>
        <w:drawing>
          <wp:inline distT="0" distB="0" distL="0" distR="0">
            <wp:extent cx="4850130" cy="331279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5"/>
    </w:p>
    <w:p w:rsidR="00000000" w:rsidRDefault="00216019">
      <w:pPr>
        <w:pStyle w:val="Header"/>
        <w:tabs>
          <w:tab w:val="clear" w:pos="4320"/>
          <w:tab w:val="clear" w:pos="8640"/>
        </w:tabs>
        <w:rPr>
          <w:b/>
          <w:bCs/>
          <w:sz w:val="28"/>
        </w:rPr>
      </w:pPr>
    </w:p>
    <w:p w:rsidR="00000000" w:rsidRDefault="00216019">
      <w:pPr>
        <w:pStyle w:val="Header"/>
        <w:tabs>
          <w:tab w:val="clear" w:pos="4320"/>
          <w:tab w:val="clear" w:pos="8640"/>
        </w:tabs>
        <w:rPr>
          <w:b/>
          <w:bCs/>
          <w:sz w:val="28"/>
        </w:rPr>
      </w:pPr>
      <w:r>
        <w:rPr>
          <w:b/>
          <w:bCs/>
          <w:sz w:val="28"/>
        </w:rPr>
        <w:t>Childhood immunization status – MMR</w:t>
      </w:r>
    </w:p>
    <w:p w:rsidR="00000000" w:rsidRDefault="00216019">
      <w:pPr>
        <w:pStyle w:val="Header"/>
        <w:tabs>
          <w:tab w:val="clear" w:pos="4320"/>
          <w:tab w:val="clear" w:pos="8640"/>
        </w:tabs>
        <w:rPr>
          <w:b/>
          <w:bCs/>
          <w:sz w:val="28"/>
        </w:rPr>
      </w:pPr>
    </w:p>
    <w:p w:rsidR="00000000" w:rsidRDefault="00216019">
      <w:pPr>
        <w:pStyle w:val="BodyText"/>
        <w:rPr>
          <w:rFonts w:ascii="Arial" w:hAnsi="Arial"/>
          <w:i w:val="0"/>
          <w:iCs/>
        </w:rPr>
      </w:pPr>
      <w:r>
        <w:rPr>
          <w:rFonts w:ascii="Arial" w:hAnsi="Arial"/>
          <w:i w:val="0"/>
          <w:iCs/>
        </w:rPr>
        <w:t xml:space="preserve">The </w:t>
      </w:r>
      <w:r>
        <w:rPr>
          <w:rFonts w:ascii="Arial" w:hAnsi="Arial"/>
          <w:b/>
          <w:i w:val="0"/>
          <w:iCs/>
        </w:rPr>
        <w:t xml:space="preserve">hawk-i </w:t>
      </w:r>
      <w:r>
        <w:rPr>
          <w:rFonts w:ascii="Arial" w:hAnsi="Arial"/>
          <w:i w:val="0"/>
          <w:iCs/>
        </w:rPr>
        <w:t>program has been operational since January 1, 1999. Children under 1 year of age are not includ</w:t>
      </w:r>
      <w:r>
        <w:rPr>
          <w:rFonts w:ascii="Arial" w:hAnsi="Arial"/>
          <w:i w:val="0"/>
          <w:iCs/>
        </w:rPr>
        <w:t>ed in the program because they are covered through Medicaid. Therefore, when determining which vaccinations to study for the outcome measures, any vaccination series that required administration prior to the first birthday had to be eliminated. This led to</w:t>
      </w:r>
      <w:r>
        <w:rPr>
          <w:rFonts w:ascii="Arial" w:hAnsi="Arial"/>
          <w:i w:val="0"/>
          <w:iCs/>
        </w:rPr>
        <w:t xml:space="preserve"> the elimination of DTP/DtaP, OPV/IPV, HiB, and Hepatitis B vaccinations for outcome analyses. The chicken pox vaccine was eliminated because it was not mandatory in Iowa until July 1, 2003. Therefore, the MMR was the only vaccination appropriate for outco</w:t>
      </w:r>
      <w:r>
        <w:rPr>
          <w:rFonts w:ascii="Arial" w:hAnsi="Arial"/>
          <w:i w:val="0"/>
          <w:iCs/>
        </w:rPr>
        <w:t>me analysis.</w:t>
      </w:r>
    </w:p>
    <w:p w:rsidR="00000000" w:rsidRDefault="00216019">
      <w:pPr>
        <w:pStyle w:val="BodyText"/>
        <w:rPr>
          <w:rFonts w:ascii="Arial" w:hAnsi="Arial"/>
          <w:i w:val="0"/>
          <w:iCs/>
        </w:rPr>
      </w:pPr>
    </w:p>
    <w:p w:rsidR="00000000" w:rsidRDefault="00216019">
      <w:pPr>
        <w:pStyle w:val="BodyText"/>
        <w:rPr>
          <w:rFonts w:ascii="Arial" w:hAnsi="Arial"/>
        </w:rPr>
      </w:pPr>
      <w:r>
        <w:rPr>
          <w:rFonts w:ascii="Arial" w:hAnsi="Arial"/>
          <w:i w:val="0"/>
          <w:iCs/>
        </w:rPr>
        <w:t>All children who were born during 1999 were followed with the administrative data to determine the dates during which an MMR should have occurred. According to the methodology for the HEDIS measure, the MMR should take place during the year b</w:t>
      </w:r>
      <w:r>
        <w:rPr>
          <w:rFonts w:ascii="Arial" w:hAnsi="Arial"/>
          <w:i w:val="0"/>
          <w:iCs/>
        </w:rPr>
        <w:t xml:space="preserve">etween the first and second birthday. Using the eligibility data, we determined the number of months each child was enrolled within the </w:t>
      </w:r>
      <w:r>
        <w:rPr>
          <w:rFonts w:ascii="Arial" w:hAnsi="Arial"/>
          <w:b/>
        </w:rPr>
        <w:t>hawk-i</w:t>
      </w:r>
      <w:r>
        <w:rPr>
          <w:rFonts w:ascii="Arial" w:hAnsi="Arial"/>
          <w:i w:val="0"/>
          <w:iCs/>
        </w:rPr>
        <w:t xml:space="preserve"> program during the year between the first and second birthday. Table 1 indicates that the majority of children we</w:t>
      </w:r>
      <w:r>
        <w:rPr>
          <w:rFonts w:ascii="Arial" w:hAnsi="Arial"/>
          <w:i w:val="0"/>
          <w:iCs/>
        </w:rPr>
        <w:t xml:space="preserve">re enrolled in Wellmark during this time. Additionally, enrollees in the John Deere plan were more likely to have had fewer months in the plan during the immunization period. This was primarily due to John Deere initiating participation in the </w:t>
      </w:r>
      <w:r>
        <w:rPr>
          <w:rFonts w:ascii="Arial" w:hAnsi="Arial"/>
          <w:b/>
        </w:rPr>
        <w:t>hawk-i</w:t>
      </w:r>
      <w:r>
        <w:rPr>
          <w:rFonts w:ascii="Arial" w:hAnsi="Arial"/>
          <w:i w:val="0"/>
          <w:iCs/>
        </w:rPr>
        <w:t xml:space="preserve"> progr</w:t>
      </w:r>
      <w:r>
        <w:rPr>
          <w:rFonts w:ascii="Arial" w:hAnsi="Arial"/>
          <w:i w:val="0"/>
          <w:iCs/>
        </w:rPr>
        <w:t>am after the other two plans</w:t>
      </w:r>
      <w:r>
        <w:rPr>
          <w:rFonts w:ascii="Arial" w:hAnsi="Arial"/>
        </w:rPr>
        <w:t>.</w:t>
      </w:r>
    </w:p>
    <w:p w:rsidR="00000000" w:rsidRDefault="00216019">
      <w:pPr>
        <w:pStyle w:val="BodyText"/>
        <w:rPr>
          <w:rFonts w:ascii="Arial" w:hAnsi="Arial"/>
        </w:rPr>
      </w:pPr>
    </w:p>
    <w:p w:rsidR="00000000" w:rsidRDefault="00216019">
      <w:pPr>
        <w:pStyle w:val="Heading5"/>
      </w:pPr>
      <w:r>
        <w:lastRenderedPageBreak/>
        <w:t xml:space="preserve">Table 1. Number of children born in 1999 and enrolled between </w:t>
      </w:r>
      <w:r>
        <w:br/>
        <w:t>the first and second birthday by months of enrollment and plan</w:t>
      </w:r>
    </w:p>
    <w:tbl>
      <w:tblPr>
        <w:tblW w:w="0" w:type="auto"/>
        <w:jc w:val="center"/>
        <w:tblBorders>
          <w:top w:val="thinThickSmallGap" w:sz="24" w:space="0" w:color="auto"/>
          <w:bottom w:val="thickThinSmallGap" w:sz="24" w:space="0" w:color="auto"/>
          <w:insideH w:val="single" w:sz="4" w:space="0" w:color="auto"/>
        </w:tblBorders>
        <w:tblLook w:val="0000"/>
      </w:tblPr>
      <w:tblGrid>
        <w:gridCol w:w="2610"/>
        <w:gridCol w:w="1638"/>
        <w:gridCol w:w="1530"/>
        <w:gridCol w:w="1674"/>
      </w:tblGrid>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rPr>
                <w:rFonts w:ascii="Arial" w:hAnsi="Arial"/>
                <w:b/>
                <w:i w:val="0"/>
                <w:iCs/>
              </w:rPr>
            </w:pPr>
            <w:r>
              <w:rPr>
                <w:rFonts w:ascii="Arial" w:hAnsi="Arial"/>
                <w:b/>
                <w:i w:val="0"/>
                <w:iCs/>
              </w:rPr>
              <w:t>Number of months</w:t>
            </w:r>
          </w:p>
        </w:tc>
        <w:tc>
          <w:tcPr>
            <w:tcW w:w="1638" w:type="dxa"/>
          </w:tcPr>
          <w:p w:rsidR="00000000" w:rsidRDefault="00216019">
            <w:pPr>
              <w:pStyle w:val="BodyText"/>
              <w:keepNext/>
              <w:keepLines/>
              <w:spacing w:line="360" w:lineRule="auto"/>
              <w:jc w:val="center"/>
              <w:rPr>
                <w:rFonts w:ascii="Arial" w:hAnsi="Arial"/>
                <w:b/>
                <w:i w:val="0"/>
                <w:iCs/>
              </w:rPr>
            </w:pPr>
            <w:r>
              <w:rPr>
                <w:rFonts w:ascii="Arial" w:hAnsi="Arial"/>
                <w:b/>
                <w:i w:val="0"/>
                <w:iCs/>
              </w:rPr>
              <w:t>Iowa Health Solutions</w:t>
            </w:r>
          </w:p>
        </w:tc>
        <w:tc>
          <w:tcPr>
            <w:tcW w:w="1530" w:type="dxa"/>
          </w:tcPr>
          <w:p w:rsidR="00000000" w:rsidRDefault="00216019">
            <w:pPr>
              <w:pStyle w:val="BodyText"/>
              <w:keepNext/>
              <w:keepLines/>
              <w:spacing w:line="360" w:lineRule="auto"/>
              <w:jc w:val="center"/>
              <w:rPr>
                <w:rFonts w:ascii="Arial" w:hAnsi="Arial"/>
                <w:b/>
                <w:i w:val="0"/>
                <w:iCs/>
              </w:rPr>
            </w:pPr>
            <w:r>
              <w:rPr>
                <w:rFonts w:ascii="Arial" w:hAnsi="Arial"/>
                <w:b/>
                <w:i w:val="0"/>
                <w:iCs/>
              </w:rPr>
              <w:br/>
              <w:t>John Deere</w:t>
            </w:r>
          </w:p>
        </w:tc>
        <w:tc>
          <w:tcPr>
            <w:tcW w:w="1674" w:type="dxa"/>
          </w:tcPr>
          <w:p w:rsidR="00000000" w:rsidRDefault="00216019">
            <w:pPr>
              <w:pStyle w:val="BodyText"/>
              <w:keepNext/>
              <w:keepLines/>
              <w:tabs>
                <w:tab w:val="left" w:pos="882"/>
              </w:tabs>
              <w:spacing w:line="360" w:lineRule="auto"/>
              <w:jc w:val="center"/>
              <w:rPr>
                <w:rFonts w:ascii="Arial" w:hAnsi="Arial"/>
                <w:b/>
                <w:i w:val="0"/>
                <w:iCs/>
              </w:rPr>
            </w:pPr>
            <w:r>
              <w:rPr>
                <w:rFonts w:ascii="Arial" w:hAnsi="Arial"/>
                <w:b/>
                <w:i w:val="0"/>
                <w:iCs/>
              </w:rPr>
              <w:br/>
              <w:t>Wellmark</w:t>
            </w: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rPr>
                <w:rFonts w:ascii="Arial" w:hAnsi="Arial"/>
                <w:b/>
                <w:i w:val="0"/>
                <w:iCs/>
              </w:rPr>
            </w:pPr>
            <w:r>
              <w:rPr>
                <w:rFonts w:ascii="Arial" w:hAnsi="Arial"/>
                <w:b/>
                <w:i w:val="0"/>
                <w:iCs/>
              </w:rPr>
              <w:t>1-4 months</w:t>
            </w:r>
          </w:p>
        </w:tc>
        <w:tc>
          <w:tcPr>
            <w:tcW w:w="1638" w:type="dxa"/>
          </w:tcPr>
          <w:p w:rsidR="00000000" w:rsidRDefault="00216019">
            <w:pPr>
              <w:pStyle w:val="BodyText"/>
              <w:keepNext/>
              <w:keepLines/>
              <w:spacing w:line="360" w:lineRule="auto"/>
              <w:jc w:val="center"/>
              <w:rPr>
                <w:rFonts w:ascii="Arial" w:hAnsi="Arial"/>
                <w:i w:val="0"/>
                <w:iCs/>
              </w:rPr>
            </w:pPr>
            <w:r>
              <w:rPr>
                <w:rFonts w:ascii="Arial" w:hAnsi="Arial"/>
                <w:i w:val="0"/>
                <w:iCs/>
              </w:rPr>
              <w:t>79 (29%)</w:t>
            </w:r>
          </w:p>
        </w:tc>
        <w:tc>
          <w:tcPr>
            <w:tcW w:w="1530" w:type="dxa"/>
          </w:tcPr>
          <w:p w:rsidR="00000000" w:rsidRDefault="00216019">
            <w:pPr>
              <w:pStyle w:val="BodyText"/>
              <w:keepNext/>
              <w:keepLines/>
              <w:spacing w:line="360" w:lineRule="auto"/>
              <w:jc w:val="center"/>
              <w:rPr>
                <w:rFonts w:ascii="Arial" w:hAnsi="Arial"/>
                <w:i w:val="0"/>
                <w:iCs/>
              </w:rPr>
            </w:pPr>
            <w:r>
              <w:rPr>
                <w:rFonts w:ascii="Arial" w:hAnsi="Arial"/>
                <w:i w:val="0"/>
                <w:iCs/>
              </w:rPr>
              <w:t>53 (37%)</w:t>
            </w:r>
          </w:p>
        </w:tc>
        <w:tc>
          <w:tcPr>
            <w:tcW w:w="1674" w:type="dxa"/>
          </w:tcPr>
          <w:p w:rsidR="00000000" w:rsidRDefault="00216019">
            <w:pPr>
              <w:pStyle w:val="BodyText"/>
              <w:keepNext/>
              <w:keepLines/>
              <w:tabs>
                <w:tab w:val="left" w:pos="882"/>
              </w:tabs>
              <w:spacing w:line="360" w:lineRule="auto"/>
              <w:jc w:val="center"/>
              <w:rPr>
                <w:rFonts w:ascii="Arial" w:hAnsi="Arial"/>
                <w:i w:val="0"/>
                <w:iCs/>
              </w:rPr>
            </w:pPr>
            <w:r>
              <w:rPr>
                <w:rFonts w:ascii="Arial" w:hAnsi="Arial"/>
                <w:i w:val="0"/>
                <w:iCs/>
              </w:rPr>
              <w:t>160 (28%</w:t>
            </w:r>
            <w:r>
              <w:rPr>
                <w:rFonts w:ascii="Arial" w:hAnsi="Arial"/>
                <w:i w:val="0"/>
                <w:iCs/>
              </w:rPr>
              <w:t>)</w:t>
            </w: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rPr>
                <w:rFonts w:ascii="Arial" w:hAnsi="Arial"/>
                <w:b/>
                <w:i w:val="0"/>
                <w:iCs/>
              </w:rPr>
            </w:pPr>
            <w:r>
              <w:rPr>
                <w:rFonts w:ascii="Arial" w:hAnsi="Arial"/>
                <w:b/>
                <w:i w:val="0"/>
                <w:iCs/>
              </w:rPr>
              <w:t>5-7 months</w:t>
            </w:r>
          </w:p>
        </w:tc>
        <w:tc>
          <w:tcPr>
            <w:tcW w:w="1638" w:type="dxa"/>
          </w:tcPr>
          <w:p w:rsidR="00000000" w:rsidRDefault="00216019">
            <w:pPr>
              <w:pStyle w:val="BodyText"/>
              <w:keepNext/>
              <w:keepLines/>
              <w:spacing w:line="360" w:lineRule="auto"/>
              <w:jc w:val="center"/>
              <w:rPr>
                <w:rFonts w:ascii="Arial" w:hAnsi="Arial"/>
                <w:i w:val="0"/>
                <w:iCs/>
              </w:rPr>
            </w:pPr>
            <w:r>
              <w:rPr>
                <w:rFonts w:ascii="Arial" w:hAnsi="Arial"/>
                <w:i w:val="0"/>
                <w:iCs/>
              </w:rPr>
              <w:t>65 (23%)</w:t>
            </w:r>
          </w:p>
        </w:tc>
        <w:tc>
          <w:tcPr>
            <w:tcW w:w="1530" w:type="dxa"/>
          </w:tcPr>
          <w:p w:rsidR="00000000" w:rsidRDefault="00216019">
            <w:pPr>
              <w:pStyle w:val="BodyText"/>
              <w:keepNext/>
              <w:keepLines/>
              <w:spacing w:line="360" w:lineRule="auto"/>
              <w:jc w:val="center"/>
              <w:rPr>
                <w:rFonts w:ascii="Arial" w:hAnsi="Arial"/>
                <w:i w:val="0"/>
                <w:iCs/>
              </w:rPr>
            </w:pPr>
            <w:r>
              <w:rPr>
                <w:rFonts w:ascii="Arial" w:hAnsi="Arial"/>
                <w:i w:val="0"/>
                <w:iCs/>
              </w:rPr>
              <w:t>37 (26%)</w:t>
            </w:r>
          </w:p>
        </w:tc>
        <w:tc>
          <w:tcPr>
            <w:tcW w:w="1674" w:type="dxa"/>
          </w:tcPr>
          <w:p w:rsidR="00000000" w:rsidRDefault="00216019">
            <w:pPr>
              <w:pStyle w:val="BodyText"/>
              <w:keepNext/>
              <w:keepLines/>
              <w:tabs>
                <w:tab w:val="left" w:pos="882"/>
              </w:tabs>
              <w:spacing w:line="360" w:lineRule="auto"/>
              <w:jc w:val="center"/>
              <w:rPr>
                <w:rFonts w:ascii="Arial" w:hAnsi="Arial"/>
                <w:i w:val="0"/>
                <w:iCs/>
              </w:rPr>
            </w:pPr>
            <w:r>
              <w:rPr>
                <w:rFonts w:ascii="Arial" w:hAnsi="Arial"/>
                <w:i w:val="0"/>
                <w:iCs/>
              </w:rPr>
              <w:t>145 (25%)</w:t>
            </w: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rPr>
                <w:rFonts w:ascii="Arial" w:hAnsi="Arial"/>
                <w:b/>
                <w:i w:val="0"/>
                <w:iCs/>
              </w:rPr>
            </w:pPr>
            <w:r>
              <w:rPr>
                <w:rFonts w:ascii="Arial" w:hAnsi="Arial"/>
                <w:b/>
                <w:i w:val="0"/>
                <w:iCs/>
              </w:rPr>
              <w:t>8-10 months</w:t>
            </w:r>
          </w:p>
        </w:tc>
        <w:tc>
          <w:tcPr>
            <w:tcW w:w="1638" w:type="dxa"/>
          </w:tcPr>
          <w:p w:rsidR="00000000" w:rsidRDefault="00216019">
            <w:pPr>
              <w:pStyle w:val="BodyText"/>
              <w:keepNext/>
              <w:keepLines/>
              <w:spacing w:line="360" w:lineRule="auto"/>
              <w:jc w:val="center"/>
              <w:rPr>
                <w:rFonts w:ascii="Arial" w:hAnsi="Arial"/>
                <w:i w:val="0"/>
                <w:iCs/>
              </w:rPr>
            </w:pPr>
            <w:r>
              <w:rPr>
                <w:rFonts w:ascii="Arial" w:hAnsi="Arial"/>
                <w:i w:val="0"/>
                <w:iCs/>
              </w:rPr>
              <w:t>60 (22%)</w:t>
            </w:r>
          </w:p>
        </w:tc>
        <w:tc>
          <w:tcPr>
            <w:tcW w:w="1530" w:type="dxa"/>
          </w:tcPr>
          <w:p w:rsidR="00000000" w:rsidRDefault="00216019">
            <w:pPr>
              <w:pStyle w:val="BodyText"/>
              <w:keepNext/>
              <w:keepLines/>
              <w:spacing w:line="360" w:lineRule="auto"/>
              <w:jc w:val="center"/>
              <w:rPr>
                <w:rFonts w:ascii="Arial" w:hAnsi="Arial"/>
                <w:i w:val="0"/>
                <w:iCs/>
              </w:rPr>
            </w:pPr>
            <w:r>
              <w:rPr>
                <w:rFonts w:ascii="Arial" w:hAnsi="Arial"/>
                <w:i w:val="0"/>
                <w:iCs/>
              </w:rPr>
              <w:t>28 (20%)</w:t>
            </w:r>
          </w:p>
        </w:tc>
        <w:tc>
          <w:tcPr>
            <w:tcW w:w="1674" w:type="dxa"/>
          </w:tcPr>
          <w:p w:rsidR="00000000" w:rsidRDefault="00216019">
            <w:pPr>
              <w:pStyle w:val="BodyText"/>
              <w:keepNext/>
              <w:keepLines/>
              <w:tabs>
                <w:tab w:val="left" w:pos="882"/>
              </w:tabs>
              <w:spacing w:line="360" w:lineRule="auto"/>
              <w:jc w:val="center"/>
              <w:rPr>
                <w:rFonts w:ascii="Arial" w:hAnsi="Arial"/>
                <w:i w:val="0"/>
                <w:iCs/>
              </w:rPr>
            </w:pPr>
            <w:r>
              <w:rPr>
                <w:rFonts w:ascii="Arial" w:hAnsi="Arial"/>
                <w:i w:val="0"/>
                <w:iCs/>
              </w:rPr>
              <w:t>136 (24%)</w:t>
            </w: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rPr>
                <w:rFonts w:ascii="Arial" w:hAnsi="Arial"/>
                <w:b/>
                <w:i w:val="0"/>
                <w:iCs/>
              </w:rPr>
            </w:pPr>
            <w:r>
              <w:rPr>
                <w:rFonts w:ascii="Arial" w:hAnsi="Arial"/>
                <w:b/>
                <w:i w:val="0"/>
                <w:iCs/>
              </w:rPr>
              <w:t>11 or more months</w:t>
            </w:r>
          </w:p>
        </w:tc>
        <w:tc>
          <w:tcPr>
            <w:tcW w:w="1638" w:type="dxa"/>
          </w:tcPr>
          <w:p w:rsidR="00000000" w:rsidRDefault="00216019">
            <w:pPr>
              <w:pStyle w:val="BodyText"/>
              <w:keepNext/>
              <w:keepLines/>
              <w:spacing w:line="360" w:lineRule="auto"/>
              <w:jc w:val="center"/>
              <w:rPr>
                <w:rFonts w:ascii="Arial" w:hAnsi="Arial"/>
                <w:i w:val="0"/>
                <w:iCs/>
              </w:rPr>
            </w:pPr>
            <w:r>
              <w:rPr>
                <w:rFonts w:ascii="Arial" w:hAnsi="Arial"/>
                <w:i w:val="0"/>
                <w:iCs/>
              </w:rPr>
              <w:t>73 (26%)</w:t>
            </w:r>
          </w:p>
        </w:tc>
        <w:tc>
          <w:tcPr>
            <w:tcW w:w="1530" w:type="dxa"/>
          </w:tcPr>
          <w:p w:rsidR="00000000" w:rsidRDefault="00216019">
            <w:pPr>
              <w:pStyle w:val="BodyText"/>
              <w:keepNext/>
              <w:keepLines/>
              <w:spacing w:line="360" w:lineRule="auto"/>
              <w:jc w:val="center"/>
              <w:rPr>
                <w:rFonts w:ascii="Arial" w:hAnsi="Arial"/>
                <w:i w:val="0"/>
                <w:iCs/>
              </w:rPr>
            </w:pPr>
            <w:r>
              <w:rPr>
                <w:rFonts w:ascii="Arial" w:hAnsi="Arial"/>
                <w:i w:val="0"/>
                <w:iCs/>
              </w:rPr>
              <w:t>25 (17%)</w:t>
            </w:r>
          </w:p>
        </w:tc>
        <w:tc>
          <w:tcPr>
            <w:tcW w:w="1674" w:type="dxa"/>
          </w:tcPr>
          <w:p w:rsidR="00000000" w:rsidRDefault="00216019">
            <w:pPr>
              <w:pStyle w:val="BodyText"/>
              <w:keepNext/>
              <w:keepLines/>
              <w:tabs>
                <w:tab w:val="left" w:pos="882"/>
              </w:tabs>
              <w:spacing w:line="360" w:lineRule="auto"/>
              <w:jc w:val="center"/>
              <w:rPr>
                <w:rFonts w:ascii="Arial" w:hAnsi="Arial"/>
                <w:i w:val="0"/>
                <w:iCs/>
              </w:rPr>
            </w:pPr>
            <w:r>
              <w:rPr>
                <w:rFonts w:ascii="Arial" w:hAnsi="Arial"/>
                <w:i w:val="0"/>
                <w:iCs/>
              </w:rPr>
              <w:t>134 (23%)</w:t>
            </w:r>
          </w:p>
        </w:tc>
      </w:tr>
      <w:tr w:rsidR="00000000">
        <w:tblPrEx>
          <w:tblCellMar>
            <w:top w:w="0" w:type="dxa"/>
            <w:bottom w:w="0" w:type="dxa"/>
          </w:tblCellMar>
        </w:tblPrEx>
        <w:trPr>
          <w:jc w:val="center"/>
        </w:trPr>
        <w:tc>
          <w:tcPr>
            <w:tcW w:w="2610" w:type="dxa"/>
          </w:tcPr>
          <w:p w:rsidR="00000000" w:rsidRDefault="00216019">
            <w:pPr>
              <w:pStyle w:val="BodyText"/>
              <w:keepLines/>
              <w:spacing w:line="360" w:lineRule="auto"/>
              <w:rPr>
                <w:rFonts w:ascii="Arial" w:hAnsi="Arial"/>
                <w:b/>
                <w:i w:val="0"/>
                <w:iCs/>
              </w:rPr>
            </w:pPr>
            <w:r>
              <w:rPr>
                <w:rFonts w:ascii="Arial" w:hAnsi="Arial"/>
                <w:b/>
                <w:i w:val="0"/>
                <w:iCs/>
              </w:rPr>
              <w:t>Total</w:t>
            </w:r>
          </w:p>
        </w:tc>
        <w:tc>
          <w:tcPr>
            <w:tcW w:w="1638" w:type="dxa"/>
          </w:tcPr>
          <w:p w:rsidR="00000000" w:rsidRDefault="00216019">
            <w:pPr>
              <w:pStyle w:val="BodyText"/>
              <w:keepLines/>
              <w:spacing w:line="360" w:lineRule="auto"/>
              <w:jc w:val="center"/>
              <w:rPr>
                <w:rFonts w:ascii="Arial" w:hAnsi="Arial"/>
                <w:i w:val="0"/>
                <w:iCs/>
              </w:rPr>
            </w:pPr>
            <w:r>
              <w:rPr>
                <w:rFonts w:ascii="Arial" w:hAnsi="Arial"/>
                <w:i w:val="0"/>
                <w:iCs/>
              </w:rPr>
              <w:t>277 (100%)</w:t>
            </w:r>
          </w:p>
        </w:tc>
        <w:tc>
          <w:tcPr>
            <w:tcW w:w="1530" w:type="dxa"/>
          </w:tcPr>
          <w:p w:rsidR="00000000" w:rsidRDefault="00216019">
            <w:pPr>
              <w:pStyle w:val="BodyText"/>
              <w:keepLines/>
              <w:spacing w:line="360" w:lineRule="auto"/>
              <w:jc w:val="center"/>
              <w:rPr>
                <w:rFonts w:ascii="Arial" w:hAnsi="Arial"/>
                <w:i w:val="0"/>
                <w:iCs/>
              </w:rPr>
            </w:pPr>
            <w:r>
              <w:rPr>
                <w:rFonts w:ascii="Arial" w:hAnsi="Arial"/>
                <w:i w:val="0"/>
                <w:iCs/>
              </w:rPr>
              <w:t>143 (100%)</w:t>
            </w:r>
          </w:p>
        </w:tc>
        <w:tc>
          <w:tcPr>
            <w:tcW w:w="1674" w:type="dxa"/>
          </w:tcPr>
          <w:p w:rsidR="00000000" w:rsidRDefault="00216019">
            <w:pPr>
              <w:pStyle w:val="BodyText"/>
              <w:keepLines/>
              <w:tabs>
                <w:tab w:val="left" w:pos="882"/>
              </w:tabs>
              <w:spacing w:line="360" w:lineRule="auto"/>
              <w:jc w:val="center"/>
              <w:rPr>
                <w:rFonts w:ascii="Arial" w:hAnsi="Arial"/>
                <w:i w:val="0"/>
                <w:iCs/>
              </w:rPr>
            </w:pPr>
            <w:r>
              <w:rPr>
                <w:rFonts w:ascii="Arial" w:hAnsi="Arial"/>
                <w:i w:val="0"/>
                <w:iCs/>
              </w:rPr>
              <w:t>575 (100%)</w:t>
            </w:r>
          </w:p>
        </w:tc>
      </w:tr>
    </w:tbl>
    <w:p w:rsidR="00000000" w:rsidRDefault="00216019">
      <w:pPr>
        <w:pStyle w:val="BodyText"/>
        <w:rPr>
          <w:rFonts w:ascii="Arial" w:hAnsi="Arial"/>
        </w:rPr>
      </w:pPr>
    </w:p>
    <w:p w:rsidR="00000000" w:rsidRDefault="00216019">
      <w:pPr>
        <w:pStyle w:val="BodyText"/>
        <w:rPr>
          <w:rFonts w:ascii="Arial" w:hAnsi="Arial"/>
          <w:i w:val="0"/>
          <w:iCs/>
        </w:rPr>
      </w:pPr>
      <w:r>
        <w:rPr>
          <w:rFonts w:ascii="Arial" w:hAnsi="Arial"/>
          <w:i w:val="0"/>
          <w:iCs/>
        </w:rPr>
        <w:t>Table 2 and Figure 8 indicate the rates of MMR immunization by months enrolled and p</w:t>
      </w:r>
      <w:r>
        <w:rPr>
          <w:rFonts w:ascii="Arial" w:hAnsi="Arial"/>
          <w:i w:val="0"/>
          <w:iCs/>
        </w:rPr>
        <w:t xml:space="preserve">lan. Overall the MMR immunization rates are very low (7%, 14%, and 11%). However, for the HEDIS measures, only those children eligible for at least 11 months between the first and second birthday are included. For this group, Table 2 shows that John Deere </w:t>
      </w:r>
      <w:r>
        <w:rPr>
          <w:rFonts w:ascii="Arial" w:hAnsi="Arial"/>
          <w:i w:val="0"/>
          <w:iCs/>
        </w:rPr>
        <w:t xml:space="preserve">has the highest immunization rate with 44% while Iowa Health Solutions has the lowest rate with only 20%. Though these rates are higher than those across all children regardless of enrollment period, the rates are still low. </w:t>
      </w:r>
    </w:p>
    <w:p w:rsidR="00000000" w:rsidRDefault="00216019">
      <w:pPr>
        <w:pStyle w:val="Heading5"/>
      </w:pPr>
    </w:p>
    <w:p w:rsidR="00000000" w:rsidRDefault="00216019">
      <w:pPr>
        <w:pStyle w:val="Heading5"/>
      </w:pPr>
      <w:r>
        <w:t>Table 2. Rates of MMR immuniz</w:t>
      </w:r>
      <w:r>
        <w:t>ation by months enrolled and plan</w:t>
      </w:r>
    </w:p>
    <w:tbl>
      <w:tblPr>
        <w:tblW w:w="0" w:type="auto"/>
        <w:jc w:val="center"/>
        <w:tblBorders>
          <w:top w:val="thinThickSmallGap" w:sz="24" w:space="0" w:color="auto"/>
          <w:bottom w:val="thickThinSmallGap" w:sz="24" w:space="0" w:color="auto"/>
          <w:insideH w:val="single" w:sz="4" w:space="0" w:color="auto"/>
        </w:tblBorders>
        <w:tblLook w:val="0000"/>
      </w:tblPr>
      <w:tblGrid>
        <w:gridCol w:w="2610"/>
        <w:gridCol w:w="1638"/>
        <w:gridCol w:w="1530"/>
        <w:gridCol w:w="1350"/>
      </w:tblGrid>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rPr>
                <w:rFonts w:ascii="Arial" w:hAnsi="Arial"/>
                <w:b/>
                <w:i w:val="0"/>
                <w:iCs/>
              </w:rPr>
            </w:pPr>
            <w:r>
              <w:rPr>
                <w:rFonts w:ascii="Arial" w:hAnsi="Arial"/>
                <w:b/>
                <w:i w:val="0"/>
                <w:iCs/>
              </w:rPr>
              <w:br/>
              <w:t>Number of months</w:t>
            </w:r>
          </w:p>
        </w:tc>
        <w:tc>
          <w:tcPr>
            <w:tcW w:w="1638" w:type="dxa"/>
          </w:tcPr>
          <w:p w:rsidR="00000000" w:rsidRDefault="00216019">
            <w:pPr>
              <w:pStyle w:val="BodyText"/>
              <w:keepNext/>
              <w:keepLines/>
              <w:spacing w:line="360" w:lineRule="auto"/>
              <w:jc w:val="center"/>
              <w:rPr>
                <w:rFonts w:ascii="Arial" w:hAnsi="Arial"/>
                <w:b/>
                <w:i w:val="0"/>
                <w:iCs/>
              </w:rPr>
            </w:pPr>
            <w:r>
              <w:rPr>
                <w:rFonts w:ascii="Arial" w:hAnsi="Arial"/>
                <w:b/>
                <w:i w:val="0"/>
                <w:iCs/>
              </w:rPr>
              <w:t>Iowa Health Solutions</w:t>
            </w:r>
          </w:p>
        </w:tc>
        <w:tc>
          <w:tcPr>
            <w:tcW w:w="1530" w:type="dxa"/>
          </w:tcPr>
          <w:p w:rsidR="00000000" w:rsidRDefault="00216019">
            <w:pPr>
              <w:pStyle w:val="BodyText"/>
              <w:keepNext/>
              <w:keepLines/>
              <w:spacing w:line="360" w:lineRule="auto"/>
              <w:jc w:val="center"/>
              <w:rPr>
                <w:rFonts w:ascii="Arial" w:hAnsi="Arial"/>
                <w:b/>
                <w:i w:val="0"/>
                <w:iCs/>
              </w:rPr>
            </w:pPr>
            <w:r>
              <w:rPr>
                <w:rFonts w:ascii="Arial" w:hAnsi="Arial"/>
                <w:b/>
                <w:i w:val="0"/>
                <w:iCs/>
              </w:rPr>
              <w:br/>
              <w:t>John Deere</w:t>
            </w:r>
          </w:p>
        </w:tc>
        <w:tc>
          <w:tcPr>
            <w:tcW w:w="1350" w:type="dxa"/>
          </w:tcPr>
          <w:p w:rsidR="00000000" w:rsidRDefault="00216019">
            <w:pPr>
              <w:pStyle w:val="BodyText"/>
              <w:keepNext/>
              <w:keepLines/>
              <w:tabs>
                <w:tab w:val="left" w:pos="882"/>
              </w:tabs>
              <w:spacing w:line="360" w:lineRule="auto"/>
              <w:jc w:val="center"/>
              <w:rPr>
                <w:rFonts w:ascii="Arial" w:hAnsi="Arial"/>
                <w:b/>
                <w:i w:val="0"/>
                <w:iCs/>
              </w:rPr>
            </w:pPr>
            <w:r>
              <w:rPr>
                <w:rFonts w:ascii="Arial" w:hAnsi="Arial"/>
                <w:b/>
                <w:i w:val="0"/>
                <w:iCs/>
              </w:rPr>
              <w:br/>
              <w:t>Wellmark</w:t>
            </w: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rPr>
                <w:rFonts w:ascii="Arial" w:hAnsi="Arial"/>
                <w:b/>
                <w:i w:val="0"/>
                <w:iCs/>
              </w:rPr>
            </w:pPr>
            <w:r>
              <w:rPr>
                <w:rFonts w:ascii="Arial" w:hAnsi="Arial"/>
                <w:b/>
                <w:i w:val="0"/>
                <w:iCs/>
              </w:rPr>
              <w:t>1-4 months</w:t>
            </w:r>
          </w:p>
        </w:tc>
        <w:tc>
          <w:tcPr>
            <w:tcW w:w="1638" w:type="dxa"/>
          </w:tcPr>
          <w:p w:rsidR="00000000" w:rsidRDefault="00216019">
            <w:pPr>
              <w:pStyle w:val="BodyText"/>
              <w:keepNext/>
              <w:keepLines/>
              <w:spacing w:line="360" w:lineRule="auto"/>
              <w:jc w:val="center"/>
              <w:rPr>
                <w:rFonts w:ascii="Arial" w:hAnsi="Arial"/>
                <w:i w:val="0"/>
                <w:iCs/>
              </w:rPr>
            </w:pPr>
            <w:r>
              <w:rPr>
                <w:rFonts w:ascii="Arial" w:hAnsi="Arial"/>
                <w:i w:val="0"/>
                <w:iCs/>
              </w:rPr>
              <w:t>1 (1.3%)</w:t>
            </w:r>
          </w:p>
        </w:tc>
        <w:tc>
          <w:tcPr>
            <w:tcW w:w="1530" w:type="dxa"/>
          </w:tcPr>
          <w:p w:rsidR="00000000" w:rsidRDefault="00216019">
            <w:pPr>
              <w:pStyle w:val="BodyText"/>
              <w:keepNext/>
              <w:keepLines/>
              <w:spacing w:line="360" w:lineRule="auto"/>
              <w:jc w:val="center"/>
              <w:rPr>
                <w:rFonts w:ascii="Arial" w:hAnsi="Arial"/>
                <w:i w:val="0"/>
                <w:iCs/>
              </w:rPr>
            </w:pPr>
            <w:r>
              <w:rPr>
                <w:rFonts w:ascii="Arial" w:hAnsi="Arial"/>
                <w:i w:val="0"/>
                <w:iCs/>
              </w:rPr>
              <w:t>3 (5.7%)</w:t>
            </w:r>
          </w:p>
        </w:tc>
        <w:tc>
          <w:tcPr>
            <w:tcW w:w="1350" w:type="dxa"/>
          </w:tcPr>
          <w:p w:rsidR="00000000" w:rsidRDefault="00216019">
            <w:pPr>
              <w:pStyle w:val="BodyText"/>
              <w:keepNext/>
              <w:keepLines/>
              <w:tabs>
                <w:tab w:val="left" w:pos="882"/>
              </w:tabs>
              <w:spacing w:line="360" w:lineRule="auto"/>
              <w:jc w:val="center"/>
              <w:rPr>
                <w:rFonts w:ascii="Arial" w:hAnsi="Arial"/>
                <w:i w:val="0"/>
                <w:iCs/>
              </w:rPr>
            </w:pPr>
            <w:r>
              <w:rPr>
                <w:rFonts w:ascii="Arial" w:hAnsi="Arial"/>
                <w:i w:val="0"/>
                <w:iCs/>
              </w:rPr>
              <w:t>2 (1.3%)</w:t>
            </w: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rPr>
                <w:rFonts w:ascii="Arial" w:hAnsi="Arial"/>
                <w:b/>
                <w:i w:val="0"/>
                <w:iCs/>
              </w:rPr>
            </w:pPr>
            <w:r>
              <w:rPr>
                <w:rFonts w:ascii="Arial" w:hAnsi="Arial"/>
                <w:b/>
                <w:i w:val="0"/>
                <w:iCs/>
              </w:rPr>
              <w:t>5-7 months</w:t>
            </w:r>
          </w:p>
        </w:tc>
        <w:tc>
          <w:tcPr>
            <w:tcW w:w="1638" w:type="dxa"/>
          </w:tcPr>
          <w:p w:rsidR="00000000" w:rsidRDefault="00216019">
            <w:pPr>
              <w:pStyle w:val="BodyText"/>
              <w:keepNext/>
              <w:keepLines/>
              <w:spacing w:line="360" w:lineRule="auto"/>
              <w:jc w:val="center"/>
              <w:rPr>
                <w:rFonts w:ascii="Arial" w:hAnsi="Arial"/>
                <w:i w:val="0"/>
                <w:iCs/>
              </w:rPr>
            </w:pPr>
            <w:r>
              <w:rPr>
                <w:rFonts w:ascii="Arial" w:hAnsi="Arial"/>
                <w:i w:val="0"/>
                <w:iCs/>
              </w:rPr>
              <w:t>1 (1.5%)</w:t>
            </w:r>
          </w:p>
        </w:tc>
        <w:tc>
          <w:tcPr>
            <w:tcW w:w="1530" w:type="dxa"/>
          </w:tcPr>
          <w:p w:rsidR="00000000" w:rsidRDefault="00216019">
            <w:pPr>
              <w:pStyle w:val="BodyText"/>
              <w:keepNext/>
              <w:keepLines/>
              <w:spacing w:line="360" w:lineRule="auto"/>
              <w:jc w:val="center"/>
              <w:rPr>
                <w:rFonts w:ascii="Arial" w:hAnsi="Arial"/>
                <w:i w:val="0"/>
                <w:iCs/>
              </w:rPr>
            </w:pPr>
            <w:r>
              <w:rPr>
                <w:rFonts w:ascii="Arial" w:hAnsi="Arial"/>
                <w:i w:val="0"/>
                <w:iCs/>
              </w:rPr>
              <w:t>1 (2.7%)</w:t>
            </w:r>
          </w:p>
        </w:tc>
        <w:tc>
          <w:tcPr>
            <w:tcW w:w="1350" w:type="dxa"/>
          </w:tcPr>
          <w:p w:rsidR="00000000" w:rsidRDefault="00216019">
            <w:pPr>
              <w:pStyle w:val="BodyText"/>
              <w:keepNext/>
              <w:keepLines/>
              <w:tabs>
                <w:tab w:val="left" w:pos="882"/>
              </w:tabs>
              <w:spacing w:line="360" w:lineRule="auto"/>
              <w:jc w:val="center"/>
              <w:rPr>
                <w:rFonts w:ascii="Arial" w:hAnsi="Arial"/>
                <w:i w:val="0"/>
                <w:iCs/>
              </w:rPr>
            </w:pPr>
            <w:r>
              <w:rPr>
                <w:rFonts w:ascii="Arial" w:hAnsi="Arial"/>
                <w:i w:val="0"/>
                <w:iCs/>
              </w:rPr>
              <w:t>11 (7.6%)</w:t>
            </w: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rPr>
                <w:rFonts w:ascii="Arial" w:hAnsi="Arial"/>
                <w:b/>
                <w:i w:val="0"/>
                <w:iCs/>
              </w:rPr>
            </w:pPr>
            <w:r>
              <w:rPr>
                <w:rFonts w:ascii="Arial" w:hAnsi="Arial"/>
                <w:b/>
                <w:i w:val="0"/>
                <w:iCs/>
              </w:rPr>
              <w:t>8-10 months</w:t>
            </w:r>
          </w:p>
        </w:tc>
        <w:tc>
          <w:tcPr>
            <w:tcW w:w="1638" w:type="dxa"/>
          </w:tcPr>
          <w:p w:rsidR="00000000" w:rsidRDefault="00216019">
            <w:pPr>
              <w:pStyle w:val="BodyText"/>
              <w:keepNext/>
              <w:keepLines/>
              <w:spacing w:line="360" w:lineRule="auto"/>
              <w:jc w:val="center"/>
              <w:rPr>
                <w:rFonts w:ascii="Arial" w:hAnsi="Arial"/>
                <w:i w:val="0"/>
                <w:iCs/>
              </w:rPr>
            </w:pPr>
            <w:r>
              <w:rPr>
                <w:rFonts w:ascii="Arial" w:hAnsi="Arial"/>
                <w:i w:val="0"/>
                <w:iCs/>
              </w:rPr>
              <w:t>3 (5.0%)</w:t>
            </w:r>
          </w:p>
        </w:tc>
        <w:tc>
          <w:tcPr>
            <w:tcW w:w="1530" w:type="dxa"/>
          </w:tcPr>
          <w:p w:rsidR="00000000" w:rsidRDefault="00216019">
            <w:pPr>
              <w:pStyle w:val="BodyText"/>
              <w:keepNext/>
              <w:keepLines/>
              <w:spacing w:line="360" w:lineRule="auto"/>
              <w:jc w:val="center"/>
              <w:rPr>
                <w:rFonts w:ascii="Arial" w:hAnsi="Arial"/>
                <w:i w:val="0"/>
                <w:iCs/>
              </w:rPr>
            </w:pPr>
            <w:r>
              <w:rPr>
                <w:rFonts w:ascii="Arial" w:hAnsi="Arial"/>
                <w:i w:val="0"/>
                <w:iCs/>
              </w:rPr>
              <w:t>5 (17.9%)</w:t>
            </w:r>
          </w:p>
        </w:tc>
        <w:tc>
          <w:tcPr>
            <w:tcW w:w="1350" w:type="dxa"/>
          </w:tcPr>
          <w:p w:rsidR="00000000" w:rsidRDefault="00216019">
            <w:pPr>
              <w:pStyle w:val="BodyText"/>
              <w:keepNext/>
              <w:keepLines/>
              <w:tabs>
                <w:tab w:val="left" w:pos="882"/>
              </w:tabs>
              <w:spacing w:line="360" w:lineRule="auto"/>
              <w:jc w:val="center"/>
              <w:rPr>
                <w:rFonts w:ascii="Arial" w:hAnsi="Arial"/>
                <w:i w:val="0"/>
                <w:iCs/>
              </w:rPr>
            </w:pPr>
            <w:r>
              <w:rPr>
                <w:rFonts w:ascii="Arial" w:hAnsi="Arial"/>
                <w:i w:val="0"/>
                <w:iCs/>
              </w:rPr>
              <w:t>18 (13.2%)</w:t>
            </w: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rPr>
                <w:rFonts w:ascii="Arial" w:hAnsi="Arial"/>
                <w:b/>
                <w:i w:val="0"/>
                <w:iCs/>
              </w:rPr>
            </w:pPr>
            <w:r>
              <w:rPr>
                <w:rFonts w:ascii="Arial" w:hAnsi="Arial"/>
                <w:b/>
                <w:i w:val="0"/>
                <w:iCs/>
              </w:rPr>
              <w:t>11 or more months</w:t>
            </w:r>
          </w:p>
        </w:tc>
        <w:tc>
          <w:tcPr>
            <w:tcW w:w="1638" w:type="dxa"/>
          </w:tcPr>
          <w:p w:rsidR="00000000" w:rsidRDefault="00216019">
            <w:pPr>
              <w:pStyle w:val="BodyText"/>
              <w:keepNext/>
              <w:keepLines/>
              <w:spacing w:line="360" w:lineRule="auto"/>
              <w:jc w:val="center"/>
              <w:rPr>
                <w:rFonts w:ascii="Arial" w:hAnsi="Arial"/>
                <w:i w:val="0"/>
                <w:iCs/>
              </w:rPr>
            </w:pPr>
            <w:r>
              <w:rPr>
                <w:rFonts w:ascii="Arial" w:hAnsi="Arial"/>
                <w:i w:val="0"/>
                <w:iCs/>
              </w:rPr>
              <w:t>15 (20.5%)</w:t>
            </w:r>
          </w:p>
        </w:tc>
        <w:tc>
          <w:tcPr>
            <w:tcW w:w="1530" w:type="dxa"/>
          </w:tcPr>
          <w:p w:rsidR="00000000" w:rsidRDefault="00216019">
            <w:pPr>
              <w:pStyle w:val="BodyText"/>
              <w:keepNext/>
              <w:keepLines/>
              <w:spacing w:line="360" w:lineRule="auto"/>
              <w:jc w:val="center"/>
              <w:rPr>
                <w:rFonts w:ascii="Arial" w:hAnsi="Arial"/>
                <w:i w:val="0"/>
                <w:iCs/>
              </w:rPr>
            </w:pPr>
            <w:r>
              <w:rPr>
                <w:rFonts w:ascii="Arial" w:hAnsi="Arial"/>
                <w:i w:val="0"/>
                <w:iCs/>
              </w:rPr>
              <w:t>11 (44.0</w:t>
            </w:r>
            <w:r>
              <w:rPr>
                <w:rFonts w:ascii="Arial" w:hAnsi="Arial"/>
                <w:i w:val="0"/>
                <w:iCs/>
              </w:rPr>
              <w:t>%)</w:t>
            </w:r>
          </w:p>
        </w:tc>
        <w:tc>
          <w:tcPr>
            <w:tcW w:w="1350" w:type="dxa"/>
          </w:tcPr>
          <w:p w:rsidR="00000000" w:rsidRDefault="00216019">
            <w:pPr>
              <w:pStyle w:val="BodyText"/>
              <w:keepNext/>
              <w:keepLines/>
              <w:tabs>
                <w:tab w:val="left" w:pos="882"/>
              </w:tabs>
              <w:spacing w:line="360" w:lineRule="auto"/>
              <w:jc w:val="center"/>
              <w:rPr>
                <w:rFonts w:ascii="Arial" w:hAnsi="Arial"/>
                <w:i w:val="0"/>
                <w:iCs/>
              </w:rPr>
            </w:pPr>
            <w:r>
              <w:rPr>
                <w:rFonts w:ascii="Arial" w:hAnsi="Arial"/>
                <w:i w:val="0"/>
                <w:iCs/>
              </w:rPr>
              <w:t>34 (25.4%)</w:t>
            </w:r>
          </w:p>
        </w:tc>
      </w:tr>
      <w:tr w:rsidR="00000000">
        <w:tblPrEx>
          <w:tblCellMar>
            <w:top w:w="0" w:type="dxa"/>
            <w:bottom w:w="0" w:type="dxa"/>
          </w:tblCellMar>
        </w:tblPrEx>
        <w:trPr>
          <w:jc w:val="center"/>
        </w:trPr>
        <w:tc>
          <w:tcPr>
            <w:tcW w:w="2610" w:type="dxa"/>
          </w:tcPr>
          <w:p w:rsidR="00000000" w:rsidRDefault="00216019">
            <w:pPr>
              <w:pStyle w:val="BodyText"/>
              <w:keepLines/>
              <w:spacing w:line="360" w:lineRule="auto"/>
              <w:rPr>
                <w:rFonts w:ascii="Arial" w:hAnsi="Arial"/>
                <w:b/>
                <w:i w:val="0"/>
                <w:iCs/>
              </w:rPr>
            </w:pPr>
            <w:r>
              <w:rPr>
                <w:rFonts w:ascii="Arial" w:hAnsi="Arial"/>
                <w:b/>
                <w:i w:val="0"/>
                <w:iCs/>
              </w:rPr>
              <w:t>Total</w:t>
            </w:r>
          </w:p>
        </w:tc>
        <w:tc>
          <w:tcPr>
            <w:tcW w:w="1638" w:type="dxa"/>
          </w:tcPr>
          <w:p w:rsidR="00000000" w:rsidRDefault="00216019">
            <w:pPr>
              <w:pStyle w:val="BodyText"/>
              <w:keepLines/>
              <w:spacing w:line="360" w:lineRule="auto"/>
              <w:jc w:val="center"/>
              <w:rPr>
                <w:rFonts w:ascii="Arial" w:hAnsi="Arial"/>
                <w:i w:val="0"/>
                <w:iCs/>
              </w:rPr>
            </w:pPr>
            <w:r>
              <w:rPr>
                <w:rFonts w:ascii="Arial" w:hAnsi="Arial"/>
                <w:i w:val="0"/>
                <w:iCs/>
              </w:rPr>
              <w:t>20 (7.2%)</w:t>
            </w:r>
          </w:p>
        </w:tc>
        <w:tc>
          <w:tcPr>
            <w:tcW w:w="1530" w:type="dxa"/>
          </w:tcPr>
          <w:p w:rsidR="00000000" w:rsidRDefault="00216019">
            <w:pPr>
              <w:pStyle w:val="BodyText"/>
              <w:keepLines/>
              <w:spacing w:line="360" w:lineRule="auto"/>
              <w:jc w:val="center"/>
              <w:rPr>
                <w:rFonts w:ascii="Arial" w:hAnsi="Arial"/>
                <w:i w:val="0"/>
                <w:iCs/>
              </w:rPr>
            </w:pPr>
            <w:r>
              <w:rPr>
                <w:rFonts w:ascii="Arial" w:hAnsi="Arial"/>
                <w:i w:val="0"/>
                <w:iCs/>
              </w:rPr>
              <w:t>20 (14.0%)</w:t>
            </w:r>
          </w:p>
        </w:tc>
        <w:tc>
          <w:tcPr>
            <w:tcW w:w="1350" w:type="dxa"/>
          </w:tcPr>
          <w:p w:rsidR="00000000" w:rsidRDefault="00216019">
            <w:pPr>
              <w:pStyle w:val="BodyText"/>
              <w:keepLines/>
              <w:tabs>
                <w:tab w:val="left" w:pos="882"/>
              </w:tabs>
              <w:spacing w:line="360" w:lineRule="auto"/>
              <w:jc w:val="center"/>
              <w:rPr>
                <w:rFonts w:ascii="Arial" w:hAnsi="Arial"/>
                <w:i w:val="0"/>
                <w:iCs/>
              </w:rPr>
            </w:pPr>
            <w:r>
              <w:rPr>
                <w:rFonts w:ascii="Arial" w:hAnsi="Arial"/>
                <w:i w:val="0"/>
                <w:iCs/>
              </w:rPr>
              <w:t>65 (11.3%)</w:t>
            </w:r>
          </w:p>
        </w:tc>
      </w:tr>
    </w:tbl>
    <w:p w:rsidR="00000000" w:rsidRDefault="00216019">
      <w:pPr>
        <w:pStyle w:val="Heading5"/>
      </w:pPr>
    </w:p>
    <w:p w:rsidR="00000000" w:rsidRDefault="00216019">
      <w:pPr>
        <w:pStyle w:val="Heading5"/>
      </w:pPr>
      <w:r>
        <w:t>Figure 8. Rates of MMR vaccination by number of months enrolled and plan</w:t>
      </w:r>
    </w:p>
    <w:p w:rsidR="00000000" w:rsidRDefault="00216019">
      <w:pPr>
        <w:pStyle w:val="BodyText"/>
        <w:jc w:val="center"/>
        <w:rPr>
          <w:rFonts w:ascii="Arial" w:hAnsi="Arial"/>
        </w:rPr>
      </w:pPr>
      <w:bookmarkStart w:id="6" w:name="OLE_LINK15"/>
      <w:bookmarkStart w:id="7" w:name="OLE_LINK16"/>
      <w:r>
        <w:rPr>
          <w:rFonts w:ascii="Arial" w:hAnsi="Arial"/>
          <w:noProof/>
        </w:rPr>
        <w:drawing>
          <wp:inline distT="0" distB="0" distL="0" distR="0">
            <wp:extent cx="4578350" cy="32734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6"/>
      <w:bookmarkEnd w:id="7"/>
    </w:p>
    <w:p w:rsidR="00000000" w:rsidRDefault="00216019">
      <w:pPr>
        <w:pStyle w:val="BodyText"/>
        <w:jc w:val="center"/>
        <w:rPr>
          <w:rFonts w:ascii="Arial" w:hAnsi="Arial"/>
        </w:rPr>
      </w:pPr>
    </w:p>
    <w:p w:rsidR="00000000" w:rsidRDefault="00216019">
      <w:pPr>
        <w:pStyle w:val="BodyText"/>
        <w:rPr>
          <w:rFonts w:ascii="Arial" w:hAnsi="Arial"/>
          <w:i w:val="0"/>
          <w:iCs/>
        </w:rPr>
      </w:pPr>
      <w:r>
        <w:rPr>
          <w:rFonts w:ascii="Arial" w:hAnsi="Arial"/>
          <w:i w:val="0"/>
          <w:iCs/>
        </w:rPr>
        <w:t>The low MMR immunization rates may be due, at least in part, to our inability to capture the adminis</w:t>
      </w:r>
      <w:r>
        <w:rPr>
          <w:rFonts w:ascii="Arial" w:hAnsi="Arial"/>
          <w:i w:val="0"/>
          <w:iCs/>
        </w:rPr>
        <w:t xml:space="preserve">tration of the vaccine when provided outside of the health plan (e.g., by a public health clinic). Anecdotal information indicates that the receipt of immunizations by </w:t>
      </w:r>
      <w:r>
        <w:rPr>
          <w:rFonts w:ascii="Arial" w:hAnsi="Arial"/>
          <w:b/>
        </w:rPr>
        <w:t>hawk-i</w:t>
      </w:r>
      <w:r>
        <w:rPr>
          <w:rFonts w:ascii="Arial" w:hAnsi="Arial"/>
          <w:i w:val="0"/>
          <w:iCs/>
        </w:rPr>
        <w:t xml:space="preserve"> enrollees in public health clinics could be encouraged by some rural physicians w</w:t>
      </w:r>
      <w:r>
        <w:rPr>
          <w:rFonts w:ascii="Arial" w:hAnsi="Arial"/>
          <w:i w:val="0"/>
          <w:iCs/>
        </w:rPr>
        <w:t>ho may not be giving the vaccinations in their offices due to the perceived high cost of obtaining and maintaining the supply. Children may also come into the plan with evidence of vaccinations provided prior to entry into the program (i.e., prior to one y</w:t>
      </w:r>
      <w:r>
        <w:rPr>
          <w:rFonts w:ascii="Arial" w:hAnsi="Arial"/>
          <w:i w:val="0"/>
          <w:iCs/>
        </w:rPr>
        <w:t>ear of age). These children may not receive another vaccination and the evidence of the receipt of an MMR vaccination would not be present in the encounter data.</w:t>
      </w:r>
    </w:p>
    <w:p w:rsidR="00000000" w:rsidRDefault="00216019">
      <w:pPr>
        <w:pStyle w:val="BodyText"/>
        <w:rPr>
          <w:rFonts w:ascii="Arial" w:hAnsi="Arial"/>
          <w:i w:val="0"/>
          <w:iCs/>
        </w:rPr>
      </w:pPr>
    </w:p>
    <w:p w:rsidR="00000000" w:rsidRDefault="00216019">
      <w:pPr>
        <w:rPr>
          <w:b/>
          <w:bCs/>
          <w:sz w:val="28"/>
        </w:rPr>
      </w:pPr>
      <w:r>
        <w:rPr>
          <w:b/>
          <w:bCs/>
          <w:sz w:val="28"/>
        </w:rPr>
        <w:t>Behavioral and emotional health utilization</w:t>
      </w:r>
    </w:p>
    <w:p w:rsidR="00000000" w:rsidRDefault="00216019">
      <w:pPr>
        <w:rPr>
          <w:b/>
          <w:bCs/>
          <w:sz w:val="28"/>
        </w:rPr>
      </w:pPr>
    </w:p>
    <w:p w:rsidR="00000000" w:rsidRDefault="00216019">
      <w:pPr>
        <w:pStyle w:val="BodyText"/>
        <w:rPr>
          <w:rFonts w:ascii="Arial" w:hAnsi="Arial"/>
          <w:i w:val="0"/>
          <w:iCs/>
        </w:rPr>
      </w:pPr>
      <w:r>
        <w:rPr>
          <w:rFonts w:ascii="Arial" w:hAnsi="Arial"/>
          <w:i w:val="0"/>
          <w:iCs/>
        </w:rPr>
        <w:t>The number and percent of children with an outpa</w:t>
      </w:r>
      <w:r>
        <w:rPr>
          <w:rFonts w:ascii="Arial" w:hAnsi="Arial"/>
          <w:i w:val="0"/>
          <w:iCs/>
        </w:rPr>
        <w:t xml:space="preserve">tient behavioral or emotional health visit should serve as an indicator of access to mental health care for children within </w:t>
      </w:r>
      <w:r>
        <w:rPr>
          <w:rFonts w:ascii="Arial" w:hAnsi="Arial"/>
          <w:b/>
        </w:rPr>
        <w:t>hawk-i</w:t>
      </w:r>
      <w:r>
        <w:rPr>
          <w:rFonts w:ascii="Arial" w:hAnsi="Arial"/>
          <w:i w:val="0"/>
          <w:iCs/>
        </w:rPr>
        <w:t>. Though there is not a guideline or reference point regarding the percent of children that need mental health services, we ca</w:t>
      </w:r>
      <w:r>
        <w:rPr>
          <w:rFonts w:ascii="Arial" w:hAnsi="Arial"/>
          <w:i w:val="0"/>
          <w:iCs/>
        </w:rPr>
        <w:t>n conclude that plans with a higher percent of children with a visit provide better access than those with a low percent unless there are differences in the prevalence of behavioral and emotional health problems between the populations in the different pla</w:t>
      </w:r>
      <w:r>
        <w:rPr>
          <w:rFonts w:ascii="Arial" w:hAnsi="Arial"/>
          <w:i w:val="0"/>
          <w:iCs/>
        </w:rPr>
        <w:t xml:space="preserve">ns. In general, the plans within </w:t>
      </w:r>
      <w:r>
        <w:rPr>
          <w:rFonts w:ascii="Arial" w:hAnsi="Arial"/>
          <w:b/>
        </w:rPr>
        <w:t>hawk-i</w:t>
      </w:r>
      <w:r>
        <w:rPr>
          <w:rFonts w:ascii="Arial" w:hAnsi="Arial"/>
          <w:b/>
          <w:i w:val="0"/>
          <w:iCs/>
        </w:rPr>
        <w:t xml:space="preserve"> </w:t>
      </w:r>
      <w:r>
        <w:rPr>
          <w:rFonts w:ascii="Arial" w:hAnsi="Arial"/>
          <w:i w:val="0"/>
          <w:iCs/>
        </w:rPr>
        <w:t xml:space="preserve">seem to have comparable rates for mental health services. </w:t>
      </w:r>
    </w:p>
    <w:p w:rsidR="00000000" w:rsidRDefault="00216019">
      <w:pPr>
        <w:pStyle w:val="Heading5"/>
      </w:pPr>
      <w:r>
        <w:lastRenderedPageBreak/>
        <w:t>Table 3. Number and percent of children with an</w:t>
      </w:r>
      <w:r>
        <w:br/>
        <w:t>outpatient mental health visit by age and gender</w:t>
      </w:r>
    </w:p>
    <w:tbl>
      <w:tblPr>
        <w:tblW w:w="0" w:type="auto"/>
        <w:jc w:val="center"/>
        <w:tblBorders>
          <w:top w:val="thinThickSmallGap" w:sz="24" w:space="0" w:color="auto"/>
          <w:bottom w:val="thickThinSmallGap" w:sz="24" w:space="0" w:color="auto"/>
          <w:insideH w:val="single" w:sz="4" w:space="0" w:color="auto"/>
        </w:tblBorders>
        <w:tblLook w:val="0000"/>
      </w:tblPr>
      <w:tblGrid>
        <w:gridCol w:w="2610"/>
        <w:gridCol w:w="1638"/>
        <w:gridCol w:w="1530"/>
        <w:gridCol w:w="1674"/>
      </w:tblGrid>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rPr>
                <w:rFonts w:ascii="Arial" w:hAnsi="Arial"/>
                <w:b/>
                <w:i w:val="0"/>
                <w:iCs/>
              </w:rPr>
            </w:pPr>
            <w:r>
              <w:rPr>
                <w:rFonts w:ascii="Arial" w:hAnsi="Arial"/>
                <w:b/>
                <w:i w:val="0"/>
                <w:iCs/>
              </w:rPr>
              <w:t>Age and gender</w:t>
            </w:r>
          </w:p>
        </w:tc>
        <w:tc>
          <w:tcPr>
            <w:tcW w:w="1638" w:type="dxa"/>
          </w:tcPr>
          <w:p w:rsidR="00000000" w:rsidRDefault="00216019">
            <w:pPr>
              <w:pStyle w:val="BodyText"/>
              <w:keepNext/>
              <w:keepLines/>
              <w:spacing w:line="360" w:lineRule="auto"/>
              <w:jc w:val="center"/>
              <w:rPr>
                <w:rFonts w:ascii="Arial" w:hAnsi="Arial"/>
                <w:b/>
                <w:i w:val="0"/>
                <w:iCs/>
              </w:rPr>
            </w:pPr>
            <w:r>
              <w:rPr>
                <w:rFonts w:ascii="Arial" w:hAnsi="Arial"/>
                <w:b/>
                <w:i w:val="0"/>
                <w:iCs/>
              </w:rPr>
              <w:t>Iowa Health Solutions</w:t>
            </w:r>
          </w:p>
        </w:tc>
        <w:tc>
          <w:tcPr>
            <w:tcW w:w="1530" w:type="dxa"/>
          </w:tcPr>
          <w:p w:rsidR="00000000" w:rsidRDefault="00216019">
            <w:pPr>
              <w:pStyle w:val="BodyText"/>
              <w:keepNext/>
              <w:keepLines/>
              <w:spacing w:line="360" w:lineRule="auto"/>
              <w:jc w:val="center"/>
              <w:rPr>
                <w:rFonts w:ascii="Arial" w:hAnsi="Arial"/>
                <w:b/>
                <w:i w:val="0"/>
                <w:iCs/>
              </w:rPr>
            </w:pPr>
            <w:r>
              <w:rPr>
                <w:rFonts w:ascii="Arial" w:hAnsi="Arial"/>
                <w:b/>
                <w:i w:val="0"/>
                <w:iCs/>
              </w:rPr>
              <w:br/>
              <w:t>John Deere</w:t>
            </w:r>
          </w:p>
        </w:tc>
        <w:tc>
          <w:tcPr>
            <w:tcW w:w="1674" w:type="dxa"/>
          </w:tcPr>
          <w:p w:rsidR="00000000" w:rsidRDefault="00216019">
            <w:pPr>
              <w:pStyle w:val="BodyText"/>
              <w:keepNext/>
              <w:keepLines/>
              <w:tabs>
                <w:tab w:val="left" w:pos="882"/>
              </w:tabs>
              <w:spacing w:line="360" w:lineRule="auto"/>
              <w:jc w:val="center"/>
              <w:rPr>
                <w:rFonts w:ascii="Arial" w:hAnsi="Arial"/>
                <w:b/>
                <w:i w:val="0"/>
                <w:iCs/>
              </w:rPr>
            </w:pPr>
            <w:r>
              <w:rPr>
                <w:rFonts w:ascii="Arial" w:hAnsi="Arial"/>
                <w:b/>
                <w:i w:val="0"/>
                <w:iCs/>
              </w:rPr>
              <w:br/>
              <w:t>Wellmark</w:t>
            </w: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rPr>
                <w:rFonts w:ascii="Arial" w:hAnsi="Arial"/>
                <w:b/>
                <w:i w:val="0"/>
                <w:iCs/>
              </w:rPr>
            </w:pPr>
            <w:r>
              <w:rPr>
                <w:rFonts w:ascii="Arial" w:hAnsi="Arial"/>
                <w:b/>
                <w:i w:val="0"/>
                <w:iCs/>
              </w:rPr>
              <w:t>0-12 years of age</w:t>
            </w:r>
          </w:p>
        </w:tc>
        <w:tc>
          <w:tcPr>
            <w:tcW w:w="1638" w:type="dxa"/>
          </w:tcPr>
          <w:p w:rsidR="00000000" w:rsidRDefault="00216019">
            <w:pPr>
              <w:pStyle w:val="BodyText"/>
              <w:keepNext/>
              <w:keepLines/>
              <w:spacing w:line="360" w:lineRule="auto"/>
              <w:jc w:val="center"/>
              <w:rPr>
                <w:rFonts w:ascii="Arial" w:hAnsi="Arial"/>
                <w:i w:val="0"/>
                <w:iCs/>
              </w:rPr>
            </w:pPr>
          </w:p>
        </w:tc>
        <w:tc>
          <w:tcPr>
            <w:tcW w:w="1530" w:type="dxa"/>
          </w:tcPr>
          <w:p w:rsidR="00000000" w:rsidRDefault="00216019">
            <w:pPr>
              <w:pStyle w:val="BodyText"/>
              <w:keepNext/>
              <w:keepLines/>
              <w:spacing w:line="360" w:lineRule="auto"/>
              <w:jc w:val="center"/>
              <w:rPr>
                <w:rFonts w:ascii="Arial" w:hAnsi="Arial"/>
                <w:i w:val="0"/>
                <w:iCs/>
              </w:rPr>
            </w:pPr>
          </w:p>
        </w:tc>
        <w:tc>
          <w:tcPr>
            <w:tcW w:w="1674" w:type="dxa"/>
          </w:tcPr>
          <w:p w:rsidR="00000000" w:rsidRDefault="00216019">
            <w:pPr>
              <w:pStyle w:val="BodyText"/>
              <w:keepNext/>
              <w:keepLines/>
              <w:tabs>
                <w:tab w:val="left" w:pos="882"/>
              </w:tabs>
              <w:spacing w:line="360" w:lineRule="auto"/>
              <w:jc w:val="center"/>
              <w:rPr>
                <w:rFonts w:ascii="Arial" w:hAnsi="Arial"/>
                <w:i w:val="0"/>
                <w:iCs/>
              </w:rPr>
            </w:pP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ind w:left="306"/>
              <w:rPr>
                <w:rFonts w:ascii="Arial" w:hAnsi="Arial"/>
                <w:b/>
                <w:i w:val="0"/>
                <w:iCs/>
              </w:rPr>
            </w:pPr>
            <w:r>
              <w:rPr>
                <w:rFonts w:ascii="Arial" w:hAnsi="Arial"/>
                <w:b/>
                <w:i w:val="0"/>
                <w:iCs/>
              </w:rPr>
              <w:t>Male</w:t>
            </w:r>
          </w:p>
        </w:tc>
        <w:tc>
          <w:tcPr>
            <w:tcW w:w="1638" w:type="dxa"/>
          </w:tcPr>
          <w:p w:rsidR="00000000" w:rsidRDefault="00216019">
            <w:pPr>
              <w:pStyle w:val="BodyText"/>
              <w:keepNext/>
              <w:keepLines/>
              <w:spacing w:line="360" w:lineRule="auto"/>
              <w:jc w:val="center"/>
              <w:rPr>
                <w:rFonts w:ascii="Arial" w:hAnsi="Arial"/>
                <w:i w:val="0"/>
                <w:iCs/>
              </w:rPr>
            </w:pPr>
            <w:r>
              <w:rPr>
                <w:rFonts w:ascii="Arial" w:hAnsi="Arial"/>
                <w:i w:val="0"/>
                <w:iCs/>
              </w:rPr>
              <w:t>92 (6%)</w:t>
            </w:r>
          </w:p>
        </w:tc>
        <w:tc>
          <w:tcPr>
            <w:tcW w:w="1530" w:type="dxa"/>
          </w:tcPr>
          <w:p w:rsidR="00000000" w:rsidRDefault="00216019">
            <w:pPr>
              <w:pStyle w:val="BodyText"/>
              <w:keepNext/>
              <w:keepLines/>
              <w:spacing w:line="360" w:lineRule="auto"/>
              <w:jc w:val="center"/>
              <w:rPr>
                <w:rFonts w:ascii="Arial" w:hAnsi="Arial"/>
                <w:i w:val="0"/>
                <w:iCs/>
              </w:rPr>
            </w:pPr>
            <w:r>
              <w:rPr>
                <w:rFonts w:ascii="Arial" w:hAnsi="Arial"/>
                <w:i w:val="0"/>
                <w:iCs/>
              </w:rPr>
              <w:t>48 (7%)</w:t>
            </w:r>
          </w:p>
        </w:tc>
        <w:tc>
          <w:tcPr>
            <w:tcW w:w="1674" w:type="dxa"/>
          </w:tcPr>
          <w:p w:rsidR="00000000" w:rsidRDefault="00216019">
            <w:pPr>
              <w:pStyle w:val="BodyText"/>
              <w:keepNext/>
              <w:keepLines/>
              <w:tabs>
                <w:tab w:val="left" w:pos="882"/>
              </w:tabs>
              <w:spacing w:line="360" w:lineRule="auto"/>
              <w:jc w:val="center"/>
              <w:rPr>
                <w:rFonts w:ascii="Arial" w:hAnsi="Arial"/>
                <w:i w:val="0"/>
                <w:iCs/>
              </w:rPr>
            </w:pPr>
            <w:r>
              <w:rPr>
                <w:rFonts w:ascii="Arial" w:hAnsi="Arial"/>
                <w:i w:val="0"/>
                <w:iCs/>
              </w:rPr>
              <w:t>154 (4%)</w:t>
            </w: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ind w:left="306"/>
              <w:rPr>
                <w:rFonts w:ascii="Arial" w:hAnsi="Arial"/>
                <w:b/>
                <w:i w:val="0"/>
                <w:iCs/>
              </w:rPr>
            </w:pPr>
            <w:r>
              <w:rPr>
                <w:rFonts w:ascii="Arial" w:hAnsi="Arial"/>
                <w:b/>
                <w:i w:val="0"/>
                <w:iCs/>
              </w:rPr>
              <w:t>Female</w:t>
            </w:r>
          </w:p>
        </w:tc>
        <w:tc>
          <w:tcPr>
            <w:tcW w:w="1638" w:type="dxa"/>
          </w:tcPr>
          <w:p w:rsidR="00000000" w:rsidRDefault="00216019">
            <w:pPr>
              <w:pStyle w:val="BodyText"/>
              <w:keepNext/>
              <w:keepLines/>
              <w:spacing w:line="360" w:lineRule="auto"/>
              <w:jc w:val="center"/>
              <w:rPr>
                <w:rFonts w:ascii="Arial" w:hAnsi="Arial"/>
                <w:i w:val="0"/>
                <w:iCs/>
              </w:rPr>
            </w:pPr>
            <w:r>
              <w:rPr>
                <w:rFonts w:ascii="Arial" w:hAnsi="Arial"/>
                <w:i w:val="0"/>
                <w:iCs/>
              </w:rPr>
              <w:t>41 (3%)</w:t>
            </w:r>
          </w:p>
        </w:tc>
        <w:tc>
          <w:tcPr>
            <w:tcW w:w="1530" w:type="dxa"/>
          </w:tcPr>
          <w:p w:rsidR="00000000" w:rsidRDefault="00216019">
            <w:pPr>
              <w:pStyle w:val="BodyText"/>
              <w:keepNext/>
              <w:keepLines/>
              <w:spacing w:line="360" w:lineRule="auto"/>
              <w:jc w:val="center"/>
              <w:rPr>
                <w:rFonts w:ascii="Arial" w:hAnsi="Arial"/>
                <w:i w:val="0"/>
                <w:iCs/>
              </w:rPr>
            </w:pPr>
            <w:r>
              <w:rPr>
                <w:rFonts w:ascii="Arial" w:hAnsi="Arial"/>
                <w:i w:val="0"/>
                <w:iCs/>
              </w:rPr>
              <w:t>19 (3%)</w:t>
            </w:r>
          </w:p>
        </w:tc>
        <w:tc>
          <w:tcPr>
            <w:tcW w:w="1674" w:type="dxa"/>
          </w:tcPr>
          <w:p w:rsidR="00000000" w:rsidRDefault="00216019">
            <w:pPr>
              <w:pStyle w:val="BodyText"/>
              <w:keepNext/>
              <w:keepLines/>
              <w:tabs>
                <w:tab w:val="left" w:pos="882"/>
              </w:tabs>
              <w:spacing w:line="360" w:lineRule="auto"/>
              <w:jc w:val="center"/>
              <w:rPr>
                <w:rFonts w:ascii="Arial" w:hAnsi="Arial"/>
                <w:i w:val="0"/>
                <w:iCs/>
              </w:rPr>
            </w:pPr>
            <w:r>
              <w:rPr>
                <w:rFonts w:ascii="Arial" w:hAnsi="Arial"/>
                <w:i w:val="0"/>
                <w:iCs/>
              </w:rPr>
              <w:t>68 (2%)</w:t>
            </w: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rPr>
                <w:rFonts w:ascii="Arial" w:hAnsi="Arial"/>
                <w:b/>
                <w:i w:val="0"/>
                <w:iCs/>
              </w:rPr>
            </w:pPr>
            <w:r>
              <w:rPr>
                <w:rFonts w:ascii="Arial" w:hAnsi="Arial"/>
                <w:b/>
                <w:i w:val="0"/>
                <w:iCs/>
              </w:rPr>
              <w:t>13-18 years of age</w:t>
            </w:r>
          </w:p>
        </w:tc>
        <w:tc>
          <w:tcPr>
            <w:tcW w:w="1638" w:type="dxa"/>
          </w:tcPr>
          <w:p w:rsidR="00000000" w:rsidRDefault="00216019">
            <w:pPr>
              <w:pStyle w:val="BodyText"/>
              <w:keepNext/>
              <w:keepLines/>
              <w:spacing w:line="360" w:lineRule="auto"/>
              <w:jc w:val="center"/>
              <w:rPr>
                <w:rFonts w:ascii="Arial" w:hAnsi="Arial"/>
                <w:i w:val="0"/>
                <w:iCs/>
              </w:rPr>
            </w:pPr>
          </w:p>
        </w:tc>
        <w:tc>
          <w:tcPr>
            <w:tcW w:w="1530" w:type="dxa"/>
          </w:tcPr>
          <w:p w:rsidR="00000000" w:rsidRDefault="00216019">
            <w:pPr>
              <w:pStyle w:val="BodyText"/>
              <w:keepNext/>
              <w:keepLines/>
              <w:spacing w:line="360" w:lineRule="auto"/>
              <w:jc w:val="center"/>
              <w:rPr>
                <w:rFonts w:ascii="Arial" w:hAnsi="Arial"/>
                <w:i w:val="0"/>
                <w:iCs/>
              </w:rPr>
            </w:pPr>
          </w:p>
        </w:tc>
        <w:tc>
          <w:tcPr>
            <w:tcW w:w="1674" w:type="dxa"/>
          </w:tcPr>
          <w:p w:rsidR="00000000" w:rsidRDefault="00216019">
            <w:pPr>
              <w:pStyle w:val="BodyText"/>
              <w:keepNext/>
              <w:keepLines/>
              <w:tabs>
                <w:tab w:val="left" w:pos="882"/>
              </w:tabs>
              <w:spacing w:line="360" w:lineRule="auto"/>
              <w:jc w:val="center"/>
              <w:rPr>
                <w:rFonts w:ascii="Arial" w:hAnsi="Arial"/>
                <w:i w:val="0"/>
                <w:iCs/>
              </w:rPr>
            </w:pP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ind w:left="306"/>
              <w:rPr>
                <w:rFonts w:ascii="Arial" w:hAnsi="Arial"/>
                <w:b/>
                <w:i w:val="0"/>
                <w:iCs/>
              </w:rPr>
            </w:pPr>
            <w:r>
              <w:rPr>
                <w:rFonts w:ascii="Arial" w:hAnsi="Arial"/>
                <w:b/>
                <w:i w:val="0"/>
                <w:iCs/>
              </w:rPr>
              <w:t>Male</w:t>
            </w:r>
          </w:p>
        </w:tc>
        <w:tc>
          <w:tcPr>
            <w:tcW w:w="1638" w:type="dxa"/>
          </w:tcPr>
          <w:p w:rsidR="00000000" w:rsidRDefault="00216019">
            <w:pPr>
              <w:pStyle w:val="BodyText"/>
              <w:keepNext/>
              <w:keepLines/>
              <w:spacing w:line="360" w:lineRule="auto"/>
              <w:jc w:val="center"/>
              <w:rPr>
                <w:rFonts w:ascii="Arial" w:hAnsi="Arial"/>
                <w:i w:val="0"/>
                <w:iCs/>
              </w:rPr>
            </w:pPr>
            <w:r>
              <w:rPr>
                <w:rFonts w:ascii="Arial" w:hAnsi="Arial"/>
                <w:i w:val="0"/>
                <w:iCs/>
              </w:rPr>
              <w:t>53 (9%)</w:t>
            </w:r>
          </w:p>
        </w:tc>
        <w:tc>
          <w:tcPr>
            <w:tcW w:w="1530" w:type="dxa"/>
          </w:tcPr>
          <w:p w:rsidR="00000000" w:rsidRDefault="00216019">
            <w:pPr>
              <w:pStyle w:val="BodyText"/>
              <w:keepNext/>
              <w:keepLines/>
              <w:spacing w:line="360" w:lineRule="auto"/>
              <w:jc w:val="center"/>
              <w:rPr>
                <w:rFonts w:ascii="Arial" w:hAnsi="Arial"/>
                <w:i w:val="0"/>
                <w:iCs/>
              </w:rPr>
            </w:pPr>
            <w:r>
              <w:rPr>
                <w:rFonts w:ascii="Arial" w:hAnsi="Arial"/>
                <w:i w:val="0"/>
                <w:iCs/>
              </w:rPr>
              <w:t>20 (12%)</w:t>
            </w:r>
          </w:p>
        </w:tc>
        <w:tc>
          <w:tcPr>
            <w:tcW w:w="1674" w:type="dxa"/>
          </w:tcPr>
          <w:p w:rsidR="00000000" w:rsidRDefault="00216019">
            <w:pPr>
              <w:pStyle w:val="BodyText"/>
              <w:keepNext/>
              <w:keepLines/>
              <w:tabs>
                <w:tab w:val="left" w:pos="882"/>
              </w:tabs>
              <w:spacing w:line="360" w:lineRule="auto"/>
              <w:jc w:val="center"/>
              <w:rPr>
                <w:rFonts w:ascii="Arial" w:hAnsi="Arial"/>
                <w:i w:val="0"/>
                <w:iCs/>
              </w:rPr>
            </w:pPr>
            <w:r>
              <w:rPr>
                <w:rFonts w:ascii="Arial" w:hAnsi="Arial"/>
                <w:i w:val="0"/>
                <w:iCs/>
              </w:rPr>
              <w:t>72 (6%)</w:t>
            </w:r>
          </w:p>
        </w:tc>
      </w:tr>
      <w:tr w:rsidR="00000000">
        <w:tblPrEx>
          <w:tblCellMar>
            <w:top w:w="0" w:type="dxa"/>
            <w:bottom w:w="0" w:type="dxa"/>
          </w:tblCellMar>
        </w:tblPrEx>
        <w:trPr>
          <w:jc w:val="center"/>
        </w:trPr>
        <w:tc>
          <w:tcPr>
            <w:tcW w:w="2610" w:type="dxa"/>
          </w:tcPr>
          <w:p w:rsidR="00000000" w:rsidRDefault="00216019">
            <w:pPr>
              <w:pStyle w:val="BodyText"/>
              <w:keepNext/>
              <w:keepLines/>
              <w:spacing w:line="360" w:lineRule="auto"/>
              <w:ind w:left="306"/>
              <w:rPr>
                <w:rFonts w:ascii="Arial" w:hAnsi="Arial"/>
                <w:b/>
                <w:i w:val="0"/>
                <w:iCs/>
              </w:rPr>
            </w:pPr>
            <w:r>
              <w:rPr>
                <w:rFonts w:ascii="Arial" w:hAnsi="Arial"/>
                <w:b/>
                <w:i w:val="0"/>
                <w:iCs/>
              </w:rPr>
              <w:t>Female</w:t>
            </w:r>
          </w:p>
        </w:tc>
        <w:tc>
          <w:tcPr>
            <w:tcW w:w="1638" w:type="dxa"/>
          </w:tcPr>
          <w:p w:rsidR="00000000" w:rsidRDefault="00216019">
            <w:pPr>
              <w:pStyle w:val="BodyText"/>
              <w:keepNext/>
              <w:keepLines/>
              <w:spacing w:line="360" w:lineRule="auto"/>
              <w:jc w:val="center"/>
              <w:rPr>
                <w:rFonts w:ascii="Arial" w:hAnsi="Arial"/>
                <w:i w:val="0"/>
                <w:iCs/>
              </w:rPr>
            </w:pPr>
            <w:r>
              <w:rPr>
                <w:rFonts w:ascii="Arial" w:hAnsi="Arial"/>
                <w:i w:val="0"/>
                <w:iCs/>
              </w:rPr>
              <w:t>38 (7%)</w:t>
            </w:r>
          </w:p>
        </w:tc>
        <w:tc>
          <w:tcPr>
            <w:tcW w:w="1530" w:type="dxa"/>
          </w:tcPr>
          <w:p w:rsidR="00000000" w:rsidRDefault="00216019">
            <w:pPr>
              <w:pStyle w:val="BodyText"/>
              <w:keepNext/>
              <w:keepLines/>
              <w:spacing w:line="360" w:lineRule="auto"/>
              <w:jc w:val="center"/>
              <w:rPr>
                <w:rFonts w:ascii="Arial" w:hAnsi="Arial"/>
                <w:i w:val="0"/>
                <w:iCs/>
              </w:rPr>
            </w:pPr>
            <w:r>
              <w:rPr>
                <w:rFonts w:ascii="Arial" w:hAnsi="Arial"/>
                <w:i w:val="0"/>
                <w:iCs/>
              </w:rPr>
              <w:t>9 (5%)</w:t>
            </w:r>
          </w:p>
        </w:tc>
        <w:tc>
          <w:tcPr>
            <w:tcW w:w="1674" w:type="dxa"/>
          </w:tcPr>
          <w:p w:rsidR="00000000" w:rsidRDefault="00216019">
            <w:pPr>
              <w:pStyle w:val="BodyText"/>
              <w:keepNext/>
              <w:keepLines/>
              <w:tabs>
                <w:tab w:val="left" w:pos="882"/>
              </w:tabs>
              <w:spacing w:line="360" w:lineRule="auto"/>
              <w:jc w:val="center"/>
              <w:rPr>
                <w:rFonts w:ascii="Arial" w:hAnsi="Arial"/>
                <w:i w:val="0"/>
                <w:iCs/>
              </w:rPr>
            </w:pPr>
            <w:r>
              <w:rPr>
                <w:rFonts w:ascii="Arial" w:hAnsi="Arial"/>
                <w:i w:val="0"/>
                <w:iCs/>
              </w:rPr>
              <w:t>69 (5%)</w:t>
            </w:r>
          </w:p>
        </w:tc>
      </w:tr>
    </w:tbl>
    <w:p w:rsidR="00000000" w:rsidRDefault="00216019">
      <w:pPr>
        <w:pStyle w:val="BodyText"/>
        <w:rPr>
          <w:rFonts w:ascii="Arial" w:hAnsi="Arial"/>
        </w:rPr>
      </w:pPr>
    </w:p>
    <w:p w:rsidR="00000000" w:rsidRDefault="00216019">
      <w:pPr>
        <w:tabs>
          <w:tab w:val="left" w:pos="4048"/>
        </w:tabs>
        <w:rPr>
          <w:sz w:val="22"/>
        </w:rPr>
      </w:pPr>
      <w:r>
        <w:rPr>
          <w:sz w:val="22"/>
        </w:rPr>
        <w:t>Boys of all ages with a mental health diagnoses are most likely to have been diagnose</w:t>
      </w:r>
      <w:r>
        <w:rPr>
          <w:sz w:val="22"/>
        </w:rPr>
        <w:t>d with attention deficit-hyperactivity disorder (ADHD) (60% for boys age 0-12 years, 42% for boys age 13-18 years). The next most prevalent diagnoses were adjustment disorder and affective psychoses. These were equally likely in boys thirteen to eighteen y</w:t>
      </w:r>
      <w:r>
        <w:rPr>
          <w:sz w:val="22"/>
        </w:rPr>
        <w:t>ears of age, while in boys from birth to twelve years of age adjustment disorder was far more likely than affective psychoses. Girls from birth to twelve years of age with a mental health diagnosis were most likely to be diagnosed with ADHD (26%). The seco</w:t>
      </w:r>
      <w:r>
        <w:rPr>
          <w:sz w:val="22"/>
        </w:rPr>
        <w:t>nd most prevalent diagnosis was adjustment reaction (30%). For girls thirteen to eighteen years of age the most common diagnosis was adjustment reaction, while the second most common was affective psychosis. Table 4 shows the number and percent of children</w:t>
      </w:r>
      <w:r>
        <w:rPr>
          <w:sz w:val="22"/>
        </w:rPr>
        <w:t xml:space="preserve"> with the three most common diagnoses by age and gender. </w:t>
      </w:r>
    </w:p>
    <w:p w:rsidR="00000000" w:rsidRDefault="00216019">
      <w:pPr>
        <w:tabs>
          <w:tab w:val="left" w:pos="4048"/>
        </w:tabs>
      </w:pPr>
    </w:p>
    <w:p w:rsidR="00000000" w:rsidRDefault="00216019">
      <w:pPr>
        <w:pStyle w:val="Heading5"/>
      </w:pPr>
      <w:r>
        <w:t xml:space="preserve">Table 4. Number and percent of children diagnosed with the </w:t>
      </w:r>
      <w:r>
        <w:br/>
        <w:t>three most common mental health diagnoses by gender and age</w:t>
      </w:r>
    </w:p>
    <w:tbl>
      <w:tblPr>
        <w:tblW w:w="0" w:type="auto"/>
        <w:tblBorders>
          <w:top w:val="thinThickSmallGap" w:sz="24" w:space="0" w:color="auto"/>
          <w:bottom w:val="thickThinSmallGap" w:sz="24" w:space="0" w:color="auto"/>
          <w:insideH w:val="single" w:sz="4" w:space="0" w:color="auto"/>
        </w:tblBorders>
        <w:tblLook w:val="0000"/>
      </w:tblPr>
      <w:tblGrid>
        <w:gridCol w:w="2610"/>
        <w:gridCol w:w="2610"/>
        <w:gridCol w:w="2610"/>
        <w:gridCol w:w="2610"/>
      </w:tblGrid>
      <w:tr w:rsidR="00000000">
        <w:tblPrEx>
          <w:tblCellMar>
            <w:top w:w="0" w:type="dxa"/>
            <w:bottom w:w="0" w:type="dxa"/>
          </w:tblCellMar>
        </w:tblPrEx>
        <w:tc>
          <w:tcPr>
            <w:tcW w:w="2610" w:type="dxa"/>
          </w:tcPr>
          <w:p w:rsidR="00000000" w:rsidRDefault="00216019">
            <w:pPr>
              <w:tabs>
                <w:tab w:val="left" w:pos="4048"/>
              </w:tabs>
              <w:rPr>
                <w:color w:val="000000"/>
              </w:rPr>
            </w:pPr>
            <w:r>
              <w:rPr>
                <w:color w:val="000000"/>
              </w:rPr>
              <w:t>Gender and age</w:t>
            </w:r>
          </w:p>
        </w:tc>
        <w:tc>
          <w:tcPr>
            <w:tcW w:w="2610" w:type="dxa"/>
          </w:tcPr>
          <w:p w:rsidR="00000000" w:rsidRDefault="00216019">
            <w:pPr>
              <w:tabs>
                <w:tab w:val="left" w:pos="4048"/>
              </w:tabs>
              <w:jc w:val="center"/>
              <w:rPr>
                <w:color w:val="000000"/>
              </w:rPr>
            </w:pPr>
            <w:r>
              <w:rPr>
                <w:color w:val="000000"/>
              </w:rPr>
              <w:t>ADHD</w:t>
            </w:r>
          </w:p>
        </w:tc>
        <w:tc>
          <w:tcPr>
            <w:tcW w:w="2610" w:type="dxa"/>
          </w:tcPr>
          <w:p w:rsidR="00000000" w:rsidRDefault="00216019">
            <w:pPr>
              <w:tabs>
                <w:tab w:val="left" w:pos="4048"/>
              </w:tabs>
              <w:jc w:val="center"/>
              <w:rPr>
                <w:color w:val="000000"/>
              </w:rPr>
            </w:pPr>
            <w:r>
              <w:rPr>
                <w:color w:val="000000"/>
              </w:rPr>
              <w:t>Adjustment Reaction</w:t>
            </w:r>
          </w:p>
        </w:tc>
        <w:tc>
          <w:tcPr>
            <w:tcW w:w="2610" w:type="dxa"/>
          </w:tcPr>
          <w:p w:rsidR="00000000" w:rsidRDefault="00216019">
            <w:pPr>
              <w:tabs>
                <w:tab w:val="left" w:pos="4048"/>
              </w:tabs>
              <w:jc w:val="center"/>
              <w:rPr>
                <w:color w:val="000000"/>
              </w:rPr>
            </w:pPr>
            <w:r>
              <w:rPr>
                <w:color w:val="000000"/>
              </w:rPr>
              <w:t>Affective Psychoses</w:t>
            </w:r>
          </w:p>
        </w:tc>
      </w:tr>
      <w:tr w:rsidR="00000000">
        <w:tblPrEx>
          <w:tblCellMar>
            <w:top w:w="0" w:type="dxa"/>
            <w:bottom w:w="0" w:type="dxa"/>
          </w:tblCellMar>
        </w:tblPrEx>
        <w:tc>
          <w:tcPr>
            <w:tcW w:w="2610" w:type="dxa"/>
          </w:tcPr>
          <w:p w:rsidR="00000000" w:rsidRDefault="00216019">
            <w:pPr>
              <w:tabs>
                <w:tab w:val="left" w:pos="4048"/>
              </w:tabs>
              <w:rPr>
                <w:color w:val="000000"/>
              </w:rPr>
            </w:pPr>
            <w:r>
              <w:rPr>
                <w:color w:val="000000"/>
              </w:rPr>
              <w:t>Boys 0-12 years</w:t>
            </w:r>
          </w:p>
        </w:tc>
        <w:tc>
          <w:tcPr>
            <w:tcW w:w="2610" w:type="dxa"/>
          </w:tcPr>
          <w:p w:rsidR="00000000" w:rsidRDefault="00216019">
            <w:pPr>
              <w:tabs>
                <w:tab w:val="right" w:pos="990"/>
                <w:tab w:val="left" w:pos="4048"/>
              </w:tabs>
              <w:ind w:left="-90" w:right="774"/>
              <w:jc w:val="right"/>
              <w:rPr>
                <w:color w:val="000000"/>
              </w:rPr>
            </w:pPr>
            <w:r>
              <w:rPr>
                <w:color w:val="000000"/>
              </w:rPr>
              <w:t>175 (3%)</w:t>
            </w:r>
          </w:p>
        </w:tc>
        <w:tc>
          <w:tcPr>
            <w:tcW w:w="2610" w:type="dxa"/>
          </w:tcPr>
          <w:p w:rsidR="00000000" w:rsidRDefault="00216019">
            <w:pPr>
              <w:tabs>
                <w:tab w:val="right" w:pos="990"/>
                <w:tab w:val="left" w:pos="4048"/>
              </w:tabs>
              <w:ind w:left="-90" w:right="774"/>
              <w:jc w:val="right"/>
              <w:rPr>
                <w:color w:val="000000"/>
              </w:rPr>
            </w:pPr>
            <w:r>
              <w:rPr>
                <w:color w:val="000000"/>
              </w:rPr>
              <w:t>53 (1%)</w:t>
            </w:r>
          </w:p>
        </w:tc>
        <w:tc>
          <w:tcPr>
            <w:tcW w:w="2610" w:type="dxa"/>
          </w:tcPr>
          <w:p w:rsidR="00000000" w:rsidRDefault="00216019">
            <w:pPr>
              <w:tabs>
                <w:tab w:val="right" w:pos="990"/>
                <w:tab w:val="left" w:pos="4048"/>
              </w:tabs>
              <w:ind w:left="-90" w:right="774"/>
              <w:jc w:val="right"/>
              <w:rPr>
                <w:color w:val="000000"/>
              </w:rPr>
            </w:pPr>
            <w:r>
              <w:rPr>
                <w:color w:val="000000"/>
              </w:rPr>
              <w:t>9 (&lt;1%)</w:t>
            </w:r>
          </w:p>
        </w:tc>
      </w:tr>
      <w:tr w:rsidR="00000000">
        <w:tblPrEx>
          <w:tblCellMar>
            <w:top w:w="0" w:type="dxa"/>
            <w:bottom w:w="0" w:type="dxa"/>
          </w:tblCellMar>
        </w:tblPrEx>
        <w:tc>
          <w:tcPr>
            <w:tcW w:w="2610" w:type="dxa"/>
          </w:tcPr>
          <w:p w:rsidR="00000000" w:rsidRDefault="00216019">
            <w:pPr>
              <w:tabs>
                <w:tab w:val="left" w:pos="4048"/>
              </w:tabs>
              <w:rPr>
                <w:color w:val="000000"/>
              </w:rPr>
            </w:pPr>
            <w:r>
              <w:rPr>
                <w:color w:val="000000"/>
              </w:rPr>
              <w:t>Boys 13-18 years</w:t>
            </w:r>
          </w:p>
        </w:tc>
        <w:tc>
          <w:tcPr>
            <w:tcW w:w="2610" w:type="dxa"/>
          </w:tcPr>
          <w:p w:rsidR="00000000" w:rsidRDefault="00216019">
            <w:pPr>
              <w:tabs>
                <w:tab w:val="right" w:pos="990"/>
                <w:tab w:val="left" w:pos="4048"/>
              </w:tabs>
              <w:ind w:left="-90" w:right="774"/>
              <w:jc w:val="right"/>
              <w:rPr>
                <w:color w:val="000000"/>
              </w:rPr>
            </w:pPr>
            <w:r>
              <w:rPr>
                <w:color w:val="000000"/>
              </w:rPr>
              <w:t>61 (3%)</w:t>
            </w:r>
          </w:p>
        </w:tc>
        <w:tc>
          <w:tcPr>
            <w:tcW w:w="2610" w:type="dxa"/>
          </w:tcPr>
          <w:p w:rsidR="00000000" w:rsidRDefault="00216019">
            <w:pPr>
              <w:tabs>
                <w:tab w:val="right" w:pos="990"/>
                <w:tab w:val="left" w:pos="4048"/>
              </w:tabs>
              <w:ind w:left="-90" w:right="774"/>
              <w:jc w:val="right"/>
              <w:rPr>
                <w:color w:val="000000"/>
              </w:rPr>
            </w:pPr>
            <w:r>
              <w:rPr>
                <w:color w:val="000000"/>
              </w:rPr>
              <w:t>20 (1%)</w:t>
            </w:r>
          </w:p>
        </w:tc>
        <w:tc>
          <w:tcPr>
            <w:tcW w:w="2610" w:type="dxa"/>
          </w:tcPr>
          <w:p w:rsidR="00000000" w:rsidRDefault="00216019">
            <w:pPr>
              <w:tabs>
                <w:tab w:val="right" w:pos="990"/>
                <w:tab w:val="left" w:pos="4048"/>
              </w:tabs>
              <w:ind w:left="-90" w:right="774"/>
              <w:jc w:val="right"/>
              <w:rPr>
                <w:color w:val="000000"/>
              </w:rPr>
            </w:pPr>
            <w:r>
              <w:rPr>
                <w:color w:val="000000"/>
              </w:rPr>
              <w:t>20 (1%)</w:t>
            </w:r>
          </w:p>
        </w:tc>
      </w:tr>
      <w:tr w:rsidR="00000000">
        <w:tblPrEx>
          <w:tblCellMar>
            <w:top w:w="0" w:type="dxa"/>
            <w:bottom w:w="0" w:type="dxa"/>
          </w:tblCellMar>
        </w:tblPrEx>
        <w:tc>
          <w:tcPr>
            <w:tcW w:w="2610" w:type="dxa"/>
          </w:tcPr>
          <w:p w:rsidR="00000000" w:rsidRDefault="00216019">
            <w:pPr>
              <w:tabs>
                <w:tab w:val="left" w:pos="4048"/>
              </w:tabs>
              <w:rPr>
                <w:color w:val="000000"/>
              </w:rPr>
            </w:pPr>
            <w:r>
              <w:rPr>
                <w:color w:val="000000"/>
              </w:rPr>
              <w:t>Girls 0-12 years</w:t>
            </w:r>
          </w:p>
        </w:tc>
        <w:tc>
          <w:tcPr>
            <w:tcW w:w="2610" w:type="dxa"/>
          </w:tcPr>
          <w:p w:rsidR="00000000" w:rsidRDefault="00216019">
            <w:pPr>
              <w:tabs>
                <w:tab w:val="right" w:pos="990"/>
                <w:tab w:val="left" w:pos="4048"/>
              </w:tabs>
              <w:ind w:left="-90" w:right="774"/>
              <w:jc w:val="right"/>
              <w:rPr>
                <w:color w:val="000000"/>
              </w:rPr>
            </w:pPr>
            <w:r>
              <w:rPr>
                <w:color w:val="000000"/>
              </w:rPr>
              <w:t>60 (1%)</w:t>
            </w:r>
          </w:p>
        </w:tc>
        <w:tc>
          <w:tcPr>
            <w:tcW w:w="2610" w:type="dxa"/>
          </w:tcPr>
          <w:p w:rsidR="00000000" w:rsidRDefault="00216019">
            <w:pPr>
              <w:tabs>
                <w:tab w:val="right" w:pos="990"/>
                <w:tab w:val="left" w:pos="4048"/>
              </w:tabs>
              <w:ind w:left="-90" w:right="774"/>
              <w:jc w:val="right"/>
              <w:rPr>
                <w:color w:val="000000"/>
              </w:rPr>
            </w:pPr>
            <w:r>
              <w:rPr>
                <w:color w:val="000000"/>
              </w:rPr>
              <w:t>53 (1%)</w:t>
            </w:r>
          </w:p>
        </w:tc>
        <w:tc>
          <w:tcPr>
            <w:tcW w:w="2610" w:type="dxa"/>
          </w:tcPr>
          <w:p w:rsidR="00000000" w:rsidRDefault="00216019">
            <w:pPr>
              <w:tabs>
                <w:tab w:val="right" w:pos="990"/>
                <w:tab w:val="left" w:pos="4048"/>
              </w:tabs>
              <w:ind w:left="-90" w:right="774"/>
              <w:jc w:val="right"/>
              <w:rPr>
                <w:color w:val="000000"/>
              </w:rPr>
            </w:pPr>
            <w:r>
              <w:rPr>
                <w:color w:val="000000"/>
              </w:rPr>
              <w:t>3 (&lt;1%)</w:t>
            </w:r>
          </w:p>
        </w:tc>
      </w:tr>
      <w:tr w:rsidR="00000000">
        <w:tblPrEx>
          <w:tblCellMar>
            <w:top w:w="0" w:type="dxa"/>
            <w:bottom w:w="0" w:type="dxa"/>
          </w:tblCellMar>
        </w:tblPrEx>
        <w:tc>
          <w:tcPr>
            <w:tcW w:w="2610" w:type="dxa"/>
          </w:tcPr>
          <w:p w:rsidR="00000000" w:rsidRDefault="00216019">
            <w:pPr>
              <w:tabs>
                <w:tab w:val="left" w:pos="4048"/>
              </w:tabs>
              <w:rPr>
                <w:color w:val="000000"/>
              </w:rPr>
            </w:pPr>
            <w:r>
              <w:rPr>
                <w:color w:val="000000"/>
              </w:rPr>
              <w:t>Girls 13-18 years</w:t>
            </w:r>
          </w:p>
        </w:tc>
        <w:tc>
          <w:tcPr>
            <w:tcW w:w="2610" w:type="dxa"/>
          </w:tcPr>
          <w:p w:rsidR="00000000" w:rsidRDefault="00216019">
            <w:pPr>
              <w:tabs>
                <w:tab w:val="right" w:pos="990"/>
                <w:tab w:val="left" w:pos="4048"/>
              </w:tabs>
              <w:ind w:left="-90" w:right="774"/>
              <w:jc w:val="right"/>
              <w:rPr>
                <w:color w:val="000000"/>
              </w:rPr>
            </w:pPr>
            <w:r>
              <w:rPr>
                <w:color w:val="000000"/>
              </w:rPr>
              <w:t>15 (&lt;1%)</w:t>
            </w:r>
          </w:p>
        </w:tc>
        <w:tc>
          <w:tcPr>
            <w:tcW w:w="2610" w:type="dxa"/>
          </w:tcPr>
          <w:p w:rsidR="00000000" w:rsidRDefault="00216019">
            <w:pPr>
              <w:tabs>
                <w:tab w:val="right" w:pos="990"/>
                <w:tab w:val="left" w:pos="4048"/>
              </w:tabs>
              <w:ind w:left="-90" w:right="774"/>
              <w:jc w:val="right"/>
              <w:rPr>
                <w:color w:val="000000"/>
              </w:rPr>
            </w:pPr>
            <w:r>
              <w:rPr>
                <w:color w:val="000000"/>
              </w:rPr>
              <w:t>31 (1%)</w:t>
            </w:r>
          </w:p>
        </w:tc>
        <w:tc>
          <w:tcPr>
            <w:tcW w:w="2610" w:type="dxa"/>
          </w:tcPr>
          <w:p w:rsidR="00000000" w:rsidRDefault="00216019">
            <w:pPr>
              <w:tabs>
                <w:tab w:val="right" w:pos="990"/>
                <w:tab w:val="left" w:pos="4048"/>
              </w:tabs>
              <w:ind w:left="-90" w:right="774"/>
              <w:jc w:val="right"/>
              <w:rPr>
                <w:color w:val="000000"/>
              </w:rPr>
            </w:pPr>
            <w:r>
              <w:rPr>
                <w:color w:val="000000"/>
              </w:rPr>
              <w:t>30 (1%)</w:t>
            </w:r>
          </w:p>
        </w:tc>
      </w:tr>
    </w:tbl>
    <w:p w:rsidR="00000000" w:rsidRDefault="00216019">
      <w:pPr>
        <w:pStyle w:val="Heading2"/>
        <w:rPr>
          <w:rFonts w:ascii="Arial" w:hAnsi="Arial"/>
          <w:color w:val="000000"/>
        </w:rPr>
      </w:pPr>
      <w:bookmarkStart w:id="8" w:name="_Toc441293003"/>
      <w:bookmarkStart w:id="9" w:name="_Toc442252398"/>
      <w:bookmarkStart w:id="10" w:name="_Toc442252701"/>
    </w:p>
    <w:p w:rsidR="00000000" w:rsidRDefault="00216019">
      <w:pPr>
        <w:pStyle w:val="Header"/>
        <w:tabs>
          <w:tab w:val="clear" w:pos="4320"/>
          <w:tab w:val="clear" w:pos="8640"/>
        </w:tabs>
        <w:rPr>
          <w:b/>
          <w:bCs/>
          <w:sz w:val="28"/>
        </w:rPr>
      </w:pPr>
      <w:r>
        <w:rPr>
          <w:b/>
          <w:bCs/>
          <w:sz w:val="28"/>
        </w:rPr>
        <w:t>Summary</w:t>
      </w:r>
      <w:bookmarkEnd w:id="8"/>
      <w:r>
        <w:rPr>
          <w:b/>
          <w:bCs/>
          <w:sz w:val="28"/>
        </w:rPr>
        <w:t xml:space="preserve"> of child and adolescent measures</w:t>
      </w:r>
      <w:bookmarkEnd w:id="9"/>
      <w:bookmarkEnd w:id="10"/>
    </w:p>
    <w:p w:rsidR="00000000" w:rsidRDefault="00216019">
      <w:pPr>
        <w:pStyle w:val="Header"/>
        <w:tabs>
          <w:tab w:val="clear" w:pos="4320"/>
          <w:tab w:val="clear" w:pos="8640"/>
        </w:tabs>
      </w:pPr>
    </w:p>
    <w:p w:rsidR="00000000" w:rsidRDefault="00216019">
      <w:r>
        <w:t xml:space="preserve">Unlike Medicaid, the </w:t>
      </w:r>
      <w:r>
        <w:rPr>
          <w:b/>
          <w:i/>
        </w:rPr>
        <w:t>hawk-i</w:t>
      </w:r>
      <w:r>
        <w:t xml:space="preserve"> program has children as its onl</w:t>
      </w:r>
      <w:r>
        <w:t>y enrollee group. The health and utilization outcomes for this group are extremely important in assessing the quality of care provided. Most particularly, these data allow us to determine whether children have equal access to services across plans. The rat</w:t>
      </w:r>
      <w:r>
        <w:t>es that include children eligible for 11 and 12 months provide the best information as to the effectiveness of the health plans in providing the appropriate services for the children. While 100 percent utilization is the desired goal, factors outside the c</w:t>
      </w:r>
      <w:r>
        <w:t>ontrol of the health plans also affect whether a child receives a service at the appropriate time, make this goal unlikely.</w:t>
      </w:r>
    </w:p>
    <w:p w:rsidR="00000000" w:rsidRDefault="00216019"/>
    <w:p w:rsidR="00000000" w:rsidRDefault="00216019">
      <w:r>
        <w:t xml:space="preserve">From an overall perspective, children within </w:t>
      </w:r>
      <w:r>
        <w:rPr>
          <w:b/>
          <w:i/>
        </w:rPr>
        <w:t>hawk-i</w:t>
      </w:r>
      <w:r>
        <w:t xml:space="preserve"> are not utilizing preventive services at rates consistent with the established </w:t>
      </w:r>
      <w:r>
        <w:t>AAP or AAPD guidelines. Of greatest concern are the receipt of well child visits, which are at rates lower than those found for Medicaid managed care plans, and preventive dental visits, especially for children in Iowa Health Solutions. The low MMR immuniz</w:t>
      </w:r>
      <w:r>
        <w:t xml:space="preserve">ation </w:t>
      </w:r>
      <w:r>
        <w:lastRenderedPageBreak/>
        <w:t>rates are of concern but without the ability to determine if a child received an immunization at a public health clinic, it is difficult to determine if a problem exists.</w:t>
      </w:r>
    </w:p>
    <w:p w:rsidR="00000000" w:rsidRDefault="00216019"/>
    <w:p w:rsidR="00000000" w:rsidRDefault="00216019">
      <w:r>
        <w:rPr>
          <w:b/>
        </w:rPr>
        <w:t>NOTE</w:t>
      </w:r>
      <w:r>
        <w:t>-While Medicaid administrative data has been used for quality assurance pu</w:t>
      </w:r>
      <w:r>
        <w:t xml:space="preserve">rposes for many years; this is the first time that the </w:t>
      </w:r>
      <w:r>
        <w:rPr>
          <w:b/>
          <w:i/>
        </w:rPr>
        <w:t>hawk-i</w:t>
      </w:r>
      <w:r>
        <w:t xml:space="preserve"> administrative eligibility encounter data have been used to calculate HEDIS-type outcome measures. Thus further investigation is necessary to ensure the adequacy of these data for quality assura</w:t>
      </w:r>
      <w:r>
        <w:t>nce purposes before strong conclusions should be drawn from these results.</w:t>
      </w:r>
    </w:p>
    <w:p w:rsidR="00000000" w:rsidRDefault="00216019">
      <w:pPr>
        <w:tabs>
          <w:tab w:val="left" w:pos="2032"/>
        </w:tabs>
        <w:sectPr w:rsidR="00000000">
          <w:footerReference w:type="even" r:id="rId22"/>
          <w:footerReference w:type="default" r:id="rId23"/>
          <w:pgSz w:w="12240" w:h="15840" w:code="1"/>
          <w:pgMar w:top="720" w:right="720" w:bottom="720" w:left="720" w:header="720" w:footer="720" w:gutter="0"/>
          <w:pgNumType w:start="1"/>
          <w:cols w:space="720"/>
          <w:titlePg/>
        </w:sectPr>
      </w:pPr>
    </w:p>
    <w:p w:rsidR="00000000" w:rsidRDefault="00216019">
      <w:pPr>
        <w:pStyle w:val="text"/>
        <w:spacing w:line="0" w:lineRule="atLeast"/>
        <w:rPr>
          <w:rFonts w:ascii="Arial" w:hAnsi="Arial"/>
          <w:b/>
          <w:color w:val="000000"/>
          <w:sz w:val="44"/>
        </w:rPr>
      </w:pPr>
      <w:r>
        <w:rPr>
          <w:rFonts w:ascii="Arial" w:hAnsi="Arial"/>
          <w:b/>
          <w:color w:val="000000"/>
          <w:sz w:val="44"/>
        </w:rPr>
        <w:lastRenderedPageBreak/>
        <w:t>Attention Deficit Hyperactivity Disorder and</w:t>
      </w:r>
    </w:p>
    <w:p w:rsidR="00000000" w:rsidRDefault="00216019">
      <w:pPr>
        <w:pStyle w:val="text"/>
        <w:spacing w:line="0" w:lineRule="atLeast"/>
        <w:rPr>
          <w:rFonts w:ascii="Arial" w:hAnsi="Arial"/>
          <w:b/>
          <w:color w:val="000000"/>
          <w:sz w:val="44"/>
        </w:rPr>
      </w:pPr>
      <w:r>
        <w:rPr>
          <w:rFonts w:ascii="Arial" w:hAnsi="Arial"/>
          <w:b/>
          <w:color w:val="000000"/>
          <w:sz w:val="44"/>
        </w:rPr>
        <w:t xml:space="preserve">Children in </w:t>
      </w:r>
      <w:r>
        <w:rPr>
          <w:rFonts w:ascii="Arial" w:hAnsi="Arial"/>
          <w:b/>
          <w:i/>
          <w:color w:val="000000"/>
          <w:sz w:val="44"/>
        </w:rPr>
        <w:t>hawk-i</w:t>
      </w:r>
      <w:r>
        <w:rPr>
          <w:rFonts w:ascii="Arial" w:hAnsi="Arial"/>
          <w:b/>
          <w:color w:val="000000"/>
          <w:sz w:val="44"/>
        </w:rPr>
        <w:t xml:space="preserve"> </w:t>
      </w:r>
    </w:p>
    <w:p w:rsidR="00000000" w:rsidRDefault="00216019">
      <w:pPr>
        <w:pStyle w:val="text"/>
        <w:spacing w:line="0" w:lineRule="atLeast"/>
        <w:rPr>
          <w:rFonts w:ascii="Arial" w:hAnsi="Arial"/>
          <w:b/>
          <w:color w:val="000000"/>
          <w:sz w:val="44"/>
        </w:rPr>
      </w:pPr>
    </w:p>
    <w:p w:rsidR="00000000" w:rsidRDefault="00216019">
      <w:pPr>
        <w:pStyle w:val="text"/>
        <w:spacing w:line="0" w:lineRule="atLeast"/>
        <w:rPr>
          <w:rFonts w:ascii="Arial" w:hAnsi="Arial"/>
          <w:b/>
          <w:color w:val="000000"/>
          <w:sz w:val="36"/>
        </w:rPr>
      </w:pPr>
    </w:p>
    <w:p w:rsidR="00000000" w:rsidRDefault="00216019">
      <w:pPr>
        <w:pStyle w:val="text"/>
        <w:spacing w:line="0" w:lineRule="atLeast"/>
        <w:rPr>
          <w:rFonts w:ascii="Arial" w:hAnsi="Arial"/>
          <w:color w:val="000000"/>
          <w:sz w:val="32"/>
        </w:rPr>
      </w:pPr>
      <w:r>
        <w:rPr>
          <w:rFonts w:ascii="Arial" w:hAnsi="Arial"/>
          <w:b/>
          <w:color w:val="000000"/>
          <w:sz w:val="32"/>
        </w:rPr>
        <w:t xml:space="preserve">Report to the </w:t>
      </w:r>
      <w:r>
        <w:rPr>
          <w:rFonts w:ascii="Arial" w:hAnsi="Arial"/>
          <w:b/>
          <w:color w:val="000000"/>
          <w:sz w:val="32"/>
        </w:rPr>
        <w:br/>
        <w:t xml:space="preserve">Iowa Department of Human Services </w:t>
      </w:r>
    </w:p>
    <w:p w:rsidR="00000000" w:rsidRDefault="00216019">
      <w:pPr>
        <w:pStyle w:val="text"/>
        <w:spacing w:line="0" w:lineRule="atLeast"/>
        <w:rPr>
          <w:rFonts w:ascii="Arial" w:hAnsi="Arial"/>
          <w:color w:val="000000"/>
        </w:rPr>
      </w:pPr>
    </w:p>
    <w:p w:rsidR="00000000" w:rsidRDefault="00216019">
      <w:pPr>
        <w:pStyle w:val="text"/>
        <w:spacing w:line="0" w:lineRule="atLeast"/>
        <w:rPr>
          <w:rFonts w:ascii="Arial" w:hAnsi="Arial"/>
          <w:color w:val="000000"/>
        </w:rPr>
      </w:pPr>
      <w:r>
        <w:rPr>
          <w:rFonts w:ascii="Arial" w:hAnsi="Arial"/>
          <w:color w:val="000000"/>
        </w:rPr>
        <w:t>Elizabeth T. Momany, PhD</w:t>
      </w:r>
      <w:r>
        <w:rPr>
          <w:rFonts w:ascii="Arial" w:hAnsi="Arial"/>
          <w:color w:val="000000"/>
        </w:rPr>
        <w:br/>
        <w:t xml:space="preserve">Assistant Research Scientist </w:t>
      </w:r>
    </w:p>
    <w:p w:rsidR="00000000" w:rsidRDefault="00216019">
      <w:pPr>
        <w:pStyle w:val="text"/>
        <w:spacing w:line="0" w:lineRule="atLeast"/>
        <w:rPr>
          <w:rFonts w:ascii="Arial" w:hAnsi="Arial"/>
          <w:color w:val="000000"/>
        </w:rPr>
      </w:pPr>
      <w:r>
        <w:rPr>
          <w:rFonts w:ascii="Arial" w:hAnsi="Arial"/>
          <w:color w:val="000000"/>
        </w:rPr>
        <w:t>Peter C</w:t>
      </w:r>
      <w:r>
        <w:rPr>
          <w:rFonts w:ascii="Arial" w:hAnsi="Arial"/>
          <w:color w:val="000000"/>
        </w:rPr>
        <w:t>. Damiano, DDS, MPH</w:t>
      </w:r>
      <w:r>
        <w:rPr>
          <w:rFonts w:ascii="Arial" w:hAnsi="Arial"/>
          <w:color w:val="000000"/>
        </w:rPr>
        <w:br/>
        <w:t>Professor and Director</w:t>
      </w:r>
    </w:p>
    <w:p w:rsidR="00000000" w:rsidRDefault="00216019">
      <w:pPr>
        <w:pStyle w:val="text"/>
        <w:spacing w:line="0" w:lineRule="atLeast"/>
        <w:rPr>
          <w:rFonts w:ascii="Arial" w:hAnsi="Arial"/>
          <w:color w:val="000000"/>
        </w:rPr>
      </w:pPr>
      <w:r>
        <w:rPr>
          <w:rFonts w:ascii="Arial" w:hAnsi="Arial"/>
          <w:color w:val="000000"/>
        </w:rPr>
        <w:t xml:space="preserve">Margaret C. Tyler, MA, MSW </w:t>
      </w:r>
      <w:r>
        <w:rPr>
          <w:rFonts w:ascii="Arial" w:hAnsi="Arial"/>
          <w:color w:val="000000"/>
        </w:rPr>
        <w:br/>
        <w:t>Research Assistant</w:t>
      </w:r>
    </w:p>
    <w:p w:rsidR="00000000" w:rsidRDefault="00216019">
      <w:pPr>
        <w:pStyle w:val="text"/>
        <w:spacing w:line="0" w:lineRule="atLeast"/>
        <w:rPr>
          <w:rFonts w:ascii="Arial" w:hAnsi="Arial"/>
          <w:color w:val="000000"/>
        </w:rPr>
      </w:pPr>
      <w:r>
        <w:rPr>
          <w:rFonts w:ascii="Arial" w:hAnsi="Arial"/>
          <w:color w:val="000000"/>
        </w:rPr>
        <w:t>Jean C. Willard, MPH</w:t>
      </w:r>
      <w:r>
        <w:rPr>
          <w:rFonts w:ascii="Arial" w:hAnsi="Arial"/>
          <w:color w:val="000000"/>
        </w:rPr>
        <w:br/>
        <w:t>Senior Research Assistant</w:t>
      </w:r>
    </w:p>
    <w:p w:rsidR="00000000" w:rsidRDefault="00216019">
      <w:pPr>
        <w:pStyle w:val="text"/>
        <w:spacing w:line="0" w:lineRule="atLeast"/>
        <w:rPr>
          <w:rFonts w:ascii="Arial" w:hAnsi="Arial"/>
          <w:color w:val="000000"/>
        </w:rPr>
      </w:pPr>
    </w:p>
    <w:p w:rsidR="00000000" w:rsidRDefault="00216019">
      <w:pPr>
        <w:pStyle w:val="text"/>
        <w:spacing w:line="0" w:lineRule="atLeast"/>
        <w:rPr>
          <w:rFonts w:ascii="Arial" w:hAnsi="Arial"/>
          <w:b/>
          <w:color w:val="000000"/>
        </w:rPr>
      </w:pPr>
      <w:r>
        <w:rPr>
          <w:rFonts w:ascii="Arial" w:hAnsi="Arial"/>
          <w:color w:val="000000"/>
        </w:rPr>
        <w:t xml:space="preserve">Health Policy Research Program </w:t>
      </w:r>
      <w:r>
        <w:rPr>
          <w:rFonts w:ascii="Arial" w:hAnsi="Arial"/>
          <w:color w:val="000000"/>
        </w:rPr>
        <w:br/>
        <w:t>Public Policy Center</w:t>
      </w:r>
      <w:r>
        <w:rPr>
          <w:rFonts w:ascii="Arial" w:hAnsi="Arial"/>
          <w:color w:val="000000"/>
        </w:rPr>
        <w:br/>
        <w:t>The University of Iowa</w:t>
      </w:r>
    </w:p>
    <w:p w:rsidR="00000000" w:rsidRDefault="00216019">
      <w:pPr>
        <w:pStyle w:val="text"/>
        <w:spacing w:line="0" w:lineRule="atLeast"/>
        <w:rPr>
          <w:rFonts w:ascii="Arial" w:hAnsi="Arial"/>
          <w:b/>
          <w:color w:val="000000"/>
        </w:rPr>
      </w:pPr>
    </w:p>
    <w:p w:rsidR="00000000" w:rsidRDefault="00216019">
      <w:pPr>
        <w:pStyle w:val="text"/>
        <w:spacing w:line="264" w:lineRule="exact"/>
        <w:rPr>
          <w:rFonts w:ascii="Arial" w:hAnsi="Arial"/>
          <w:color w:val="000000"/>
        </w:rPr>
      </w:pPr>
      <w:r>
        <w:rPr>
          <w:rFonts w:ascii="Arial" w:hAnsi="Arial"/>
          <w:color w:val="000000"/>
        </w:rPr>
        <w:t>October 2003</w:t>
      </w:r>
    </w:p>
    <w:p w:rsidR="00000000" w:rsidRDefault="00216019">
      <w:pPr>
        <w:pStyle w:val="text"/>
        <w:spacing w:line="264" w:lineRule="exact"/>
        <w:rPr>
          <w:rFonts w:ascii="Arial" w:hAnsi="Arial"/>
          <w:color w:val="000000"/>
        </w:rPr>
      </w:pPr>
    </w:p>
    <w:p w:rsidR="00000000" w:rsidRDefault="00216019">
      <w:pPr>
        <w:pStyle w:val="text"/>
        <w:spacing w:line="264" w:lineRule="exact"/>
        <w:rPr>
          <w:rFonts w:ascii="Arial" w:hAnsi="Arial"/>
          <w:color w:val="000000"/>
        </w:rPr>
      </w:pPr>
    </w:p>
    <w:p w:rsidR="00000000" w:rsidRDefault="00216019">
      <w:pPr>
        <w:pStyle w:val="BodyText3"/>
        <w:rPr>
          <w:rFonts w:ascii="Arial" w:hAnsi="Arial"/>
          <w:sz w:val="18"/>
        </w:rPr>
      </w:pPr>
      <w:r>
        <w:rPr>
          <w:rFonts w:ascii="Arial" w:hAnsi="Arial"/>
          <w:sz w:val="18"/>
        </w:rPr>
        <w:t>The Iowa Department of Hum</w:t>
      </w:r>
      <w:r>
        <w:rPr>
          <w:rFonts w:ascii="Arial" w:hAnsi="Arial"/>
          <w:sz w:val="18"/>
        </w:rPr>
        <w:t>an Services and the U.S. Department of Health and Human Services, Center for Medicare and Medicaid Services, supported this study. The results and views expressed are the independent products of university research and do not necessarily represent the view</w:t>
      </w:r>
      <w:r>
        <w:rPr>
          <w:rFonts w:ascii="Arial" w:hAnsi="Arial"/>
          <w:sz w:val="18"/>
        </w:rPr>
        <w:t xml:space="preserve">s of the funding agencies. Any analysis, interpretation, or conclusion based on these data is solely that of the authors.  </w:t>
      </w:r>
    </w:p>
    <w:p w:rsidR="00000000" w:rsidRDefault="00216019">
      <w:pPr>
        <w:jc w:val="center"/>
        <w:rPr>
          <w:b/>
          <w:bCs/>
          <w:sz w:val="28"/>
        </w:rPr>
      </w:pPr>
      <w:r>
        <w:rPr>
          <w:color w:val="000000"/>
          <w:sz w:val="20"/>
        </w:rPr>
        <w:br w:type="page"/>
      </w:r>
      <w:r>
        <w:rPr>
          <w:b/>
          <w:bCs/>
          <w:sz w:val="28"/>
        </w:rPr>
        <w:lastRenderedPageBreak/>
        <w:t xml:space="preserve">Study of Children in </w:t>
      </w:r>
      <w:r>
        <w:rPr>
          <w:b/>
          <w:bCs/>
          <w:i/>
          <w:sz w:val="28"/>
        </w:rPr>
        <w:t>hawk-i</w:t>
      </w:r>
      <w:r>
        <w:rPr>
          <w:b/>
          <w:bCs/>
          <w:sz w:val="28"/>
        </w:rPr>
        <w:t xml:space="preserve"> with a Diagnosis of </w:t>
      </w:r>
      <w:r>
        <w:rPr>
          <w:b/>
          <w:bCs/>
          <w:sz w:val="28"/>
        </w:rPr>
        <w:br/>
        <w:t>Attention Deficit Hyperactivity Disorder</w:t>
      </w:r>
    </w:p>
    <w:p w:rsidR="00000000" w:rsidRDefault="00216019">
      <w:pPr>
        <w:rPr>
          <w:b/>
          <w:bCs/>
          <w:i/>
          <w:iCs/>
          <w:sz w:val="28"/>
        </w:rPr>
      </w:pPr>
      <w:r>
        <w:rPr>
          <w:b/>
          <w:bCs/>
          <w:i/>
          <w:iCs/>
          <w:sz w:val="28"/>
        </w:rPr>
        <w:t>Introduction</w:t>
      </w:r>
    </w:p>
    <w:p w:rsidR="00000000" w:rsidRDefault="00216019">
      <w:pPr>
        <w:rPr>
          <w:b/>
          <w:bCs/>
          <w:i/>
          <w:iCs/>
          <w:sz w:val="28"/>
        </w:rPr>
      </w:pPr>
    </w:p>
    <w:p w:rsidR="00000000" w:rsidRDefault="00216019">
      <w:r>
        <w:t>This report presents the fi</w:t>
      </w:r>
      <w:r>
        <w:t>rst in a series of studies designed to delve into more detail in a subject of particular salience to children enrolled in the Healthy and Well Kids in Iowa program (</w:t>
      </w:r>
      <w:r>
        <w:rPr>
          <w:b/>
          <w:i/>
        </w:rPr>
        <w:t>hawk-i)</w:t>
      </w:r>
      <w:r>
        <w:t>. These studies are being conducted by the University of Iowa Public Policy Center a</w:t>
      </w:r>
      <w:r>
        <w:t xml:space="preserve">t the request of the Iowa Department of Human Services (IDHS). For this first study, the IDHS, in collaboration with the Clinical Advisory Committee for the </w:t>
      </w:r>
      <w:r>
        <w:rPr>
          <w:b/>
          <w:i/>
        </w:rPr>
        <w:t>hawk-i</w:t>
      </w:r>
      <w:r>
        <w:t xml:space="preserve"> program requested that a study of children with Attention Deficit Hyperactivity Disorder (AD</w:t>
      </w:r>
      <w:r>
        <w:t>HD) be investigated due to its prevalence and variance regarding the diagnosis and treatment of this condition.</w:t>
      </w:r>
    </w:p>
    <w:p w:rsidR="00000000" w:rsidRDefault="00216019"/>
    <w:p w:rsidR="00000000" w:rsidRDefault="00216019">
      <w:r>
        <w:t xml:space="preserve">The </w:t>
      </w:r>
      <w:r>
        <w:rPr>
          <w:b/>
          <w:i/>
        </w:rPr>
        <w:t>hawk-i</w:t>
      </w:r>
      <w:r>
        <w:t xml:space="preserve"> program is the separate portion of the Iowa State Child Health Insurance Program (SCHIP) and provides services to children in famili</w:t>
      </w:r>
      <w:r>
        <w:t xml:space="preserve">es with incomes between 133 and 200% of the Federal Poverty Level (FPL). The IDHS contracts with John Deere Health Plan, Iowa Health Solutions and Wellmark Blue Cross/Blue Shield to provide services to </w:t>
      </w:r>
      <w:r>
        <w:rPr>
          <w:b/>
          <w:i/>
        </w:rPr>
        <w:t>hawk-i</w:t>
      </w:r>
      <w:r>
        <w:t xml:space="preserve"> enrollees on a county-by-county basis. </w:t>
      </w:r>
    </w:p>
    <w:p w:rsidR="00000000" w:rsidRDefault="00216019"/>
    <w:p w:rsidR="00000000" w:rsidRDefault="00216019">
      <w:r>
        <w:t>This s</w:t>
      </w:r>
      <w:r>
        <w:t>tudy had five primary aims:</w:t>
      </w:r>
    </w:p>
    <w:p w:rsidR="00000000" w:rsidRDefault="00216019"/>
    <w:p w:rsidR="00000000" w:rsidRDefault="00216019" w:rsidP="00216019">
      <w:pPr>
        <w:numPr>
          <w:ilvl w:val="0"/>
          <w:numId w:val="50"/>
        </w:numPr>
      </w:pPr>
      <w:r>
        <w:t xml:space="preserve">To determine the prevalence of ADHD diagnosis in the </w:t>
      </w:r>
      <w:r>
        <w:rPr>
          <w:b/>
          <w:i/>
        </w:rPr>
        <w:t>hawk-i</w:t>
      </w:r>
      <w:r>
        <w:t xml:space="preserve"> population by age and gender of the child</w:t>
      </w:r>
    </w:p>
    <w:p w:rsidR="00000000" w:rsidRDefault="00216019" w:rsidP="00216019">
      <w:pPr>
        <w:numPr>
          <w:ilvl w:val="0"/>
          <w:numId w:val="50"/>
        </w:numPr>
      </w:pPr>
      <w:r>
        <w:t>To establish baseline demographic information regarding children with a diagnosis of ADHD</w:t>
      </w:r>
    </w:p>
    <w:p w:rsidR="00000000" w:rsidRDefault="00216019" w:rsidP="00216019">
      <w:pPr>
        <w:numPr>
          <w:ilvl w:val="0"/>
          <w:numId w:val="50"/>
        </w:numPr>
      </w:pPr>
      <w:r>
        <w:t>To evaluate the utilization of beha</w:t>
      </w:r>
      <w:r>
        <w:t>vioral and emotional health care services by children with ADHD</w:t>
      </w:r>
    </w:p>
    <w:p w:rsidR="00000000" w:rsidRDefault="00216019" w:rsidP="00216019">
      <w:pPr>
        <w:numPr>
          <w:ilvl w:val="0"/>
          <w:numId w:val="50"/>
        </w:numPr>
      </w:pPr>
      <w:r>
        <w:t>To compare the information regarding ADHD gleaned from the encounter data and the surveys</w:t>
      </w:r>
    </w:p>
    <w:p w:rsidR="00000000" w:rsidRDefault="00216019" w:rsidP="00216019">
      <w:pPr>
        <w:numPr>
          <w:ilvl w:val="0"/>
          <w:numId w:val="50"/>
        </w:numPr>
      </w:pPr>
      <w:r>
        <w:t>To present additional behavioral and emotional results from the survey</w:t>
      </w:r>
    </w:p>
    <w:p w:rsidR="00000000" w:rsidRDefault="00216019"/>
    <w:p w:rsidR="00000000" w:rsidRDefault="00216019">
      <w:pPr>
        <w:pStyle w:val="Header"/>
        <w:tabs>
          <w:tab w:val="clear" w:pos="4320"/>
          <w:tab w:val="clear" w:pos="8640"/>
        </w:tabs>
        <w:rPr>
          <w:b/>
          <w:bCs/>
          <w:sz w:val="28"/>
        </w:rPr>
      </w:pPr>
      <w:r>
        <w:rPr>
          <w:b/>
          <w:bCs/>
          <w:sz w:val="28"/>
        </w:rPr>
        <w:t>Prevalence of ADHD in hawk-i</w:t>
      </w:r>
    </w:p>
    <w:p w:rsidR="00000000" w:rsidRDefault="00216019"/>
    <w:p w:rsidR="00000000" w:rsidRDefault="00216019">
      <w:r>
        <w:t xml:space="preserve">In this report, the rates for children in </w:t>
      </w:r>
      <w:r>
        <w:rPr>
          <w:b/>
          <w:i/>
        </w:rPr>
        <w:t>hawk-i</w:t>
      </w:r>
      <w:r>
        <w:t xml:space="preserve"> diagnosed with ADHD are reported in four ways:</w:t>
      </w:r>
    </w:p>
    <w:p w:rsidR="00000000" w:rsidRDefault="00216019"/>
    <w:p w:rsidR="00000000" w:rsidRDefault="00216019" w:rsidP="00216019">
      <w:pPr>
        <w:numPr>
          <w:ilvl w:val="0"/>
          <w:numId w:val="51"/>
        </w:numPr>
      </w:pPr>
      <w:r>
        <w:t>Number and rate of children with an ADHD diagnosis (by diagnosis code)</w:t>
      </w:r>
    </w:p>
    <w:p w:rsidR="00000000" w:rsidRDefault="00216019" w:rsidP="00216019">
      <w:pPr>
        <w:numPr>
          <w:ilvl w:val="0"/>
          <w:numId w:val="51"/>
        </w:numPr>
      </w:pPr>
      <w:r>
        <w:t>Number and rate of children eligible for at least 11 months with an ADHD diagnosis</w:t>
      </w:r>
    </w:p>
    <w:p w:rsidR="00000000" w:rsidRDefault="00216019" w:rsidP="00216019">
      <w:pPr>
        <w:numPr>
          <w:ilvl w:val="0"/>
          <w:numId w:val="51"/>
        </w:numPr>
      </w:pPr>
      <w:r>
        <w:t>Numbe</w:t>
      </w:r>
      <w:r>
        <w:t>r and rate of children with an ADHD diagnosis per 1,000 member months</w:t>
      </w:r>
    </w:p>
    <w:p w:rsidR="00000000" w:rsidRDefault="00216019" w:rsidP="00216019">
      <w:pPr>
        <w:numPr>
          <w:ilvl w:val="0"/>
          <w:numId w:val="51"/>
        </w:numPr>
      </w:pPr>
      <w:r>
        <w:t>Number of children with “problems with attention” as reported on the survey</w:t>
      </w:r>
    </w:p>
    <w:p w:rsidR="00000000" w:rsidRDefault="00216019"/>
    <w:p w:rsidR="00000000" w:rsidRDefault="00216019">
      <w:r>
        <w:t xml:space="preserve">For the first three analyses, </w:t>
      </w:r>
      <w:r>
        <w:rPr>
          <w:b/>
          <w:i/>
        </w:rPr>
        <w:t>hawk-i</w:t>
      </w:r>
      <w:r>
        <w:t xml:space="preserve"> program enrollment and encounter data were used to identify children and</w:t>
      </w:r>
      <w:r>
        <w:t xml:space="preserve"> adolescents between the ages of three and eighteen enrolled in the </w:t>
      </w:r>
      <w:r>
        <w:rPr>
          <w:b/>
          <w:i/>
        </w:rPr>
        <w:t>hawk-i</w:t>
      </w:r>
      <w:r>
        <w:t xml:space="preserve"> program during calendar year 2001. There were a total of 17,166 children enrolled for at least one month in 2001. </w:t>
      </w:r>
    </w:p>
    <w:p w:rsidR="00000000" w:rsidRDefault="00216019"/>
    <w:p w:rsidR="00000000" w:rsidRDefault="00216019">
      <w:r>
        <w:t>For the fourth analysis, data from the survey used to evaluate ch</w:t>
      </w:r>
      <w:r>
        <w:t xml:space="preserve">anges in health status and access to care for children before and after joining the </w:t>
      </w:r>
      <w:r>
        <w:rPr>
          <w:b/>
          <w:i/>
        </w:rPr>
        <w:t>hawk-i</w:t>
      </w:r>
      <w:r>
        <w:t xml:space="preserve"> program were used. </w:t>
      </w:r>
    </w:p>
    <w:p w:rsidR="00000000" w:rsidRDefault="00216019"/>
    <w:p w:rsidR="00000000" w:rsidRDefault="00216019">
      <w:pPr>
        <w:rPr>
          <w:i/>
        </w:rPr>
      </w:pPr>
      <w:r>
        <w:rPr>
          <w:i/>
        </w:rPr>
        <w:t>1) Number and rate of children with an ADHD diagnosis (by diagnosis code)</w:t>
      </w:r>
    </w:p>
    <w:p w:rsidR="00000000" w:rsidRDefault="00216019"/>
    <w:p w:rsidR="00000000" w:rsidRDefault="00216019">
      <w:r>
        <w:t>Of the 17,166 children enrolled for at least one month in 2001, 563 h</w:t>
      </w:r>
      <w:r>
        <w:t xml:space="preserve">ad at least one claim with a diagnosis of Attention Deficit Disorder (ICD-9 314.00), Attention Deficit with Hyperactivity Disorder (ICD-9 314.01), or Hyperkinetic Conduct Disorder (ICD-9 314.9). The majority of children with a </w:t>
      </w:r>
      <w:r>
        <w:lastRenderedPageBreak/>
        <w:t>diagnosis had Attention Defic</w:t>
      </w:r>
      <w:r>
        <w:t xml:space="preserve">it with Hyperactivity Disorder. Table 1 provides a listing of all children enrolled for at least one month in 2001 by age and the rate of ADHD within the </w:t>
      </w:r>
      <w:r>
        <w:rPr>
          <w:b/>
          <w:i/>
        </w:rPr>
        <w:t>hawk-i</w:t>
      </w:r>
      <w:r>
        <w:rPr>
          <w:i/>
        </w:rPr>
        <w:t xml:space="preserve"> </w:t>
      </w:r>
      <w:r>
        <w:t xml:space="preserve">enrollees. </w:t>
      </w:r>
    </w:p>
    <w:p w:rsidR="00000000" w:rsidRDefault="00216019">
      <w:pPr>
        <w:jc w:val="center"/>
        <w:rPr>
          <w:b/>
          <w:bCs/>
        </w:rPr>
      </w:pPr>
      <w:r>
        <w:rPr>
          <w:b/>
          <w:bCs/>
        </w:rPr>
        <w:br/>
      </w:r>
    </w:p>
    <w:p w:rsidR="00000000" w:rsidRDefault="00216019">
      <w:pPr>
        <w:jc w:val="center"/>
      </w:pPr>
      <w:r>
        <w:rPr>
          <w:b/>
          <w:bCs/>
        </w:rPr>
        <w:t>Table 1. Children and adolescents by age and rate of ADHD, 2001</w:t>
      </w:r>
    </w:p>
    <w:tbl>
      <w:tblPr>
        <w:tblW w:w="0" w:type="auto"/>
        <w:tblInd w:w="757" w:type="dxa"/>
        <w:tblBorders>
          <w:top w:val="nil"/>
          <w:left w:val="nil"/>
          <w:bottom w:val="nil"/>
          <w:right w:val="nil"/>
          <w:insideH w:val="single" w:sz="6" w:space="0" w:color="000000"/>
          <w:insideV w:val="single" w:sz="6" w:space="0" w:color="000000"/>
        </w:tblBorders>
        <w:tblLook w:val="00BF"/>
      </w:tblPr>
      <w:tblGrid>
        <w:gridCol w:w="1623"/>
        <w:gridCol w:w="2530"/>
        <w:gridCol w:w="1895"/>
        <w:gridCol w:w="2369"/>
      </w:tblGrid>
      <w:tr w:rsidR="00000000">
        <w:tblPrEx>
          <w:tblCellMar>
            <w:top w:w="0" w:type="dxa"/>
            <w:bottom w:w="0" w:type="dxa"/>
          </w:tblCellMar>
        </w:tblPrEx>
        <w:tc>
          <w:tcPr>
            <w:tcW w:w="1623" w:type="dxa"/>
            <w:tcBorders>
              <w:top w:val="thinThickSmallGap" w:sz="24" w:space="0" w:color="auto"/>
              <w:bottom w:val="single" w:sz="6" w:space="0" w:color="000000"/>
            </w:tcBorders>
          </w:tcPr>
          <w:p w:rsidR="00000000" w:rsidRDefault="00216019">
            <w:pPr>
              <w:rPr>
                <w:b/>
                <w:sz w:val="18"/>
              </w:rPr>
            </w:pPr>
            <w:r>
              <w:rPr>
                <w:b/>
                <w:sz w:val="18"/>
              </w:rPr>
              <w:br/>
              <w:t>Age group</w:t>
            </w:r>
          </w:p>
        </w:tc>
        <w:tc>
          <w:tcPr>
            <w:tcW w:w="2530" w:type="dxa"/>
            <w:tcBorders>
              <w:top w:val="thinThickSmallGap" w:sz="24" w:space="0" w:color="auto"/>
              <w:bottom w:val="single" w:sz="6" w:space="0" w:color="000000"/>
            </w:tcBorders>
          </w:tcPr>
          <w:p w:rsidR="00000000" w:rsidRDefault="00216019">
            <w:pPr>
              <w:jc w:val="center"/>
              <w:rPr>
                <w:b/>
                <w:sz w:val="18"/>
              </w:rPr>
            </w:pPr>
            <w:r>
              <w:rPr>
                <w:b/>
                <w:sz w:val="18"/>
              </w:rPr>
              <w:br/>
              <w:t>Numbe</w:t>
            </w:r>
            <w:r>
              <w:rPr>
                <w:b/>
                <w:sz w:val="18"/>
              </w:rPr>
              <w:t>r with ADHD</w:t>
            </w:r>
          </w:p>
        </w:tc>
        <w:tc>
          <w:tcPr>
            <w:tcW w:w="1895" w:type="dxa"/>
            <w:tcBorders>
              <w:top w:val="thinThickSmallGap" w:sz="24" w:space="0" w:color="auto"/>
              <w:bottom w:val="single" w:sz="6" w:space="0" w:color="000000"/>
            </w:tcBorders>
          </w:tcPr>
          <w:p w:rsidR="00000000" w:rsidRDefault="00216019">
            <w:pPr>
              <w:jc w:val="center"/>
              <w:rPr>
                <w:b/>
                <w:sz w:val="18"/>
              </w:rPr>
            </w:pPr>
            <w:r>
              <w:rPr>
                <w:b/>
                <w:sz w:val="18"/>
              </w:rPr>
              <w:br/>
              <w:t>Total number</w:t>
            </w:r>
          </w:p>
        </w:tc>
        <w:tc>
          <w:tcPr>
            <w:tcW w:w="2369" w:type="dxa"/>
            <w:tcBorders>
              <w:top w:val="thinThickSmallGap" w:sz="24" w:space="0" w:color="auto"/>
              <w:bottom w:val="single" w:sz="6" w:space="0" w:color="000000"/>
            </w:tcBorders>
          </w:tcPr>
          <w:p w:rsidR="00000000" w:rsidRDefault="00216019">
            <w:pPr>
              <w:jc w:val="center"/>
              <w:rPr>
                <w:b/>
                <w:sz w:val="18"/>
              </w:rPr>
            </w:pPr>
            <w:r>
              <w:rPr>
                <w:b/>
                <w:sz w:val="18"/>
              </w:rPr>
              <w:br/>
              <w:t>Percent with ADHD</w:t>
            </w:r>
          </w:p>
        </w:tc>
      </w:tr>
      <w:tr w:rsidR="00000000">
        <w:tblPrEx>
          <w:tblCellMar>
            <w:top w:w="0" w:type="dxa"/>
            <w:bottom w:w="0" w:type="dxa"/>
          </w:tblCellMar>
        </w:tblPrEx>
        <w:tc>
          <w:tcPr>
            <w:tcW w:w="1623" w:type="dxa"/>
            <w:tcBorders>
              <w:top w:val="single" w:sz="6" w:space="0" w:color="000000"/>
            </w:tcBorders>
            <w:vAlign w:val="center"/>
          </w:tcPr>
          <w:p w:rsidR="00000000" w:rsidRDefault="00216019">
            <w:pPr>
              <w:rPr>
                <w:b/>
                <w:sz w:val="18"/>
              </w:rPr>
            </w:pPr>
            <w:r>
              <w:rPr>
                <w:b/>
                <w:sz w:val="18"/>
              </w:rPr>
              <w:t>3-6 years</w:t>
            </w:r>
          </w:p>
        </w:tc>
        <w:tc>
          <w:tcPr>
            <w:tcW w:w="2530" w:type="dxa"/>
            <w:tcBorders>
              <w:top w:val="single" w:sz="6" w:space="0" w:color="000000"/>
            </w:tcBorders>
            <w:vAlign w:val="center"/>
          </w:tcPr>
          <w:p w:rsidR="00000000" w:rsidRDefault="00216019">
            <w:pPr>
              <w:jc w:val="center"/>
              <w:rPr>
                <w:sz w:val="20"/>
              </w:rPr>
            </w:pPr>
            <w:r>
              <w:rPr>
                <w:sz w:val="20"/>
              </w:rPr>
              <w:t>49</w:t>
            </w:r>
          </w:p>
        </w:tc>
        <w:tc>
          <w:tcPr>
            <w:tcW w:w="1895" w:type="dxa"/>
            <w:tcBorders>
              <w:top w:val="single" w:sz="6" w:space="0" w:color="000000"/>
            </w:tcBorders>
            <w:vAlign w:val="center"/>
          </w:tcPr>
          <w:p w:rsidR="00000000" w:rsidRDefault="00216019">
            <w:pPr>
              <w:jc w:val="center"/>
              <w:rPr>
                <w:sz w:val="20"/>
              </w:rPr>
            </w:pPr>
            <w:r>
              <w:rPr>
                <w:sz w:val="20"/>
              </w:rPr>
              <w:t>4,751</w:t>
            </w:r>
          </w:p>
        </w:tc>
        <w:tc>
          <w:tcPr>
            <w:tcW w:w="2369" w:type="dxa"/>
            <w:tcBorders>
              <w:top w:val="single" w:sz="6" w:space="0" w:color="000000"/>
            </w:tcBorders>
            <w:vAlign w:val="center"/>
          </w:tcPr>
          <w:p w:rsidR="00000000" w:rsidRDefault="00216019">
            <w:pPr>
              <w:jc w:val="center"/>
              <w:rPr>
                <w:sz w:val="20"/>
              </w:rPr>
            </w:pPr>
            <w:r>
              <w:rPr>
                <w:sz w:val="20"/>
              </w:rPr>
              <w:t>1.0%</w:t>
            </w:r>
          </w:p>
        </w:tc>
      </w:tr>
      <w:tr w:rsidR="00000000">
        <w:tblPrEx>
          <w:tblCellMar>
            <w:top w:w="0" w:type="dxa"/>
            <w:bottom w:w="0" w:type="dxa"/>
          </w:tblCellMar>
        </w:tblPrEx>
        <w:tc>
          <w:tcPr>
            <w:tcW w:w="1623" w:type="dxa"/>
            <w:vAlign w:val="center"/>
          </w:tcPr>
          <w:p w:rsidR="00000000" w:rsidRDefault="00216019">
            <w:pPr>
              <w:rPr>
                <w:b/>
                <w:sz w:val="18"/>
              </w:rPr>
            </w:pPr>
            <w:r>
              <w:rPr>
                <w:b/>
                <w:sz w:val="18"/>
              </w:rPr>
              <w:t>7-9 years</w:t>
            </w:r>
          </w:p>
        </w:tc>
        <w:tc>
          <w:tcPr>
            <w:tcW w:w="2530" w:type="dxa"/>
            <w:vAlign w:val="center"/>
          </w:tcPr>
          <w:p w:rsidR="00000000" w:rsidRDefault="00216019">
            <w:pPr>
              <w:jc w:val="center"/>
              <w:rPr>
                <w:sz w:val="20"/>
              </w:rPr>
            </w:pPr>
            <w:r>
              <w:rPr>
                <w:sz w:val="20"/>
              </w:rPr>
              <w:t>166</w:t>
            </w:r>
          </w:p>
        </w:tc>
        <w:tc>
          <w:tcPr>
            <w:tcW w:w="1895" w:type="dxa"/>
            <w:vAlign w:val="center"/>
          </w:tcPr>
          <w:p w:rsidR="00000000" w:rsidRDefault="00216019">
            <w:pPr>
              <w:jc w:val="center"/>
              <w:rPr>
                <w:sz w:val="20"/>
              </w:rPr>
            </w:pPr>
            <w:r>
              <w:rPr>
                <w:sz w:val="20"/>
              </w:rPr>
              <w:t>3,675</w:t>
            </w:r>
          </w:p>
        </w:tc>
        <w:tc>
          <w:tcPr>
            <w:tcW w:w="2369" w:type="dxa"/>
            <w:vAlign w:val="center"/>
          </w:tcPr>
          <w:p w:rsidR="00000000" w:rsidRDefault="00216019">
            <w:pPr>
              <w:jc w:val="center"/>
              <w:rPr>
                <w:sz w:val="20"/>
              </w:rPr>
            </w:pPr>
            <w:r>
              <w:rPr>
                <w:sz w:val="20"/>
              </w:rPr>
              <w:t>4.5%</w:t>
            </w:r>
          </w:p>
        </w:tc>
      </w:tr>
      <w:tr w:rsidR="00000000">
        <w:tblPrEx>
          <w:tblCellMar>
            <w:top w:w="0" w:type="dxa"/>
            <w:bottom w:w="0" w:type="dxa"/>
          </w:tblCellMar>
        </w:tblPrEx>
        <w:tc>
          <w:tcPr>
            <w:tcW w:w="1623" w:type="dxa"/>
            <w:vAlign w:val="center"/>
          </w:tcPr>
          <w:p w:rsidR="00000000" w:rsidRDefault="00216019">
            <w:pPr>
              <w:rPr>
                <w:b/>
                <w:sz w:val="18"/>
              </w:rPr>
            </w:pPr>
            <w:r>
              <w:rPr>
                <w:b/>
                <w:sz w:val="18"/>
              </w:rPr>
              <w:t>10-12 years</w:t>
            </w:r>
          </w:p>
        </w:tc>
        <w:tc>
          <w:tcPr>
            <w:tcW w:w="2530" w:type="dxa"/>
            <w:vAlign w:val="center"/>
          </w:tcPr>
          <w:p w:rsidR="00000000" w:rsidRDefault="00216019">
            <w:pPr>
              <w:jc w:val="center"/>
              <w:rPr>
                <w:sz w:val="20"/>
              </w:rPr>
            </w:pPr>
            <w:r>
              <w:rPr>
                <w:sz w:val="20"/>
              </w:rPr>
              <w:t>185</w:t>
            </w:r>
          </w:p>
        </w:tc>
        <w:tc>
          <w:tcPr>
            <w:tcW w:w="1895" w:type="dxa"/>
            <w:vAlign w:val="center"/>
          </w:tcPr>
          <w:p w:rsidR="00000000" w:rsidRDefault="00216019">
            <w:pPr>
              <w:jc w:val="center"/>
              <w:rPr>
                <w:sz w:val="20"/>
              </w:rPr>
            </w:pPr>
            <w:r>
              <w:rPr>
                <w:sz w:val="20"/>
              </w:rPr>
              <w:t>3,492</w:t>
            </w:r>
          </w:p>
        </w:tc>
        <w:tc>
          <w:tcPr>
            <w:tcW w:w="2369" w:type="dxa"/>
            <w:vAlign w:val="center"/>
          </w:tcPr>
          <w:p w:rsidR="00000000" w:rsidRDefault="00216019">
            <w:pPr>
              <w:jc w:val="center"/>
              <w:rPr>
                <w:sz w:val="20"/>
              </w:rPr>
            </w:pPr>
            <w:r>
              <w:rPr>
                <w:sz w:val="20"/>
              </w:rPr>
              <w:t>5.3%</w:t>
            </w:r>
          </w:p>
        </w:tc>
      </w:tr>
      <w:tr w:rsidR="00000000">
        <w:tblPrEx>
          <w:tblCellMar>
            <w:top w:w="0" w:type="dxa"/>
            <w:bottom w:w="0" w:type="dxa"/>
          </w:tblCellMar>
        </w:tblPrEx>
        <w:tc>
          <w:tcPr>
            <w:tcW w:w="1623" w:type="dxa"/>
            <w:vAlign w:val="center"/>
          </w:tcPr>
          <w:p w:rsidR="00000000" w:rsidRDefault="00216019">
            <w:pPr>
              <w:rPr>
                <w:b/>
                <w:sz w:val="18"/>
              </w:rPr>
            </w:pPr>
            <w:r>
              <w:rPr>
                <w:b/>
                <w:sz w:val="18"/>
              </w:rPr>
              <w:t>13-15 years</w:t>
            </w:r>
          </w:p>
        </w:tc>
        <w:tc>
          <w:tcPr>
            <w:tcW w:w="2530" w:type="dxa"/>
            <w:vAlign w:val="center"/>
          </w:tcPr>
          <w:p w:rsidR="00000000" w:rsidRDefault="00216019">
            <w:pPr>
              <w:jc w:val="center"/>
              <w:rPr>
                <w:sz w:val="20"/>
              </w:rPr>
            </w:pPr>
            <w:r>
              <w:rPr>
                <w:sz w:val="20"/>
              </w:rPr>
              <w:t>120</w:t>
            </w:r>
          </w:p>
        </w:tc>
        <w:tc>
          <w:tcPr>
            <w:tcW w:w="1895" w:type="dxa"/>
            <w:vAlign w:val="center"/>
          </w:tcPr>
          <w:p w:rsidR="00000000" w:rsidRDefault="00216019">
            <w:pPr>
              <w:jc w:val="center"/>
              <w:rPr>
                <w:sz w:val="20"/>
              </w:rPr>
            </w:pPr>
            <w:r>
              <w:rPr>
                <w:sz w:val="20"/>
              </w:rPr>
              <w:t>2,951</w:t>
            </w:r>
          </w:p>
        </w:tc>
        <w:tc>
          <w:tcPr>
            <w:tcW w:w="2369" w:type="dxa"/>
            <w:vAlign w:val="center"/>
          </w:tcPr>
          <w:p w:rsidR="00000000" w:rsidRDefault="00216019">
            <w:pPr>
              <w:jc w:val="center"/>
              <w:rPr>
                <w:sz w:val="20"/>
              </w:rPr>
            </w:pPr>
            <w:r>
              <w:rPr>
                <w:sz w:val="20"/>
              </w:rPr>
              <w:t>4.1%</w:t>
            </w:r>
          </w:p>
        </w:tc>
      </w:tr>
      <w:tr w:rsidR="00000000">
        <w:tblPrEx>
          <w:tblCellMar>
            <w:top w:w="0" w:type="dxa"/>
            <w:bottom w:w="0" w:type="dxa"/>
          </w:tblCellMar>
        </w:tblPrEx>
        <w:tc>
          <w:tcPr>
            <w:tcW w:w="1623" w:type="dxa"/>
            <w:tcBorders>
              <w:bottom w:val="single" w:sz="6" w:space="0" w:color="000000"/>
            </w:tcBorders>
            <w:vAlign w:val="center"/>
          </w:tcPr>
          <w:p w:rsidR="00000000" w:rsidRDefault="00216019">
            <w:pPr>
              <w:rPr>
                <w:b/>
                <w:sz w:val="18"/>
              </w:rPr>
            </w:pPr>
            <w:r>
              <w:rPr>
                <w:b/>
                <w:sz w:val="18"/>
              </w:rPr>
              <w:t>16-18 years</w:t>
            </w:r>
          </w:p>
        </w:tc>
        <w:tc>
          <w:tcPr>
            <w:tcW w:w="2530" w:type="dxa"/>
            <w:tcBorders>
              <w:bottom w:val="single" w:sz="6" w:space="0" w:color="000000"/>
            </w:tcBorders>
            <w:vAlign w:val="center"/>
          </w:tcPr>
          <w:p w:rsidR="00000000" w:rsidRDefault="00216019">
            <w:pPr>
              <w:jc w:val="center"/>
              <w:rPr>
                <w:sz w:val="20"/>
              </w:rPr>
            </w:pPr>
            <w:r>
              <w:rPr>
                <w:sz w:val="20"/>
              </w:rPr>
              <w:t>43</w:t>
            </w:r>
          </w:p>
        </w:tc>
        <w:tc>
          <w:tcPr>
            <w:tcW w:w="1895" w:type="dxa"/>
            <w:tcBorders>
              <w:bottom w:val="single" w:sz="6" w:space="0" w:color="000000"/>
            </w:tcBorders>
            <w:vAlign w:val="center"/>
          </w:tcPr>
          <w:p w:rsidR="00000000" w:rsidRDefault="00216019">
            <w:pPr>
              <w:jc w:val="center"/>
              <w:rPr>
                <w:sz w:val="20"/>
              </w:rPr>
            </w:pPr>
            <w:r>
              <w:rPr>
                <w:sz w:val="20"/>
              </w:rPr>
              <w:t>2,297</w:t>
            </w:r>
          </w:p>
        </w:tc>
        <w:tc>
          <w:tcPr>
            <w:tcW w:w="2369" w:type="dxa"/>
            <w:tcBorders>
              <w:bottom w:val="single" w:sz="6" w:space="0" w:color="000000"/>
            </w:tcBorders>
            <w:vAlign w:val="center"/>
          </w:tcPr>
          <w:p w:rsidR="00000000" w:rsidRDefault="00216019">
            <w:pPr>
              <w:jc w:val="center"/>
              <w:rPr>
                <w:sz w:val="20"/>
              </w:rPr>
            </w:pPr>
            <w:r>
              <w:rPr>
                <w:sz w:val="20"/>
              </w:rPr>
              <w:t>1.9%</w:t>
            </w:r>
          </w:p>
        </w:tc>
      </w:tr>
      <w:tr w:rsidR="00000000">
        <w:tblPrEx>
          <w:tblCellMar>
            <w:top w:w="0" w:type="dxa"/>
            <w:bottom w:w="0" w:type="dxa"/>
          </w:tblCellMar>
        </w:tblPrEx>
        <w:tc>
          <w:tcPr>
            <w:tcW w:w="1623" w:type="dxa"/>
            <w:tcBorders>
              <w:top w:val="single" w:sz="6" w:space="0" w:color="000000"/>
              <w:bottom w:val="thickThinSmallGap" w:sz="24" w:space="0" w:color="auto"/>
            </w:tcBorders>
            <w:vAlign w:val="center"/>
          </w:tcPr>
          <w:p w:rsidR="00000000" w:rsidRDefault="00216019">
            <w:pPr>
              <w:rPr>
                <w:b/>
                <w:sz w:val="18"/>
              </w:rPr>
            </w:pPr>
            <w:r>
              <w:rPr>
                <w:b/>
                <w:sz w:val="18"/>
              </w:rPr>
              <w:t>Total</w:t>
            </w:r>
          </w:p>
        </w:tc>
        <w:tc>
          <w:tcPr>
            <w:tcW w:w="2530" w:type="dxa"/>
            <w:tcBorders>
              <w:top w:val="single" w:sz="6" w:space="0" w:color="000000"/>
              <w:bottom w:val="thickThinSmallGap" w:sz="24" w:space="0" w:color="auto"/>
            </w:tcBorders>
            <w:vAlign w:val="center"/>
          </w:tcPr>
          <w:p w:rsidR="00000000" w:rsidRDefault="00216019">
            <w:pPr>
              <w:jc w:val="center"/>
              <w:rPr>
                <w:sz w:val="20"/>
              </w:rPr>
            </w:pPr>
            <w:r>
              <w:rPr>
                <w:sz w:val="20"/>
              </w:rPr>
              <w:t>563</w:t>
            </w:r>
          </w:p>
        </w:tc>
        <w:tc>
          <w:tcPr>
            <w:tcW w:w="1895" w:type="dxa"/>
            <w:tcBorders>
              <w:top w:val="single" w:sz="6" w:space="0" w:color="000000"/>
              <w:bottom w:val="thickThinSmallGap" w:sz="24" w:space="0" w:color="auto"/>
            </w:tcBorders>
            <w:vAlign w:val="center"/>
          </w:tcPr>
          <w:p w:rsidR="00000000" w:rsidRDefault="00216019">
            <w:pPr>
              <w:jc w:val="center"/>
              <w:rPr>
                <w:sz w:val="20"/>
              </w:rPr>
            </w:pPr>
            <w:r>
              <w:rPr>
                <w:sz w:val="20"/>
              </w:rPr>
              <w:t>17,166</w:t>
            </w:r>
          </w:p>
        </w:tc>
        <w:tc>
          <w:tcPr>
            <w:tcW w:w="2369" w:type="dxa"/>
            <w:tcBorders>
              <w:top w:val="single" w:sz="6" w:space="0" w:color="000000"/>
              <w:bottom w:val="thickThinSmallGap" w:sz="24" w:space="0" w:color="auto"/>
            </w:tcBorders>
            <w:vAlign w:val="center"/>
          </w:tcPr>
          <w:p w:rsidR="00000000" w:rsidRDefault="00216019">
            <w:pPr>
              <w:jc w:val="center"/>
              <w:rPr>
                <w:sz w:val="20"/>
              </w:rPr>
            </w:pPr>
            <w:r>
              <w:rPr>
                <w:sz w:val="20"/>
              </w:rPr>
              <w:t>3.3%</w:t>
            </w:r>
          </w:p>
        </w:tc>
      </w:tr>
    </w:tbl>
    <w:p w:rsidR="00000000" w:rsidRDefault="00216019"/>
    <w:p w:rsidR="00000000" w:rsidRDefault="00216019">
      <w:r>
        <w:t>The rate of diagnosis of ADHD from the claims/encoun</w:t>
      </w:r>
      <w:r>
        <w:t>ter data was highest for children in the 10-12 age range with about one in twenty children in this age group had received treatment with a diagnosis of ADHD.</w:t>
      </w:r>
    </w:p>
    <w:p w:rsidR="00000000" w:rsidRDefault="00216019"/>
    <w:p w:rsidR="00000000" w:rsidRDefault="00216019">
      <w:pPr>
        <w:rPr>
          <w:i/>
        </w:rPr>
      </w:pPr>
      <w:r>
        <w:rPr>
          <w:i/>
        </w:rPr>
        <w:t>2) Number and rate of children eligible for at least 11 months with an ADHD diagnosis</w:t>
      </w:r>
    </w:p>
    <w:p w:rsidR="00000000" w:rsidRDefault="00216019"/>
    <w:p w:rsidR="00000000" w:rsidRDefault="00216019">
      <w:r>
        <w:t>There were</w:t>
      </w:r>
      <w:r>
        <w:t xml:space="preserve"> 4,947 children enrolled for at least 11 months in calendar year 2001. Table 2 provides a listing of these children by age and the rate of ADHD. </w:t>
      </w:r>
    </w:p>
    <w:p w:rsidR="00000000" w:rsidRDefault="00216019">
      <w:pPr>
        <w:pStyle w:val="Header"/>
        <w:tabs>
          <w:tab w:val="clear" w:pos="4320"/>
          <w:tab w:val="clear" w:pos="8640"/>
        </w:tabs>
      </w:pPr>
    </w:p>
    <w:p w:rsidR="00000000" w:rsidRDefault="00216019">
      <w:pPr>
        <w:jc w:val="center"/>
        <w:rPr>
          <w:b/>
          <w:bCs/>
        </w:rPr>
      </w:pPr>
      <w:r>
        <w:rPr>
          <w:b/>
          <w:bCs/>
        </w:rPr>
        <w:t xml:space="preserve">Table 2. Children and adolescents eligible for at least </w:t>
      </w:r>
      <w:r>
        <w:rPr>
          <w:b/>
          <w:bCs/>
        </w:rPr>
        <w:br/>
        <w:t>11 months by age and rate of ADHD, 2001</w:t>
      </w:r>
    </w:p>
    <w:tbl>
      <w:tblPr>
        <w:tblW w:w="0" w:type="auto"/>
        <w:tblInd w:w="757" w:type="dxa"/>
        <w:tblBorders>
          <w:top w:val="nil"/>
          <w:left w:val="nil"/>
          <w:bottom w:val="nil"/>
          <w:right w:val="nil"/>
          <w:insideH w:val="single" w:sz="6" w:space="0" w:color="000000"/>
          <w:insideV w:val="single" w:sz="6" w:space="0" w:color="000000"/>
        </w:tblBorders>
        <w:tblLook w:val="00BF"/>
      </w:tblPr>
      <w:tblGrid>
        <w:gridCol w:w="1623"/>
        <w:gridCol w:w="2530"/>
        <w:gridCol w:w="1895"/>
        <w:gridCol w:w="2369"/>
      </w:tblGrid>
      <w:tr w:rsidR="00000000">
        <w:tblPrEx>
          <w:tblCellMar>
            <w:top w:w="0" w:type="dxa"/>
            <w:bottom w:w="0" w:type="dxa"/>
          </w:tblCellMar>
        </w:tblPrEx>
        <w:tc>
          <w:tcPr>
            <w:tcW w:w="1623" w:type="dxa"/>
            <w:tcBorders>
              <w:top w:val="thinThickSmallGap" w:sz="24" w:space="0" w:color="auto"/>
              <w:bottom w:val="single" w:sz="6" w:space="0" w:color="000000"/>
            </w:tcBorders>
          </w:tcPr>
          <w:p w:rsidR="00000000" w:rsidRDefault="00216019">
            <w:pPr>
              <w:rPr>
                <w:b/>
                <w:sz w:val="18"/>
              </w:rPr>
            </w:pPr>
            <w:r>
              <w:rPr>
                <w:b/>
                <w:sz w:val="18"/>
              </w:rPr>
              <w:br/>
              <w:t>Age group</w:t>
            </w:r>
          </w:p>
        </w:tc>
        <w:tc>
          <w:tcPr>
            <w:tcW w:w="2530" w:type="dxa"/>
            <w:tcBorders>
              <w:top w:val="thinThickSmallGap" w:sz="24" w:space="0" w:color="auto"/>
              <w:bottom w:val="single" w:sz="6" w:space="0" w:color="000000"/>
            </w:tcBorders>
          </w:tcPr>
          <w:p w:rsidR="00000000" w:rsidRDefault="00216019">
            <w:pPr>
              <w:jc w:val="center"/>
              <w:rPr>
                <w:b/>
                <w:sz w:val="18"/>
              </w:rPr>
            </w:pPr>
            <w:r>
              <w:rPr>
                <w:b/>
                <w:sz w:val="18"/>
              </w:rPr>
              <w:br/>
            </w:r>
            <w:r>
              <w:rPr>
                <w:b/>
                <w:sz w:val="18"/>
              </w:rPr>
              <w:t>Number with ADHD</w:t>
            </w:r>
          </w:p>
        </w:tc>
        <w:tc>
          <w:tcPr>
            <w:tcW w:w="1895" w:type="dxa"/>
            <w:tcBorders>
              <w:top w:val="thinThickSmallGap" w:sz="24" w:space="0" w:color="auto"/>
              <w:bottom w:val="single" w:sz="6" w:space="0" w:color="000000"/>
            </w:tcBorders>
          </w:tcPr>
          <w:p w:rsidR="00000000" w:rsidRDefault="00216019">
            <w:pPr>
              <w:jc w:val="center"/>
              <w:rPr>
                <w:b/>
                <w:sz w:val="18"/>
              </w:rPr>
            </w:pPr>
            <w:r>
              <w:rPr>
                <w:b/>
                <w:sz w:val="18"/>
              </w:rPr>
              <w:br/>
              <w:t>Total number</w:t>
            </w:r>
          </w:p>
        </w:tc>
        <w:tc>
          <w:tcPr>
            <w:tcW w:w="2369" w:type="dxa"/>
            <w:tcBorders>
              <w:top w:val="thinThickSmallGap" w:sz="24" w:space="0" w:color="auto"/>
              <w:bottom w:val="single" w:sz="6" w:space="0" w:color="000000"/>
            </w:tcBorders>
          </w:tcPr>
          <w:p w:rsidR="00000000" w:rsidRDefault="00216019">
            <w:pPr>
              <w:jc w:val="center"/>
              <w:rPr>
                <w:b/>
                <w:sz w:val="18"/>
              </w:rPr>
            </w:pPr>
            <w:r>
              <w:rPr>
                <w:b/>
                <w:sz w:val="18"/>
              </w:rPr>
              <w:br/>
              <w:t>Percent with ADHD</w:t>
            </w:r>
          </w:p>
        </w:tc>
      </w:tr>
      <w:tr w:rsidR="00000000">
        <w:tblPrEx>
          <w:tblCellMar>
            <w:top w:w="0" w:type="dxa"/>
            <w:bottom w:w="0" w:type="dxa"/>
          </w:tblCellMar>
        </w:tblPrEx>
        <w:tc>
          <w:tcPr>
            <w:tcW w:w="1623" w:type="dxa"/>
            <w:tcBorders>
              <w:top w:val="single" w:sz="6" w:space="0" w:color="000000"/>
            </w:tcBorders>
            <w:vAlign w:val="center"/>
          </w:tcPr>
          <w:p w:rsidR="00000000" w:rsidRDefault="00216019">
            <w:pPr>
              <w:rPr>
                <w:b/>
                <w:sz w:val="18"/>
              </w:rPr>
            </w:pPr>
            <w:r>
              <w:rPr>
                <w:b/>
                <w:sz w:val="18"/>
              </w:rPr>
              <w:t>3-6 years</w:t>
            </w:r>
          </w:p>
        </w:tc>
        <w:tc>
          <w:tcPr>
            <w:tcW w:w="2530" w:type="dxa"/>
            <w:tcBorders>
              <w:top w:val="single" w:sz="6" w:space="0" w:color="000000"/>
            </w:tcBorders>
            <w:vAlign w:val="center"/>
          </w:tcPr>
          <w:p w:rsidR="00000000" w:rsidRDefault="00216019">
            <w:pPr>
              <w:jc w:val="center"/>
              <w:rPr>
                <w:sz w:val="20"/>
              </w:rPr>
            </w:pPr>
            <w:r>
              <w:rPr>
                <w:sz w:val="20"/>
              </w:rPr>
              <w:t>21</w:t>
            </w:r>
          </w:p>
        </w:tc>
        <w:tc>
          <w:tcPr>
            <w:tcW w:w="1895" w:type="dxa"/>
            <w:tcBorders>
              <w:top w:val="single" w:sz="6" w:space="0" w:color="000000"/>
            </w:tcBorders>
            <w:vAlign w:val="center"/>
          </w:tcPr>
          <w:p w:rsidR="00000000" w:rsidRDefault="00216019">
            <w:pPr>
              <w:jc w:val="center"/>
              <w:rPr>
                <w:sz w:val="20"/>
              </w:rPr>
            </w:pPr>
            <w:r>
              <w:rPr>
                <w:sz w:val="20"/>
              </w:rPr>
              <w:t>1,230</w:t>
            </w:r>
          </w:p>
        </w:tc>
        <w:tc>
          <w:tcPr>
            <w:tcW w:w="2369" w:type="dxa"/>
            <w:tcBorders>
              <w:top w:val="single" w:sz="6" w:space="0" w:color="000000"/>
            </w:tcBorders>
            <w:vAlign w:val="center"/>
          </w:tcPr>
          <w:p w:rsidR="00000000" w:rsidRDefault="00216019">
            <w:pPr>
              <w:jc w:val="center"/>
              <w:rPr>
                <w:sz w:val="20"/>
              </w:rPr>
            </w:pPr>
            <w:r>
              <w:rPr>
                <w:sz w:val="20"/>
              </w:rPr>
              <w:t>1.7%</w:t>
            </w:r>
          </w:p>
        </w:tc>
      </w:tr>
      <w:tr w:rsidR="00000000">
        <w:tblPrEx>
          <w:tblCellMar>
            <w:top w:w="0" w:type="dxa"/>
            <w:bottom w:w="0" w:type="dxa"/>
          </w:tblCellMar>
        </w:tblPrEx>
        <w:tc>
          <w:tcPr>
            <w:tcW w:w="1623" w:type="dxa"/>
            <w:vAlign w:val="center"/>
          </w:tcPr>
          <w:p w:rsidR="00000000" w:rsidRDefault="00216019">
            <w:pPr>
              <w:rPr>
                <w:b/>
                <w:sz w:val="18"/>
              </w:rPr>
            </w:pPr>
            <w:r>
              <w:rPr>
                <w:b/>
                <w:sz w:val="18"/>
              </w:rPr>
              <w:t>7-9 years</w:t>
            </w:r>
          </w:p>
        </w:tc>
        <w:tc>
          <w:tcPr>
            <w:tcW w:w="2530" w:type="dxa"/>
            <w:vAlign w:val="center"/>
          </w:tcPr>
          <w:p w:rsidR="00000000" w:rsidRDefault="00216019">
            <w:pPr>
              <w:jc w:val="center"/>
              <w:rPr>
                <w:sz w:val="20"/>
              </w:rPr>
            </w:pPr>
            <w:r>
              <w:rPr>
                <w:sz w:val="20"/>
              </w:rPr>
              <w:t>72</w:t>
            </w:r>
          </w:p>
        </w:tc>
        <w:tc>
          <w:tcPr>
            <w:tcW w:w="1895" w:type="dxa"/>
            <w:vAlign w:val="center"/>
          </w:tcPr>
          <w:p w:rsidR="00000000" w:rsidRDefault="00216019">
            <w:pPr>
              <w:jc w:val="center"/>
              <w:rPr>
                <w:sz w:val="20"/>
              </w:rPr>
            </w:pPr>
            <w:r>
              <w:rPr>
                <w:sz w:val="20"/>
              </w:rPr>
              <w:t>1,039</w:t>
            </w:r>
          </w:p>
        </w:tc>
        <w:tc>
          <w:tcPr>
            <w:tcW w:w="2369" w:type="dxa"/>
            <w:vAlign w:val="center"/>
          </w:tcPr>
          <w:p w:rsidR="00000000" w:rsidRDefault="00216019">
            <w:pPr>
              <w:jc w:val="center"/>
              <w:rPr>
                <w:sz w:val="20"/>
              </w:rPr>
            </w:pPr>
            <w:r>
              <w:rPr>
                <w:sz w:val="20"/>
              </w:rPr>
              <w:t>6.9%</w:t>
            </w:r>
          </w:p>
        </w:tc>
      </w:tr>
      <w:tr w:rsidR="00000000">
        <w:tblPrEx>
          <w:tblCellMar>
            <w:top w:w="0" w:type="dxa"/>
            <w:bottom w:w="0" w:type="dxa"/>
          </w:tblCellMar>
        </w:tblPrEx>
        <w:tc>
          <w:tcPr>
            <w:tcW w:w="1623" w:type="dxa"/>
            <w:vAlign w:val="center"/>
          </w:tcPr>
          <w:p w:rsidR="00000000" w:rsidRDefault="00216019">
            <w:pPr>
              <w:rPr>
                <w:b/>
                <w:sz w:val="18"/>
              </w:rPr>
            </w:pPr>
            <w:r>
              <w:rPr>
                <w:b/>
                <w:sz w:val="18"/>
              </w:rPr>
              <w:t>10-12 years</w:t>
            </w:r>
          </w:p>
        </w:tc>
        <w:tc>
          <w:tcPr>
            <w:tcW w:w="2530" w:type="dxa"/>
            <w:vAlign w:val="center"/>
          </w:tcPr>
          <w:p w:rsidR="00000000" w:rsidRDefault="00216019">
            <w:pPr>
              <w:jc w:val="center"/>
              <w:rPr>
                <w:sz w:val="20"/>
              </w:rPr>
            </w:pPr>
            <w:r>
              <w:rPr>
                <w:sz w:val="20"/>
              </w:rPr>
              <w:t>93</w:t>
            </w:r>
          </w:p>
        </w:tc>
        <w:tc>
          <w:tcPr>
            <w:tcW w:w="1895" w:type="dxa"/>
            <w:vAlign w:val="center"/>
          </w:tcPr>
          <w:p w:rsidR="00000000" w:rsidRDefault="00216019">
            <w:pPr>
              <w:jc w:val="center"/>
              <w:rPr>
                <w:sz w:val="20"/>
              </w:rPr>
            </w:pPr>
            <w:r>
              <w:rPr>
                <w:sz w:val="20"/>
              </w:rPr>
              <w:t>1,033</w:t>
            </w:r>
          </w:p>
        </w:tc>
        <w:tc>
          <w:tcPr>
            <w:tcW w:w="2369" w:type="dxa"/>
            <w:vAlign w:val="center"/>
          </w:tcPr>
          <w:p w:rsidR="00000000" w:rsidRDefault="00216019">
            <w:pPr>
              <w:jc w:val="center"/>
              <w:rPr>
                <w:sz w:val="20"/>
              </w:rPr>
            </w:pPr>
            <w:r>
              <w:rPr>
                <w:sz w:val="20"/>
              </w:rPr>
              <w:t>9.0%</w:t>
            </w:r>
          </w:p>
        </w:tc>
      </w:tr>
      <w:tr w:rsidR="00000000">
        <w:tblPrEx>
          <w:tblCellMar>
            <w:top w:w="0" w:type="dxa"/>
            <w:bottom w:w="0" w:type="dxa"/>
          </w:tblCellMar>
        </w:tblPrEx>
        <w:tc>
          <w:tcPr>
            <w:tcW w:w="1623" w:type="dxa"/>
            <w:vAlign w:val="center"/>
          </w:tcPr>
          <w:p w:rsidR="00000000" w:rsidRDefault="00216019">
            <w:pPr>
              <w:rPr>
                <w:b/>
                <w:sz w:val="18"/>
              </w:rPr>
            </w:pPr>
            <w:r>
              <w:rPr>
                <w:b/>
                <w:sz w:val="18"/>
              </w:rPr>
              <w:t>13-15 years</w:t>
            </w:r>
          </w:p>
        </w:tc>
        <w:tc>
          <w:tcPr>
            <w:tcW w:w="2530" w:type="dxa"/>
            <w:vAlign w:val="center"/>
          </w:tcPr>
          <w:p w:rsidR="00000000" w:rsidRDefault="00216019">
            <w:pPr>
              <w:jc w:val="center"/>
              <w:rPr>
                <w:sz w:val="20"/>
              </w:rPr>
            </w:pPr>
            <w:r>
              <w:rPr>
                <w:sz w:val="20"/>
              </w:rPr>
              <w:t>57</w:t>
            </w:r>
          </w:p>
        </w:tc>
        <w:tc>
          <w:tcPr>
            <w:tcW w:w="1895" w:type="dxa"/>
            <w:vAlign w:val="center"/>
          </w:tcPr>
          <w:p w:rsidR="00000000" w:rsidRDefault="00216019">
            <w:pPr>
              <w:jc w:val="center"/>
              <w:rPr>
                <w:sz w:val="20"/>
              </w:rPr>
            </w:pPr>
            <w:r>
              <w:rPr>
                <w:sz w:val="20"/>
              </w:rPr>
              <w:t>892</w:t>
            </w:r>
          </w:p>
        </w:tc>
        <w:tc>
          <w:tcPr>
            <w:tcW w:w="2369" w:type="dxa"/>
            <w:vAlign w:val="center"/>
          </w:tcPr>
          <w:p w:rsidR="00000000" w:rsidRDefault="00216019">
            <w:pPr>
              <w:jc w:val="center"/>
              <w:rPr>
                <w:sz w:val="20"/>
              </w:rPr>
            </w:pPr>
            <w:r>
              <w:rPr>
                <w:sz w:val="20"/>
              </w:rPr>
              <w:t>6.4%</w:t>
            </w:r>
          </w:p>
        </w:tc>
      </w:tr>
      <w:tr w:rsidR="00000000">
        <w:tblPrEx>
          <w:tblCellMar>
            <w:top w:w="0" w:type="dxa"/>
            <w:bottom w:w="0" w:type="dxa"/>
          </w:tblCellMar>
        </w:tblPrEx>
        <w:tc>
          <w:tcPr>
            <w:tcW w:w="1623" w:type="dxa"/>
            <w:tcBorders>
              <w:bottom w:val="single" w:sz="6" w:space="0" w:color="000000"/>
            </w:tcBorders>
            <w:vAlign w:val="center"/>
          </w:tcPr>
          <w:p w:rsidR="00000000" w:rsidRDefault="00216019">
            <w:pPr>
              <w:rPr>
                <w:b/>
                <w:sz w:val="18"/>
              </w:rPr>
            </w:pPr>
            <w:r>
              <w:rPr>
                <w:b/>
                <w:sz w:val="18"/>
              </w:rPr>
              <w:t>16-18 years</w:t>
            </w:r>
          </w:p>
        </w:tc>
        <w:tc>
          <w:tcPr>
            <w:tcW w:w="2530" w:type="dxa"/>
            <w:tcBorders>
              <w:bottom w:val="single" w:sz="6" w:space="0" w:color="000000"/>
            </w:tcBorders>
            <w:vAlign w:val="center"/>
          </w:tcPr>
          <w:p w:rsidR="00000000" w:rsidRDefault="00216019">
            <w:pPr>
              <w:jc w:val="center"/>
              <w:rPr>
                <w:sz w:val="20"/>
              </w:rPr>
            </w:pPr>
            <w:r>
              <w:rPr>
                <w:sz w:val="20"/>
              </w:rPr>
              <w:t>24</w:t>
            </w:r>
          </w:p>
        </w:tc>
        <w:tc>
          <w:tcPr>
            <w:tcW w:w="1895" w:type="dxa"/>
            <w:tcBorders>
              <w:bottom w:val="single" w:sz="6" w:space="0" w:color="000000"/>
            </w:tcBorders>
            <w:vAlign w:val="center"/>
          </w:tcPr>
          <w:p w:rsidR="00000000" w:rsidRDefault="00216019">
            <w:pPr>
              <w:jc w:val="center"/>
              <w:rPr>
                <w:sz w:val="20"/>
              </w:rPr>
            </w:pPr>
            <w:r>
              <w:rPr>
                <w:sz w:val="20"/>
              </w:rPr>
              <w:t>753</w:t>
            </w:r>
          </w:p>
        </w:tc>
        <w:tc>
          <w:tcPr>
            <w:tcW w:w="2369" w:type="dxa"/>
            <w:tcBorders>
              <w:bottom w:val="single" w:sz="6" w:space="0" w:color="000000"/>
            </w:tcBorders>
            <w:vAlign w:val="center"/>
          </w:tcPr>
          <w:p w:rsidR="00000000" w:rsidRDefault="00216019">
            <w:pPr>
              <w:jc w:val="center"/>
              <w:rPr>
                <w:sz w:val="20"/>
              </w:rPr>
            </w:pPr>
            <w:r>
              <w:rPr>
                <w:sz w:val="20"/>
              </w:rPr>
              <w:t>3.2%</w:t>
            </w:r>
          </w:p>
        </w:tc>
      </w:tr>
      <w:tr w:rsidR="00000000">
        <w:tblPrEx>
          <w:tblCellMar>
            <w:top w:w="0" w:type="dxa"/>
            <w:bottom w:w="0" w:type="dxa"/>
          </w:tblCellMar>
        </w:tblPrEx>
        <w:tc>
          <w:tcPr>
            <w:tcW w:w="1623" w:type="dxa"/>
            <w:tcBorders>
              <w:top w:val="single" w:sz="6" w:space="0" w:color="000000"/>
              <w:bottom w:val="thickThinSmallGap" w:sz="24" w:space="0" w:color="auto"/>
            </w:tcBorders>
            <w:vAlign w:val="center"/>
          </w:tcPr>
          <w:p w:rsidR="00000000" w:rsidRDefault="00216019">
            <w:pPr>
              <w:rPr>
                <w:b/>
                <w:sz w:val="18"/>
              </w:rPr>
            </w:pPr>
            <w:r>
              <w:rPr>
                <w:b/>
                <w:sz w:val="18"/>
              </w:rPr>
              <w:t>Total</w:t>
            </w:r>
          </w:p>
        </w:tc>
        <w:tc>
          <w:tcPr>
            <w:tcW w:w="2530" w:type="dxa"/>
            <w:tcBorders>
              <w:top w:val="single" w:sz="6" w:space="0" w:color="000000"/>
              <w:bottom w:val="thickThinSmallGap" w:sz="24" w:space="0" w:color="auto"/>
            </w:tcBorders>
            <w:vAlign w:val="center"/>
          </w:tcPr>
          <w:p w:rsidR="00000000" w:rsidRDefault="00216019">
            <w:pPr>
              <w:jc w:val="center"/>
              <w:rPr>
                <w:sz w:val="20"/>
              </w:rPr>
            </w:pPr>
            <w:r>
              <w:rPr>
                <w:sz w:val="20"/>
              </w:rPr>
              <w:t>267</w:t>
            </w:r>
          </w:p>
        </w:tc>
        <w:tc>
          <w:tcPr>
            <w:tcW w:w="1895" w:type="dxa"/>
            <w:tcBorders>
              <w:top w:val="single" w:sz="6" w:space="0" w:color="000000"/>
              <w:bottom w:val="thickThinSmallGap" w:sz="24" w:space="0" w:color="auto"/>
            </w:tcBorders>
            <w:vAlign w:val="center"/>
          </w:tcPr>
          <w:p w:rsidR="00000000" w:rsidRDefault="00216019">
            <w:pPr>
              <w:jc w:val="center"/>
              <w:rPr>
                <w:sz w:val="20"/>
              </w:rPr>
            </w:pPr>
            <w:r>
              <w:rPr>
                <w:sz w:val="20"/>
              </w:rPr>
              <w:t>4,947</w:t>
            </w:r>
          </w:p>
        </w:tc>
        <w:tc>
          <w:tcPr>
            <w:tcW w:w="2369" w:type="dxa"/>
            <w:tcBorders>
              <w:top w:val="single" w:sz="6" w:space="0" w:color="000000"/>
              <w:bottom w:val="thickThinSmallGap" w:sz="24" w:space="0" w:color="auto"/>
            </w:tcBorders>
            <w:vAlign w:val="center"/>
          </w:tcPr>
          <w:p w:rsidR="00000000" w:rsidRDefault="00216019">
            <w:pPr>
              <w:jc w:val="center"/>
              <w:rPr>
                <w:sz w:val="20"/>
              </w:rPr>
            </w:pPr>
            <w:r>
              <w:rPr>
                <w:sz w:val="20"/>
              </w:rPr>
              <w:t>5.4%</w:t>
            </w:r>
          </w:p>
        </w:tc>
      </w:tr>
    </w:tbl>
    <w:p w:rsidR="00000000" w:rsidRDefault="00216019"/>
    <w:p w:rsidR="00000000" w:rsidRDefault="00216019"/>
    <w:p w:rsidR="00000000" w:rsidRDefault="00216019">
      <w:r>
        <w:t xml:space="preserve">To better understand the influence of the denominator </w:t>
      </w:r>
      <w:r>
        <w:t>used to calculate prevalence rates of ADHD in this population, Figure 1 shows the difference in prevalence rates of children diagnosed with ADHD based on the two different denominators used in parts 1 and 2. The rate of ADHD is higher in the group of child</w:t>
      </w:r>
      <w:r>
        <w:t>ren who have been enrolled for at least 11 months. For both rates, however, the patterns are the same with the highest rates being for children ages 10-12 years. The difference in rates may be a result of longer enrollment for children who have been diagno</w:t>
      </w:r>
      <w:r>
        <w:t xml:space="preserve">sed with a condition or may be the result of children with shorter enrollments not having been diagnosed early in their enrollment. </w:t>
      </w:r>
    </w:p>
    <w:p w:rsidR="00000000" w:rsidRDefault="00216019">
      <w:r>
        <w:br w:type="page"/>
      </w:r>
    </w:p>
    <w:p w:rsidR="00000000" w:rsidRDefault="00216019">
      <w:pPr>
        <w:jc w:val="center"/>
        <w:rPr>
          <w:b/>
          <w:bCs/>
        </w:rPr>
      </w:pPr>
      <w:r>
        <w:rPr>
          <w:b/>
          <w:bCs/>
        </w:rPr>
        <w:t>Figure 1. ADHD rates by age and enrollment period</w:t>
      </w:r>
    </w:p>
    <w:p w:rsidR="00000000" w:rsidRDefault="00216019">
      <w:r>
        <w:rPr>
          <w:noProof/>
        </w:rPr>
        <w:drawing>
          <wp:inline distT="0" distB="0" distL="0" distR="0">
            <wp:extent cx="5480050" cy="375031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00000" w:rsidRDefault="00216019"/>
    <w:p w:rsidR="00000000" w:rsidRDefault="00216019"/>
    <w:p w:rsidR="00000000" w:rsidRDefault="00216019">
      <w:pPr>
        <w:rPr>
          <w:i/>
        </w:rPr>
      </w:pPr>
      <w:r>
        <w:rPr>
          <w:i/>
        </w:rPr>
        <w:t>3) Number and rate of children with an ADH</w:t>
      </w:r>
      <w:r>
        <w:rPr>
          <w:i/>
        </w:rPr>
        <w:t>D diagnosis per 1,000 member months</w:t>
      </w:r>
    </w:p>
    <w:p w:rsidR="00000000" w:rsidRDefault="00216019"/>
    <w:p w:rsidR="00000000" w:rsidRDefault="00216019">
      <w:r>
        <w:t>Table 3 provides the number of children with ADHD per 1,000 member months. The denominator of 1,000 member months provides a standardized method for comparing populations with varying enrollment periods. Each member mon</w:t>
      </w:r>
      <w:r>
        <w:t>th is considered a unit of exposure for utilization or diagnosis. The rates across age groups are therefore, standardized and the rates not affected by the average length of enrollment. This calculation again highlights that ADHD is more prevalent in 10-12</w:t>
      </w:r>
      <w:r>
        <w:t xml:space="preserve"> year olds.</w:t>
      </w:r>
    </w:p>
    <w:p w:rsidR="00000000" w:rsidRDefault="00216019">
      <w:pPr>
        <w:jc w:val="center"/>
        <w:rPr>
          <w:b/>
          <w:bCs/>
        </w:rPr>
      </w:pPr>
    </w:p>
    <w:p w:rsidR="00000000" w:rsidRDefault="00216019">
      <w:pPr>
        <w:jc w:val="center"/>
      </w:pPr>
      <w:r>
        <w:rPr>
          <w:b/>
          <w:bCs/>
        </w:rPr>
        <w:t>Table 3. Rate of ADHD per 1,000 member months, 2001</w:t>
      </w:r>
    </w:p>
    <w:tbl>
      <w:tblPr>
        <w:tblW w:w="0" w:type="auto"/>
        <w:tblInd w:w="757" w:type="dxa"/>
        <w:tblBorders>
          <w:top w:val="nil"/>
          <w:left w:val="nil"/>
          <w:bottom w:val="nil"/>
          <w:right w:val="nil"/>
          <w:insideH w:val="single" w:sz="6" w:space="0" w:color="000000"/>
          <w:insideV w:val="single" w:sz="6" w:space="0" w:color="000000"/>
        </w:tblBorders>
        <w:tblLook w:val="00BF"/>
      </w:tblPr>
      <w:tblGrid>
        <w:gridCol w:w="1623"/>
        <w:gridCol w:w="2530"/>
        <w:gridCol w:w="1895"/>
        <w:gridCol w:w="2369"/>
      </w:tblGrid>
      <w:tr w:rsidR="00000000">
        <w:tblPrEx>
          <w:tblCellMar>
            <w:top w:w="0" w:type="dxa"/>
            <w:bottom w:w="0" w:type="dxa"/>
          </w:tblCellMar>
        </w:tblPrEx>
        <w:tc>
          <w:tcPr>
            <w:tcW w:w="1623" w:type="dxa"/>
            <w:tcBorders>
              <w:top w:val="thinThickSmallGap" w:sz="24" w:space="0" w:color="auto"/>
              <w:bottom w:val="single" w:sz="6" w:space="0" w:color="000000"/>
            </w:tcBorders>
          </w:tcPr>
          <w:p w:rsidR="00000000" w:rsidRDefault="00216019">
            <w:pPr>
              <w:rPr>
                <w:b/>
                <w:sz w:val="18"/>
              </w:rPr>
            </w:pPr>
            <w:r>
              <w:rPr>
                <w:b/>
                <w:sz w:val="18"/>
              </w:rPr>
              <w:br/>
              <w:t>Age group</w:t>
            </w:r>
          </w:p>
        </w:tc>
        <w:tc>
          <w:tcPr>
            <w:tcW w:w="2530" w:type="dxa"/>
            <w:tcBorders>
              <w:top w:val="thinThickSmallGap" w:sz="24" w:space="0" w:color="auto"/>
              <w:bottom w:val="single" w:sz="6" w:space="0" w:color="000000"/>
            </w:tcBorders>
          </w:tcPr>
          <w:p w:rsidR="00000000" w:rsidRDefault="00216019">
            <w:pPr>
              <w:jc w:val="center"/>
              <w:rPr>
                <w:b/>
                <w:sz w:val="18"/>
              </w:rPr>
            </w:pPr>
            <w:r>
              <w:rPr>
                <w:b/>
                <w:sz w:val="18"/>
              </w:rPr>
              <w:br/>
              <w:t>Number of member months</w:t>
            </w:r>
          </w:p>
        </w:tc>
        <w:tc>
          <w:tcPr>
            <w:tcW w:w="1895" w:type="dxa"/>
            <w:tcBorders>
              <w:top w:val="thinThickSmallGap" w:sz="24" w:space="0" w:color="auto"/>
              <w:bottom w:val="single" w:sz="6" w:space="0" w:color="000000"/>
            </w:tcBorders>
          </w:tcPr>
          <w:p w:rsidR="00000000" w:rsidRDefault="00216019">
            <w:pPr>
              <w:jc w:val="center"/>
              <w:rPr>
                <w:b/>
                <w:sz w:val="18"/>
              </w:rPr>
            </w:pPr>
            <w:r>
              <w:rPr>
                <w:b/>
                <w:sz w:val="18"/>
              </w:rPr>
              <w:br/>
              <w:t>Number with ADHD</w:t>
            </w:r>
          </w:p>
        </w:tc>
        <w:tc>
          <w:tcPr>
            <w:tcW w:w="2369" w:type="dxa"/>
            <w:tcBorders>
              <w:top w:val="thinThickSmallGap" w:sz="24" w:space="0" w:color="auto"/>
              <w:bottom w:val="single" w:sz="6" w:space="0" w:color="000000"/>
            </w:tcBorders>
            <w:vAlign w:val="bottom"/>
          </w:tcPr>
          <w:p w:rsidR="00000000" w:rsidRDefault="00216019">
            <w:pPr>
              <w:jc w:val="center"/>
              <w:rPr>
                <w:b/>
                <w:sz w:val="18"/>
              </w:rPr>
            </w:pPr>
            <w:r>
              <w:rPr>
                <w:b/>
                <w:sz w:val="18"/>
              </w:rPr>
              <w:t>Number per 1,000 member months</w:t>
            </w:r>
          </w:p>
        </w:tc>
      </w:tr>
      <w:tr w:rsidR="00000000">
        <w:tblPrEx>
          <w:tblCellMar>
            <w:top w:w="0" w:type="dxa"/>
            <w:bottom w:w="0" w:type="dxa"/>
          </w:tblCellMar>
        </w:tblPrEx>
        <w:tc>
          <w:tcPr>
            <w:tcW w:w="1623" w:type="dxa"/>
            <w:tcBorders>
              <w:top w:val="single" w:sz="6" w:space="0" w:color="000000"/>
            </w:tcBorders>
            <w:vAlign w:val="center"/>
          </w:tcPr>
          <w:p w:rsidR="00000000" w:rsidRDefault="00216019">
            <w:pPr>
              <w:rPr>
                <w:b/>
                <w:sz w:val="18"/>
              </w:rPr>
            </w:pPr>
            <w:r>
              <w:rPr>
                <w:b/>
                <w:sz w:val="18"/>
              </w:rPr>
              <w:t>3-6 years</w:t>
            </w:r>
          </w:p>
        </w:tc>
        <w:tc>
          <w:tcPr>
            <w:tcW w:w="2530" w:type="dxa"/>
            <w:tcBorders>
              <w:top w:val="single" w:sz="6" w:space="0" w:color="000000"/>
            </w:tcBorders>
            <w:vAlign w:val="center"/>
          </w:tcPr>
          <w:p w:rsidR="00000000" w:rsidRDefault="00216019">
            <w:pPr>
              <w:jc w:val="center"/>
              <w:rPr>
                <w:sz w:val="20"/>
              </w:rPr>
            </w:pPr>
            <w:r>
              <w:rPr>
                <w:sz w:val="20"/>
              </w:rPr>
              <w:t>33,253</w:t>
            </w:r>
          </w:p>
        </w:tc>
        <w:tc>
          <w:tcPr>
            <w:tcW w:w="1895" w:type="dxa"/>
            <w:tcBorders>
              <w:top w:val="single" w:sz="6" w:space="0" w:color="000000"/>
            </w:tcBorders>
            <w:vAlign w:val="center"/>
          </w:tcPr>
          <w:p w:rsidR="00000000" w:rsidRDefault="00216019">
            <w:pPr>
              <w:jc w:val="center"/>
              <w:rPr>
                <w:sz w:val="20"/>
              </w:rPr>
            </w:pPr>
            <w:r>
              <w:rPr>
                <w:sz w:val="20"/>
              </w:rPr>
              <w:t>49</w:t>
            </w:r>
          </w:p>
        </w:tc>
        <w:tc>
          <w:tcPr>
            <w:tcW w:w="2369" w:type="dxa"/>
            <w:tcBorders>
              <w:top w:val="single" w:sz="6" w:space="0" w:color="000000"/>
            </w:tcBorders>
            <w:vAlign w:val="center"/>
          </w:tcPr>
          <w:p w:rsidR="00000000" w:rsidRDefault="00216019">
            <w:pPr>
              <w:jc w:val="center"/>
              <w:rPr>
                <w:sz w:val="20"/>
              </w:rPr>
            </w:pPr>
            <w:r>
              <w:rPr>
                <w:sz w:val="20"/>
              </w:rPr>
              <w:t>1.47</w:t>
            </w:r>
          </w:p>
        </w:tc>
      </w:tr>
      <w:tr w:rsidR="00000000">
        <w:tblPrEx>
          <w:tblCellMar>
            <w:top w:w="0" w:type="dxa"/>
            <w:bottom w:w="0" w:type="dxa"/>
          </w:tblCellMar>
        </w:tblPrEx>
        <w:tc>
          <w:tcPr>
            <w:tcW w:w="1623" w:type="dxa"/>
            <w:vAlign w:val="center"/>
          </w:tcPr>
          <w:p w:rsidR="00000000" w:rsidRDefault="00216019">
            <w:pPr>
              <w:rPr>
                <w:b/>
                <w:sz w:val="18"/>
              </w:rPr>
            </w:pPr>
            <w:r>
              <w:rPr>
                <w:b/>
                <w:sz w:val="18"/>
              </w:rPr>
              <w:t>7-9 years</w:t>
            </w:r>
          </w:p>
        </w:tc>
        <w:tc>
          <w:tcPr>
            <w:tcW w:w="2530" w:type="dxa"/>
            <w:vAlign w:val="center"/>
          </w:tcPr>
          <w:p w:rsidR="00000000" w:rsidRDefault="00216019">
            <w:pPr>
              <w:jc w:val="center"/>
              <w:rPr>
                <w:sz w:val="20"/>
              </w:rPr>
            </w:pPr>
            <w:r>
              <w:rPr>
                <w:sz w:val="20"/>
              </w:rPr>
              <w:t>26,529</w:t>
            </w:r>
          </w:p>
        </w:tc>
        <w:tc>
          <w:tcPr>
            <w:tcW w:w="1895" w:type="dxa"/>
            <w:vAlign w:val="center"/>
          </w:tcPr>
          <w:p w:rsidR="00000000" w:rsidRDefault="00216019">
            <w:pPr>
              <w:jc w:val="center"/>
              <w:rPr>
                <w:sz w:val="20"/>
              </w:rPr>
            </w:pPr>
            <w:r>
              <w:rPr>
                <w:sz w:val="20"/>
              </w:rPr>
              <w:t>166</w:t>
            </w:r>
          </w:p>
        </w:tc>
        <w:tc>
          <w:tcPr>
            <w:tcW w:w="2369" w:type="dxa"/>
            <w:vAlign w:val="center"/>
          </w:tcPr>
          <w:p w:rsidR="00000000" w:rsidRDefault="00216019">
            <w:pPr>
              <w:jc w:val="center"/>
              <w:rPr>
                <w:sz w:val="20"/>
              </w:rPr>
            </w:pPr>
            <w:r>
              <w:rPr>
                <w:sz w:val="20"/>
              </w:rPr>
              <w:t>6.26</w:t>
            </w:r>
          </w:p>
        </w:tc>
      </w:tr>
      <w:tr w:rsidR="00000000">
        <w:tblPrEx>
          <w:tblCellMar>
            <w:top w:w="0" w:type="dxa"/>
            <w:bottom w:w="0" w:type="dxa"/>
          </w:tblCellMar>
        </w:tblPrEx>
        <w:tc>
          <w:tcPr>
            <w:tcW w:w="1623" w:type="dxa"/>
            <w:vAlign w:val="center"/>
          </w:tcPr>
          <w:p w:rsidR="00000000" w:rsidRDefault="00216019">
            <w:pPr>
              <w:rPr>
                <w:b/>
                <w:sz w:val="18"/>
              </w:rPr>
            </w:pPr>
            <w:r>
              <w:rPr>
                <w:b/>
                <w:sz w:val="18"/>
              </w:rPr>
              <w:t>10-12 years</w:t>
            </w:r>
          </w:p>
        </w:tc>
        <w:tc>
          <w:tcPr>
            <w:tcW w:w="2530" w:type="dxa"/>
            <w:vAlign w:val="center"/>
          </w:tcPr>
          <w:p w:rsidR="00000000" w:rsidRDefault="00216019">
            <w:pPr>
              <w:jc w:val="center"/>
              <w:rPr>
                <w:sz w:val="20"/>
              </w:rPr>
            </w:pPr>
            <w:r>
              <w:rPr>
                <w:sz w:val="20"/>
              </w:rPr>
              <w:t>25,540</w:t>
            </w:r>
          </w:p>
        </w:tc>
        <w:tc>
          <w:tcPr>
            <w:tcW w:w="1895" w:type="dxa"/>
            <w:vAlign w:val="center"/>
          </w:tcPr>
          <w:p w:rsidR="00000000" w:rsidRDefault="00216019">
            <w:pPr>
              <w:jc w:val="center"/>
              <w:rPr>
                <w:sz w:val="20"/>
              </w:rPr>
            </w:pPr>
            <w:r>
              <w:rPr>
                <w:sz w:val="20"/>
              </w:rPr>
              <w:t>185</w:t>
            </w:r>
          </w:p>
        </w:tc>
        <w:tc>
          <w:tcPr>
            <w:tcW w:w="2369" w:type="dxa"/>
            <w:vAlign w:val="center"/>
          </w:tcPr>
          <w:p w:rsidR="00000000" w:rsidRDefault="00216019">
            <w:pPr>
              <w:jc w:val="center"/>
              <w:rPr>
                <w:sz w:val="20"/>
              </w:rPr>
            </w:pPr>
            <w:r>
              <w:rPr>
                <w:sz w:val="20"/>
              </w:rPr>
              <w:t>7.24</w:t>
            </w:r>
          </w:p>
        </w:tc>
      </w:tr>
      <w:tr w:rsidR="00000000">
        <w:tblPrEx>
          <w:tblCellMar>
            <w:top w:w="0" w:type="dxa"/>
            <w:bottom w:w="0" w:type="dxa"/>
          </w:tblCellMar>
        </w:tblPrEx>
        <w:tc>
          <w:tcPr>
            <w:tcW w:w="1623" w:type="dxa"/>
            <w:vAlign w:val="center"/>
          </w:tcPr>
          <w:p w:rsidR="00000000" w:rsidRDefault="00216019">
            <w:pPr>
              <w:rPr>
                <w:b/>
                <w:sz w:val="18"/>
              </w:rPr>
            </w:pPr>
            <w:r>
              <w:rPr>
                <w:b/>
                <w:sz w:val="18"/>
              </w:rPr>
              <w:t>13-15 years</w:t>
            </w:r>
          </w:p>
        </w:tc>
        <w:tc>
          <w:tcPr>
            <w:tcW w:w="2530" w:type="dxa"/>
            <w:vAlign w:val="center"/>
          </w:tcPr>
          <w:p w:rsidR="00000000" w:rsidRDefault="00216019">
            <w:pPr>
              <w:jc w:val="center"/>
              <w:rPr>
                <w:sz w:val="20"/>
              </w:rPr>
            </w:pPr>
            <w:r>
              <w:rPr>
                <w:sz w:val="20"/>
              </w:rPr>
              <w:t>21,868</w:t>
            </w:r>
          </w:p>
        </w:tc>
        <w:tc>
          <w:tcPr>
            <w:tcW w:w="1895" w:type="dxa"/>
            <w:vAlign w:val="center"/>
          </w:tcPr>
          <w:p w:rsidR="00000000" w:rsidRDefault="00216019">
            <w:pPr>
              <w:jc w:val="center"/>
              <w:rPr>
                <w:sz w:val="20"/>
              </w:rPr>
            </w:pPr>
            <w:r>
              <w:rPr>
                <w:sz w:val="20"/>
              </w:rPr>
              <w:t>120</w:t>
            </w:r>
          </w:p>
        </w:tc>
        <w:tc>
          <w:tcPr>
            <w:tcW w:w="2369" w:type="dxa"/>
            <w:vAlign w:val="center"/>
          </w:tcPr>
          <w:p w:rsidR="00000000" w:rsidRDefault="00216019">
            <w:pPr>
              <w:jc w:val="center"/>
              <w:rPr>
                <w:sz w:val="20"/>
              </w:rPr>
            </w:pPr>
            <w:r>
              <w:rPr>
                <w:sz w:val="20"/>
              </w:rPr>
              <w:t>5.49</w:t>
            </w:r>
          </w:p>
        </w:tc>
      </w:tr>
      <w:tr w:rsidR="00000000">
        <w:tblPrEx>
          <w:tblCellMar>
            <w:top w:w="0" w:type="dxa"/>
            <w:bottom w:w="0" w:type="dxa"/>
          </w:tblCellMar>
        </w:tblPrEx>
        <w:tc>
          <w:tcPr>
            <w:tcW w:w="1623" w:type="dxa"/>
            <w:tcBorders>
              <w:bottom w:val="single" w:sz="6" w:space="0" w:color="000000"/>
            </w:tcBorders>
            <w:vAlign w:val="center"/>
          </w:tcPr>
          <w:p w:rsidR="00000000" w:rsidRDefault="00216019">
            <w:pPr>
              <w:rPr>
                <w:b/>
                <w:sz w:val="18"/>
              </w:rPr>
            </w:pPr>
            <w:r>
              <w:rPr>
                <w:b/>
                <w:sz w:val="18"/>
              </w:rPr>
              <w:t>16-18 years</w:t>
            </w:r>
          </w:p>
        </w:tc>
        <w:tc>
          <w:tcPr>
            <w:tcW w:w="2530" w:type="dxa"/>
            <w:tcBorders>
              <w:bottom w:val="single" w:sz="6" w:space="0" w:color="000000"/>
            </w:tcBorders>
            <w:vAlign w:val="center"/>
          </w:tcPr>
          <w:p w:rsidR="00000000" w:rsidRDefault="00216019">
            <w:pPr>
              <w:jc w:val="center"/>
              <w:rPr>
                <w:sz w:val="20"/>
              </w:rPr>
            </w:pPr>
            <w:r>
              <w:rPr>
                <w:sz w:val="20"/>
              </w:rPr>
              <w:t>17,580</w:t>
            </w:r>
          </w:p>
        </w:tc>
        <w:tc>
          <w:tcPr>
            <w:tcW w:w="1895" w:type="dxa"/>
            <w:tcBorders>
              <w:bottom w:val="single" w:sz="6" w:space="0" w:color="000000"/>
            </w:tcBorders>
            <w:vAlign w:val="center"/>
          </w:tcPr>
          <w:p w:rsidR="00000000" w:rsidRDefault="00216019">
            <w:pPr>
              <w:jc w:val="center"/>
              <w:rPr>
                <w:sz w:val="20"/>
              </w:rPr>
            </w:pPr>
            <w:r>
              <w:rPr>
                <w:sz w:val="20"/>
              </w:rPr>
              <w:t>43</w:t>
            </w:r>
          </w:p>
        </w:tc>
        <w:tc>
          <w:tcPr>
            <w:tcW w:w="2369" w:type="dxa"/>
            <w:tcBorders>
              <w:bottom w:val="single" w:sz="6" w:space="0" w:color="000000"/>
            </w:tcBorders>
            <w:vAlign w:val="center"/>
          </w:tcPr>
          <w:p w:rsidR="00000000" w:rsidRDefault="00216019">
            <w:pPr>
              <w:jc w:val="center"/>
              <w:rPr>
                <w:sz w:val="20"/>
              </w:rPr>
            </w:pPr>
            <w:r>
              <w:rPr>
                <w:sz w:val="20"/>
              </w:rPr>
              <w:t>2.45</w:t>
            </w:r>
          </w:p>
        </w:tc>
      </w:tr>
      <w:tr w:rsidR="00000000">
        <w:tblPrEx>
          <w:tblCellMar>
            <w:top w:w="0" w:type="dxa"/>
            <w:bottom w:w="0" w:type="dxa"/>
          </w:tblCellMar>
        </w:tblPrEx>
        <w:tc>
          <w:tcPr>
            <w:tcW w:w="1623" w:type="dxa"/>
            <w:tcBorders>
              <w:top w:val="single" w:sz="6" w:space="0" w:color="000000"/>
              <w:bottom w:val="thickThinSmallGap" w:sz="24" w:space="0" w:color="auto"/>
            </w:tcBorders>
            <w:vAlign w:val="center"/>
          </w:tcPr>
          <w:p w:rsidR="00000000" w:rsidRDefault="00216019">
            <w:pPr>
              <w:rPr>
                <w:b/>
                <w:sz w:val="18"/>
              </w:rPr>
            </w:pPr>
            <w:r>
              <w:rPr>
                <w:b/>
                <w:sz w:val="18"/>
              </w:rPr>
              <w:t>Total</w:t>
            </w:r>
          </w:p>
        </w:tc>
        <w:tc>
          <w:tcPr>
            <w:tcW w:w="2530" w:type="dxa"/>
            <w:tcBorders>
              <w:top w:val="single" w:sz="6" w:space="0" w:color="000000"/>
              <w:bottom w:val="thickThinSmallGap" w:sz="24" w:space="0" w:color="auto"/>
            </w:tcBorders>
            <w:vAlign w:val="center"/>
          </w:tcPr>
          <w:p w:rsidR="00000000" w:rsidRDefault="00216019">
            <w:pPr>
              <w:jc w:val="center"/>
              <w:rPr>
                <w:sz w:val="20"/>
              </w:rPr>
            </w:pPr>
            <w:r>
              <w:rPr>
                <w:sz w:val="20"/>
              </w:rPr>
              <w:t>124,770</w:t>
            </w:r>
          </w:p>
        </w:tc>
        <w:tc>
          <w:tcPr>
            <w:tcW w:w="1895" w:type="dxa"/>
            <w:tcBorders>
              <w:top w:val="single" w:sz="6" w:space="0" w:color="000000"/>
              <w:bottom w:val="thickThinSmallGap" w:sz="24" w:space="0" w:color="auto"/>
            </w:tcBorders>
            <w:vAlign w:val="center"/>
          </w:tcPr>
          <w:p w:rsidR="00000000" w:rsidRDefault="00216019">
            <w:pPr>
              <w:jc w:val="center"/>
              <w:rPr>
                <w:sz w:val="20"/>
              </w:rPr>
            </w:pPr>
            <w:r>
              <w:rPr>
                <w:sz w:val="20"/>
              </w:rPr>
              <w:t>563</w:t>
            </w:r>
          </w:p>
        </w:tc>
        <w:tc>
          <w:tcPr>
            <w:tcW w:w="2369" w:type="dxa"/>
            <w:tcBorders>
              <w:top w:val="single" w:sz="6" w:space="0" w:color="000000"/>
              <w:bottom w:val="thickThinSmallGap" w:sz="24" w:space="0" w:color="auto"/>
            </w:tcBorders>
            <w:vAlign w:val="center"/>
          </w:tcPr>
          <w:p w:rsidR="00000000" w:rsidRDefault="00216019">
            <w:pPr>
              <w:jc w:val="center"/>
              <w:rPr>
                <w:sz w:val="20"/>
              </w:rPr>
            </w:pPr>
            <w:r>
              <w:rPr>
                <w:sz w:val="20"/>
              </w:rPr>
              <w:t>4.51</w:t>
            </w:r>
          </w:p>
        </w:tc>
      </w:tr>
    </w:tbl>
    <w:p w:rsidR="00000000" w:rsidRDefault="00216019"/>
    <w:p w:rsidR="00000000" w:rsidRDefault="00216019"/>
    <w:p w:rsidR="00000000" w:rsidRDefault="00216019">
      <w:pPr>
        <w:rPr>
          <w:i/>
        </w:rPr>
      </w:pPr>
      <w:r>
        <w:rPr>
          <w:i/>
        </w:rPr>
        <w:br w:type="page"/>
      </w:r>
      <w:r>
        <w:rPr>
          <w:i/>
        </w:rPr>
        <w:lastRenderedPageBreak/>
        <w:t>4) Number of children with “problems with attention” reported on the survey</w:t>
      </w:r>
    </w:p>
    <w:p w:rsidR="00000000" w:rsidRDefault="00216019"/>
    <w:p w:rsidR="00000000" w:rsidRDefault="00216019">
      <w:r>
        <w:t>Figure 2 shows the number of children for whom parents reported ‘attention problems” as a condition their child had fo</w:t>
      </w:r>
      <w:r>
        <w:t>r the previous three months. Similar to the encounter data, the highest rates were reported for children ages 10-12 (13%) however the rate for children 7-9 was also 13%.</w:t>
      </w:r>
      <w:r>
        <w:rPr>
          <w:rStyle w:val="FootnoteReference"/>
        </w:rPr>
        <w:footnoteReference w:customMarkFollows="1" w:id="7"/>
        <w:t>1</w:t>
      </w:r>
    </w:p>
    <w:p w:rsidR="00000000" w:rsidRDefault="00216019"/>
    <w:p w:rsidR="00000000" w:rsidRDefault="00216019">
      <w:pPr>
        <w:jc w:val="center"/>
        <w:rPr>
          <w:b/>
          <w:bCs/>
        </w:rPr>
      </w:pPr>
      <w:r>
        <w:rPr>
          <w:b/>
          <w:bCs/>
        </w:rPr>
        <w:t>Figure 2. Percent of children with “attention problems”</w:t>
      </w:r>
      <w:r>
        <w:rPr>
          <w:b/>
          <w:bCs/>
        </w:rPr>
        <w:br/>
        <w:t>reported on the survey</w:t>
      </w:r>
    </w:p>
    <w:p w:rsidR="00000000" w:rsidRDefault="00216019">
      <w:pPr>
        <w:jc w:val="center"/>
      </w:pPr>
      <w:r>
        <w:rPr>
          <w:noProof/>
        </w:rPr>
        <w:drawing>
          <wp:inline distT="0" distB="0" distL="0" distR="0">
            <wp:extent cx="4346575" cy="296862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00000" w:rsidRDefault="00216019"/>
    <w:p w:rsidR="00000000" w:rsidRDefault="00216019">
      <w:pPr>
        <w:rPr>
          <w:b/>
          <w:bCs/>
          <w:i/>
          <w:iCs/>
        </w:rPr>
      </w:pPr>
    </w:p>
    <w:p w:rsidR="00000000" w:rsidRDefault="00216019">
      <w:pPr>
        <w:rPr>
          <w:b/>
          <w:bCs/>
          <w:i/>
          <w:iCs/>
        </w:rPr>
      </w:pPr>
      <w:r>
        <w:rPr>
          <w:b/>
          <w:bCs/>
          <w:i/>
          <w:iCs/>
        </w:rPr>
        <w:t>Baseline demographic information regarding children with a diagnosis of ADHD</w:t>
      </w:r>
    </w:p>
    <w:p w:rsidR="00000000" w:rsidRDefault="00216019"/>
    <w:p w:rsidR="00000000" w:rsidRDefault="00216019">
      <w:r>
        <w:t>The rates of children who received a service with a diagnosis of ADHD is further evaluated to determine if differences exist by:</w:t>
      </w:r>
    </w:p>
    <w:p w:rsidR="00000000" w:rsidRDefault="00216019"/>
    <w:p w:rsidR="00000000" w:rsidRDefault="00216019" w:rsidP="00216019">
      <w:pPr>
        <w:numPr>
          <w:ilvl w:val="0"/>
          <w:numId w:val="52"/>
        </w:numPr>
      </w:pPr>
      <w:r>
        <w:t>Age and gender of the ch</w:t>
      </w:r>
      <w:r>
        <w:t>ild</w:t>
      </w:r>
    </w:p>
    <w:p w:rsidR="00000000" w:rsidRDefault="00216019" w:rsidP="00216019">
      <w:pPr>
        <w:numPr>
          <w:ilvl w:val="0"/>
          <w:numId w:val="52"/>
        </w:numPr>
      </w:pPr>
      <w:r>
        <w:t>Gender and race of the child</w:t>
      </w:r>
    </w:p>
    <w:p w:rsidR="00000000" w:rsidRDefault="00216019"/>
    <w:p w:rsidR="00000000" w:rsidRDefault="00216019">
      <w:pPr>
        <w:rPr>
          <w:i/>
        </w:rPr>
      </w:pPr>
      <w:r>
        <w:rPr>
          <w:i/>
        </w:rPr>
        <w:br w:type="page"/>
      </w:r>
      <w:r>
        <w:rPr>
          <w:i/>
        </w:rPr>
        <w:lastRenderedPageBreak/>
        <w:t xml:space="preserve">1) Prevalence by age and gender </w:t>
      </w:r>
    </w:p>
    <w:p w:rsidR="00000000" w:rsidRDefault="00216019"/>
    <w:p w:rsidR="00000000" w:rsidRDefault="00216019">
      <w:r>
        <w:t>Tables 4 provide a breakdown of ADHD rates by age and gender. Boys are diagnosed with ADHD at a rate about 3 times that of girls; this pattern is consistent across all age groups.</w:t>
      </w:r>
    </w:p>
    <w:p w:rsidR="00000000" w:rsidRDefault="00216019"/>
    <w:p w:rsidR="00000000" w:rsidRDefault="00216019">
      <w:pPr>
        <w:jc w:val="center"/>
        <w:rPr>
          <w:b/>
          <w:bCs/>
        </w:rPr>
      </w:pPr>
      <w:r>
        <w:rPr>
          <w:b/>
          <w:bCs/>
        </w:rPr>
        <w:t xml:space="preserve">Table </w:t>
      </w:r>
      <w:r>
        <w:rPr>
          <w:b/>
          <w:bCs/>
        </w:rPr>
        <w:t>4. Rate of ADHD by age and gender for all enrollees, 2001</w:t>
      </w:r>
    </w:p>
    <w:tbl>
      <w:tblPr>
        <w:tblW w:w="0" w:type="auto"/>
        <w:tblInd w:w="539" w:type="dxa"/>
        <w:tblBorders>
          <w:top w:val="nil"/>
          <w:left w:val="nil"/>
          <w:bottom w:val="nil"/>
          <w:right w:val="nil"/>
          <w:insideH w:val="single" w:sz="6" w:space="0" w:color="000000"/>
          <w:insideV w:val="single" w:sz="6" w:space="0" w:color="000000"/>
        </w:tblBorders>
        <w:tblLook w:val="00BF"/>
      </w:tblPr>
      <w:tblGrid>
        <w:gridCol w:w="1326"/>
        <w:gridCol w:w="1671"/>
        <w:gridCol w:w="2216"/>
        <w:gridCol w:w="1662"/>
        <w:gridCol w:w="1981"/>
      </w:tblGrid>
      <w:tr w:rsidR="00000000">
        <w:tblPrEx>
          <w:tblCellMar>
            <w:top w:w="0" w:type="dxa"/>
            <w:bottom w:w="0" w:type="dxa"/>
          </w:tblCellMar>
        </w:tblPrEx>
        <w:tc>
          <w:tcPr>
            <w:tcW w:w="1326" w:type="dxa"/>
            <w:tcBorders>
              <w:top w:val="thinThickSmallGap" w:sz="24" w:space="0" w:color="auto"/>
              <w:bottom w:val="single" w:sz="6" w:space="0" w:color="000000"/>
            </w:tcBorders>
          </w:tcPr>
          <w:p w:rsidR="00000000" w:rsidRDefault="00216019">
            <w:pPr>
              <w:rPr>
                <w:b/>
                <w:sz w:val="18"/>
              </w:rPr>
            </w:pPr>
            <w:r>
              <w:rPr>
                <w:b/>
                <w:sz w:val="18"/>
              </w:rPr>
              <w:br/>
              <w:t>Age group</w:t>
            </w:r>
          </w:p>
        </w:tc>
        <w:tc>
          <w:tcPr>
            <w:tcW w:w="1671" w:type="dxa"/>
            <w:tcBorders>
              <w:top w:val="thinThickSmallGap" w:sz="24" w:space="0" w:color="auto"/>
              <w:bottom w:val="single" w:sz="6" w:space="0" w:color="000000"/>
            </w:tcBorders>
            <w:vAlign w:val="center"/>
          </w:tcPr>
          <w:p w:rsidR="00000000" w:rsidRDefault="00216019">
            <w:pPr>
              <w:rPr>
                <w:sz w:val="18"/>
              </w:rPr>
            </w:pPr>
            <w:r>
              <w:rPr>
                <w:sz w:val="18"/>
              </w:rPr>
              <w:t>Gender</w:t>
            </w:r>
          </w:p>
        </w:tc>
        <w:tc>
          <w:tcPr>
            <w:tcW w:w="2216" w:type="dxa"/>
            <w:tcBorders>
              <w:top w:val="thinThickSmallGap" w:sz="24" w:space="0" w:color="auto"/>
              <w:bottom w:val="single" w:sz="6" w:space="0" w:color="000000"/>
            </w:tcBorders>
          </w:tcPr>
          <w:p w:rsidR="00000000" w:rsidRDefault="00216019">
            <w:pPr>
              <w:rPr>
                <w:b/>
                <w:sz w:val="18"/>
              </w:rPr>
            </w:pPr>
            <w:r>
              <w:rPr>
                <w:b/>
                <w:sz w:val="18"/>
              </w:rPr>
              <w:br/>
              <w:t>Number with ADHD</w:t>
            </w:r>
          </w:p>
        </w:tc>
        <w:tc>
          <w:tcPr>
            <w:tcW w:w="1662" w:type="dxa"/>
            <w:tcBorders>
              <w:top w:val="thinThickSmallGap" w:sz="24" w:space="0" w:color="auto"/>
              <w:bottom w:val="single" w:sz="6" w:space="0" w:color="000000"/>
            </w:tcBorders>
          </w:tcPr>
          <w:p w:rsidR="00000000" w:rsidRDefault="00216019">
            <w:pPr>
              <w:rPr>
                <w:b/>
                <w:sz w:val="18"/>
              </w:rPr>
            </w:pPr>
            <w:r>
              <w:rPr>
                <w:b/>
                <w:sz w:val="18"/>
              </w:rPr>
              <w:br/>
              <w:t>Total Number</w:t>
            </w:r>
          </w:p>
        </w:tc>
        <w:tc>
          <w:tcPr>
            <w:tcW w:w="1981" w:type="dxa"/>
            <w:tcBorders>
              <w:top w:val="thinThickSmallGap" w:sz="24" w:space="0" w:color="auto"/>
              <w:bottom w:val="single" w:sz="6" w:space="0" w:color="000000"/>
            </w:tcBorders>
            <w:vAlign w:val="bottom"/>
          </w:tcPr>
          <w:p w:rsidR="00000000" w:rsidRDefault="00216019">
            <w:pPr>
              <w:rPr>
                <w:b/>
                <w:sz w:val="18"/>
              </w:rPr>
            </w:pPr>
            <w:r>
              <w:rPr>
                <w:b/>
                <w:sz w:val="18"/>
              </w:rPr>
              <w:t>Percent with ADHD</w:t>
            </w:r>
          </w:p>
        </w:tc>
      </w:tr>
      <w:tr w:rsidR="00000000">
        <w:tblPrEx>
          <w:tblCellMar>
            <w:top w:w="0" w:type="dxa"/>
            <w:bottom w:w="0" w:type="dxa"/>
          </w:tblCellMar>
        </w:tblPrEx>
        <w:tc>
          <w:tcPr>
            <w:tcW w:w="1326" w:type="dxa"/>
            <w:tcBorders>
              <w:top w:val="single" w:sz="6" w:space="0" w:color="000000"/>
              <w:bottom w:val="nil"/>
            </w:tcBorders>
            <w:vAlign w:val="center"/>
          </w:tcPr>
          <w:p w:rsidR="00000000" w:rsidRDefault="00216019">
            <w:pPr>
              <w:rPr>
                <w:b/>
                <w:sz w:val="18"/>
              </w:rPr>
            </w:pPr>
            <w:r>
              <w:rPr>
                <w:b/>
                <w:sz w:val="18"/>
              </w:rPr>
              <w:t>3-6 years</w:t>
            </w:r>
          </w:p>
        </w:tc>
        <w:tc>
          <w:tcPr>
            <w:tcW w:w="1671" w:type="dxa"/>
            <w:tcBorders>
              <w:top w:val="single" w:sz="6" w:space="0" w:color="000000"/>
              <w:bottom w:val="nil"/>
            </w:tcBorders>
            <w:vAlign w:val="center"/>
          </w:tcPr>
          <w:p w:rsidR="00000000" w:rsidRDefault="00216019">
            <w:pPr>
              <w:rPr>
                <w:sz w:val="18"/>
              </w:rPr>
            </w:pPr>
            <w:r>
              <w:rPr>
                <w:sz w:val="18"/>
              </w:rPr>
              <w:t>Female</w:t>
            </w:r>
          </w:p>
        </w:tc>
        <w:tc>
          <w:tcPr>
            <w:tcW w:w="2216" w:type="dxa"/>
            <w:tcBorders>
              <w:top w:val="single" w:sz="6" w:space="0" w:color="000000"/>
              <w:bottom w:val="nil"/>
            </w:tcBorders>
            <w:vAlign w:val="center"/>
          </w:tcPr>
          <w:p w:rsidR="00000000" w:rsidRDefault="00216019">
            <w:pPr>
              <w:jc w:val="center"/>
              <w:rPr>
                <w:sz w:val="20"/>
              </w:rPr>
            </w:pPr>
            <w:r>
              <w:rPr>
                <w:sz w:val="20"/>
              </w:rPr>
              <w:t>8</w:t>
            </w:r>
          </w:p>
        </w:tc>
        <w:tc>
          <w:tcPr>
            <w:tcW w:w="1662" w:type="dxa"/>
            <w:tcBorders>
              <w:top w:val="single" w:sz="6" w:space="0" w:color="000000"/>
              <w:bottom w:val="nil"/>
            </w:tcBorders>
            <w:vAlign w:val="center"/>
          </w:tcPr>
          <w:p w:rsidR="00000000" w:rsidRDefault="00216019">
            <w:pPr>
              <w:jc w:val="center"/>
              <w:rPr>
                <w:sz w:val="20"/>
              </w:rPr>
            </w:pPr>
            <w:r>
              <w:rPr>
                <w:sz w:val="20"/>
              </w:rPr>
              <w:t>2,309</w:t>
            </w:r>
          </w:p>
        </w:tc>
        <w:tc>
          <w:tcPr>
            <w:tcW w:w="1981" w:type="dxa"/>
            <w:tcBorders>
              <w:top w:val="single" w:sz="6" w:space="0" w:color="000000"/>
              <w:bottom w:val="nil"/>
            </w:tcBorders>
            <w:vAlign w:val="center"/>
          </w:tcPr>
          <w:p w:rsidR="00000000" w:rsidRDefault="00216019">
            <w:pPr>
              <w:jc w:val="center"/>
              <w:rPr>
                <w:sz w:val="20"/>
              </w:rPr>
            </w:pPr>
            <w:r>
              <w:rPr>
                <w:sz w:val="20"/>
              </w:rPr>
              <w:t>0.3%</w:t>
            </w:r>
          </w:p>
        </w:tc>
      </w:tr>
      <w:tr w:rsidR="00000000">
        <w:tblPrEx>
          <w:tblCellMar>
            <w:top w:w="0" w:type="dxa"/>
            <w:bottom w:w="0" w:type="dxa"/>
          </w:tblCellMar>
        </w:tblPrEx>
        <w:tc>
          <w:tcPr>
            <w:tcW w:w="1326" w:type="dxa"/>
            <w:tcBorders>
              <w:top w:val="nil"/>
              <w:bottom w:val="single" w:sz="6" w:space="0" w:color="000000"/>
            </w:tcBorders>
            <w:vAlign w:val="center"/>
          </w:tcPr>
          <w:p w:rsidR="00000000" w:rsidRDefault="00216019">
            <w:pPr>
              <w:rPr>
                <w:b/>
                <w:sz w:val="18"/>
              </w:rPr>
            </w:pPr>
          </w:p>
        </w:tc>
        <w:tc>
          <w:tcPr>
            <w:tcW w:w="1671" w:type="dxa"/>
            <w:tcBorders>
              <w:top w:val="nil"/>
              <w:bottom w:val="single" w:sz="6" w:space="0" w:color="000000"/>
            </w:tcBorders>
            <w:vAlign w:val="center"/>
          </w:tcPr>
          <w:p w:rsidR="00000000" w:rsidRDefault="00216019">
            <w:pPr>
              <w:rPr>
                <w:sz w:val="18"/>
              </w:rPr>
            </w:pPr>
            <w:r>
              <w:rPr>
                <w:sz w:val="18"/>
              </w:rPr>
              <w:t>Male</w:t>
            </w:r>
          </w:p>
        </w:tc>
        <w:tc>
          <w:tcPr>
            <w:tcW w:w="2216" w:type="dxa"/>
            <w:tcBorders>
              <w:top w:val="nil"/>
              <w:bottom w:val="single" w:sz="6" w:space="0" w:color="000000"/>
            </w:tcBorders>
            <w:vAlign w:val="center"/>
          </w:tcPr>
          <w:p w:rsidR="00000000" w:rsidRDefault="00216019">
            <w:pPr>
              <w:jc w:val="center"/>
              <w:rPr>
                <w:sz w:val="20"/>
              </w:rPr>
            </w:pPr>
            <w:r>
              <w:rPr>
                <w:sz w:val="20"/>
              </w:rPr>
              <w:t>41</w:t>
            </w:r>
          </w:p>
        </w:tc>
        <w:tc>
          <w:tcPr>
            <w:tcW w:w="1662" w:type="dxa"/>
            <w:tcBorders>
              <w:top w:val="nil"/>
              <w:bottom w:val="single" w:sz="6" w:space="0" w:color="000000"/>
            </w:tcBorders>
            <w:vAlign w:val="center"/>
          </w:tcPr>
          <w:p w:rsidR="00000000" w:rsidRDefault="00216019">
            <w:pPr>
              <w:jc w:val="center"/>
              <w:rPr>
                <w:sz w:val="20"/>
              </w:rPr>
            </w:pPr>
            <w:r>
              <w:rPr>
                <w:sz w:val="20"/>
              </w:rPr>
              <w:t>2,442</w:t>
            </w:r>
          </w:p>
        </w:tc>
        <w:tc>
          <w:tcPr>
            <w:tcW w:w="1981" w:type="dxa"/>
            <w:tcBorders>
              <w:top w:val="nil"/>
              <w:bottom w:val="single" w:sz="6" w:space="0" w:color="000000"/>
            </w:tcBorders>
            <w:vAlign w:val="center"/>
          </w:tcPr>
          <w:p w:rsidR="00000000" w:rsidRDefault="00216019">
            <w:pPr>
              <w:jc w:val="center"/>
              <w:rPr>
                <w:sz w:val="20"/>
              </w:rPr>
            </w:pPr>
            <w:r>
              <w:rPr>
                <w:sz w:val="20"/>
              </w:rPr>
              <w:t>1.7%</w:t>
            </w:r>
          </w:p>
        </w:tc>
      </w:tr>
      <w:tr w:rsidR="00000000">
        <w:tblPrEx>
          <w:tblCellMar>
            <w:top w:w="0" w:type="dxa"/>
            <w:bottom w:w="0" w:type="dxa"/>
          </w:tblCellMar>
        </w:tblPrEx>
        <w:tc>
          <w:tcPr>
            <w:tcW w:w="1326" w:type="dxa"/>
            <w:tcBorders>
              <w:top w:val="single" w:sz="6" w:space="0" w:color="000000"/>
              <w:bottom w:val="nil"/>
            </w:tcBorders>
            <w:vAlign w:val="center"/>
          </w:tcPr>
          <w:p w:rsidR="00000000" w:rsidRDefault="00216019">
            <w:pPr>
              <w:rPr>
                <w:b/>
                <w:sz w:val="18"/>
              </w:rPr>
            </w:pPr>
            <w:r>
              <w:rPr>
                <w:b/>
                <w:sz w:val="18"/>
              </w:rPr>
              <w:t>7-9 years</w:t>
            </w:r>
          </w:p>
        </w:tc>
        <w:tc>
          <w:tcPr>
            <w:tcW w:w="1671" w:type="dxa"/>
            <w:tcBorders>
              <w:top w:val="single" w:sz="6" w:space="0" w:color="000000"/>
              <w:bottom w:val="nil"/>
            </w:tcBorders>
            <w:vAlign w:val="center"/>
          </w:tcPr>
          <w:p w:rsidR="00000000" w:rsidRDefault="00216019">
            <w:pPr>
              <w:rPr>
                <w:sz w:val="18"/>
              </w:rPr>
            </w:pPr>
            <w:r>
              <w:rPr>
                <w:sz w:val="18"/>
              </w:rPr>
              <w:t>Female</w:t>
            </w:r>
          </w:p>
        </w:tc>
        <w:tc>
          <w:tcPr>
            <w:tcW w:w="2216" w:type="dxa"/>
            <w:tcBorders>
              <w:top w:val="single" w:sz="6" w:space="0" w:color="000000"/>
              <w:bottom w:val="nil"/>
            </w:tcBorders>
            <w:vAlign w:val="center"/>
          </w:tcPr>
          <w:p w:rsidR="00000000" w:rsidRDefault="00216019">
            <w:pPr>
              <w:jc w:val="center"/>
              <w:rPr>
                <w:sz w:val="20"/>
              </w:rPr>
            </w:pPr>
            <w:r>
              <w:rPr>
                <w:sz w:val="20"/>
              </w:rPr>
              <w:t>51</w:t>
            </w:r>
          </w:p>
        </w:tc>
        <w:tc>
          <w:tcPr>
            <w:tcW w:w="1662" w:type="dxa"/>
            <w:tcBorders>
              <w:top w:val="single" w:sz="6" w:space="0" w:color="000000"/>
              <w:bottom w:val="nil"/>
            </w:tcBorders>
            <w:vAlign w:val="center"/>
          </w:tcPr>
          <w:p w:rsidR="00000000" w:rsidRDefault="00216019">
            <w:pPr>
              <w:jc w:val="center"/>
              <w:rPr>
                <w:sz w:val="20"/>
              </w:rPr>
            </w:pPr>
            <w:r>
              <w:rPr>
                <w:sz w:val="20"/>
              </w:rPr>
              <w:t>1,802</w:t>
            </w:r>
          </w:p>
        </w:tc>
        <w:tc>
          <w:tcPr>
            <w:tcW w:w="1981" w:type="dxa"/>
            <w:tcBorders>
              <w:top w:val="single" w:sz="6" w:space="0" w:color="000000"/>
              <w:bottom w:val="nil"/>
            </w:tcBorders>
            <w:vAlign w:val="center"/>
          </w:tcPr>
          <w:p w:rsidR="00000000" w:rsidRDefault="00216019">
            <w:pPr>
              <w:jc w:val="center"/>
              <w:rPr>
                <w:sz w:val="20"/>
              </w:rPr>
            </w:pPr>
            <w:r>
              <w:rPr>
                <w:sz w:val="20"/>
              </w:rPr>
              <w:t>2.8%</w:t>
            </w:r>
          </w:p>
        </w:tc>
      </w:tr>
      <w:tr w:rsidR="00000000">
        <w:tblPrEx>
          <w:tblCellMar>
            <w:top w:w="0" w:type="dxa"/>
            <w:bottom w:w="0" w:type="dxa"/>
          </w:tblCellMar>
        </w:tblPrEx>
        <w:tc>
          <w:tcPr>
            <w:tcW w:w="1326" w:type="dxa"/>
            <w:tcBorders>
              <w:top w:val="nil"/>
              <w:bottom w:val="single" w:sz="6" w:space="0" w:color="000000"/>
            </w:tcBorders>
            <w:vAlign w:val="center"/>
          </w:tcPr>
          <w:p w:rsidR="00000000" w:rsidRDefault="00216019">
            <w:pPr>
              <w:rPr>
                <w:b/>
                <w:sz w:val="18"/>
              </w:rPr>
            </w:pPr>
          </w:p>
        </w:tc>
        <w:tc>
          <w:tcPr>
            <w:tcW w:w="1671" w:type="dxa"/>
            <w:tcBorders>
              <w:top w:val="nil"/>
              <w:bottom w:val="single" w:sz="6" w:space="0" w:color="000000"/>
            </w:tcBorders>
            <w:vAlign w:val="center"/>
          </w:tcPr>
          <w:p w:rsidR="00000000" w:rsidRDefault="00216019">
            <w:pPr>
              <w:rPr>
                <w:sz w:val="18"/>
              </w:rPr>
            </w:pPr>
            <w:r>
              <w:rPr>
                <w:sz w:val="18"/>
              </w:rPr>
              <w:t>Male</w:t>
            </w:r>
          </w:p>
        </w:tc>
        <w:tc>
          <w:tcPr>
            <w:tcW w:w="2216" w:type="dxa"/>
            <w:tcBorders>
              <w:top w:val="nil"/>
              <w:bottom w:val="single" w:sz="6" w:space="0" w:color="000000"/>
            </w:tcBorders>
            <w:vAlign w:val="center"/>
          </w:tcPr>
          <w:p w:rsidR="00000000" w:rsidRDefault="00216019">
            <w:pPr>
              <w:jc w:val="center"/>
              <w:rPr>
                <w:sz w:val="20"/>
              </w:rPr>
            </w:pPr>
            <w:r>
              <w:rPr>
                <w:sz w:val="20"/>
              </w:rPr>
              <w:t>115</w:t>
            </w:r>
          </w:p>
        </w:tc>
        <w:tc>
          <w:tcPr>
            <w:tcW w:w="1662" w:type="dxa"/>
            <w:tcBorders>
              <w:top w:val="nil"/>
              <w:bottom w:val="single" w:sz="6" w:space="0" w:color="000000"/>
            </w:tcBorders>
            <w:vAlign w:val="center"/>
          </w:tcPr>
          <w:p w:rsidR="00000000" w:rsidRDefault="00216019">
            <w:pPr>
              <w:jc w:val="center"/>
              <w:rPr>
                <w:sz w:val="20"/>
              </w:rPr>
            </w:pPr>
            <w:r>
              <w:rPr>
                <w:sz w:val="20"/>
              </w:rPr>
              <w:t>1.873</w:t>
            </w:r>
          </w:p>
        </w:tc>
        <w:tc>
          <w:tcPr>
            <w:tcW w:w="1981" w:type="dxa"/>
            <w:tcBorders>
              <w:top w:val="nil"/>
              <w:bottom w:val="single" w:sz="6" w:space="0" w:color="000000"/>
            </w:tcBorders>
            <w:vAlign w:val="center"/>
          </w:tcPr>
          <w:p w:rsidR="00000000" w:rsidRDefault="00216019">
            <w:pPr>
              <w:jc w:val="center"/>
              <w:rPr>
                <w:sz w:val="20"/>
              </w:rPr>
            </w:pPr>
            <w:r>
              <w:rPr>
                <w:sz w:val="20"/>
              </w:rPr>
              <w:t>6.1%</w:t>
            </w:r>
          </w:p>
        </w:tc>
      </w:tr>
      <w:tr w:rsidR="00000000">
        <w:tblPrEx>
          <w:tblCellMar>
            <w:top w:w="0" w:type="dxa"/>
            <w:bottom w:w="0" w:type="dxa"/>
          </w:tblCellMar>
        </w:tblPrEx>
        <w:tc>
          <w:tcPr>
            <w:tcW w:w="1326" w:type="dxa"/>
            <w:tcBorders>
              <w:top w:val="single" w:sz="6" w:space="0" w:color="000000"/>
              <w:bottom w:val="nil"/>
            </w:tcBorders>
            <w:vAlign w:val="center"/>
          </w:tcPr>
          <w:p w:rsidR="00000000" w:rsidRDefault="00216019">
            <w:pPr>
              <w:rPr>
                <w:b/>
                <w:sz w:val="18"/>
              </w:rPr>
            </w:pPr>
            <w:r>
              <w:rPr>
                <w:b/>
                <w:sz w:val="18"/>
              </w:rPr>
              <w:t>10-12 years</w:t>
            </w:r>
          </w:p>
        </w:tc>
        <w:tc>
          <w:tcPr>
            <w:tcW w:w="1671" w:type="dxa"/>
            <w:tcBorders>
              <w:top w:val="single" w:sz="6" w:space="0" w:color="000000"/>
              <w:bottom w:val="nil"/>
            </w:tcBorders>
            <w:vAlign w:val="center"/>
          </w:tcPr>
          <w:p w:rsidR="00000000" w:rsidRDefault="00216019">
            <w:pPr>
              <w:rPr>
                <w:sz w:val="18"/>
              </w:rPr>
            </w:pPr>
            <w:r>
              <w:rPr>
                <w:sz w:val="18"/>
              </w:rPr>
              <w:t>Female</w:t>
            </w:r>
          </w:p>
        </w:tc>
        <w:tc>
          <w:tcPr>
            <w:tcW w:w="2216" w:type="dxa"/>
            <w:tcBorders>
              <w:top w:val="single" w:sz="6" w:space="0" w:color="000000"/>
              <w:bottom w:val="nil"/>
            </w:tcBorders>
            <w:vAlign w:val="center"/>
          </w:tcPr>
          <w:p w:rsidR="00000000" w:rsidRDefault="00216019">
            <w:pPr>
              <w:jc w:val="center"/>
              <w:rPr>
                <w:sz w:val="20"/>
              </w:rPr>
            </w:pPr>
            <w:r>
              <w:rPr>
                <w:sz w:val="20"/>
              </w:rPr>
              <w:t>39</w:t>
            </w:r>
          </w:p>
        </w:tc>
        <w:tc>
          <w:tcPr>
            <w:tcW w:w="1662" w:type="dxa"/>
            <w:tcBorders>
              <w:top w:val="single" w:sz="6" w:space="0" w:color="000000"/>
              <w:bottom w:val="nil"/>
            </w:tcBorders>
            <w:vAlign w:val="center"/>
          </w:tcPr>
          <w:p w:rsidR="00000000" w:rsidRDefault="00216019">
            <w:pPr>
              <w:jc w:val="center"/>
              <w:rPr>
                <w:sz w:val="20"/>
              </w:rPr>
            </w:pPr>
            <w:r>
              <w:rPr>
                <w:sz w:val="20"/>
              </w:rPr>
              <w:t>1</w:t>
            </w:r>
            <w:r>
              <w:rPr>
                <w:sz w:val="20"/>
              </w:rPr>
              <w:t>,717</w:t>
            </w:r>
          </w:p>
        </w:tc>
        <w:tc>
          <w:tcPr>
            <w:tcW w:w="1981" w:type="dxa"/>
            <w:tcBorders>
              <w:top w:val="single" w:sz="6" w:space="0" w:color="000000"/>
              <w:bottom w:val="nil"/>
            </w:tcBorders>
            <w:vAlign w:val="center"/>
          </w:tcPr>
          <w:p w:rsidR="00000000" w:rsidRDefault="00216019">
            <w:pPr>
              <w:jc w:val="center"/>
              <w:rPr>
                <w:sz w:val="20"/>
              </w:rPr>
            </w:pPr>
            <w:r>
              <w:rPr>
                <w:sz w:val="20"/>
              </w:rPr>
              <w:t>2.3%</w:t>
            </w:r>
          </w:p>
        </w:tc>
      </w:tr>
      <w:tr w:rsidR="00000000">
        <w:tblPrEx>
          <w:tblCellMar>
            <w:top w:w="0" w:type="dxa"/>
            <w:bottom w:w="0" w:type="dxa"/>
          </w:tblCellMar>
        </w:tblPrEx>
        <w:tc>
          <w:tcPr>
            <w:tcW w:w="1326" w:type="dxa"/>
            <w:tcBorders>
              <w:top w:val="nil"/>
              <w:bottom w:val="single" w:sz="6" w:space="0" w:color="000000"/>
            </w:tcBorders>
            <w:vAlign w:val="center"/>
          </w:tcPr>
          <w:p w:rsidR="00000000" w:rsidRDefault="00216019">
            <w:pPr>
              <w:rPr>
                <w:b/>
                <w:sz w:val="18"/>
              </w:rPr>
            </w:pPr>
          </w:p>
        </w:tc>
        <w:tc>
          <w:tcPr>
            <w:tcW w:w="1671" w:type="dxa"/>
            <w:tcBorders>
              <w:top w:val="nil"/>
              <w:bottom w:val="single" w:sz="6" w:space="0" w:color="000000"/>
            </w:tcBorders>
            <w:vAlign w:val="center"/>
          </w:tcPr>
          <w:p w:rsidR="00000000" w:rsidRDefault="00216019">
            <w:pPr>
              <w:rPr>
                <w:sz w:val="18"/>
              </w:rPr>
            </w:pPr>
            <w:r>
              <w:rPr>
                <w:sz w:val="18"/>
              </w:rPr>
              <w:t>Male</w:t>
            </w:r>
          </w:p>
        </w:tc>
        <w:tc>
          <w:tcPr>
            <w:tcW w:w="2216" w:type="dxa"/>
            <w:tcBorders>
              <w:top w:val="nil"/>
              <w:bottom w:val="single" w:sz="6" w:space="0" w:color="000000"/>
            </w:tcBorders>
            <w:vAlign w:val="center"/>
          </w:tcPr>
          <w:p w:rsidR="00000000" w:rsidRDefault="00216019">
            <w:pPr>
              <w:jc w:val="center"/>
              <w:rPr>
                <w:sz w:val="20"/>
              </w:rPr>
            </w:pPr>
            <w:r>
              <w:rPr>
                <w:sz w:val="20"/>
              </w:rPr>
              <w:t>146</w:t>
            </w:r>
          </w:p>
        </w:tc>
        <w:tc>
          <w:tcPr>
            <w:tcW w:w="1662" w:type="dxa"/>
            <w:tcBorders>
              <w:top w:val="nil"/>
              <w:bottom w:val="single" w:sz="6" w:space="0" w:color="000000"/>
            </w:tcBorders>
            <w:vAlign w:val="center"/>
          </w:tcPr>
          <w:p w:rsidR="00000000" w:rsidRDefault="00216019">
            <w:pPr>
              <w:jc w:val="center"/>
              <w:rPr>
                <w:sz w:val="20"/>
              </w:rPr>
            </w:pPr>
            <w:r>
              <w:rPr>
                <w:sz w:val="20"/>
              </w:rPr>
              <w:t>1,775</w:t>
            </w:r>
          </w:p>
        </w:tc>
        <w:tc>
          <w:tcPr>
            <w:tcW w:w="1981" w:type="dxa"/>
            <w:tcBorders>
              <w:top w:val="nil"/>
              <w:bottom w:val="single" w:sz="6" w:space="0" w:color="000000"/>
            </w:tcBorders>
            <w:vAlign w:val="center"/>
          </w:tcPr>
          <w:p w:rsidR="00000000" w:rsidRDefault="00216019">
            <w:pPr>
              <w:jc w:val="center"/>
              <w:rPr>
                <w:sz w:val="20"/>
              </w:rPr>
            </w:pPr>
            <w:r>
              <w:rPr>
                <w:sz w:val="20"/>
              </w:rPr>
              <w:t>8.2%</w:t>
            </w:r>
          </w:p>
        </w:tc>
      </w:tr>
      <w:tr w:rsidR="00000000">
        <w:tblPrEx>
          <w:tblCellMar>
            <w:top w:w="0" w:type="dxa"/>
            <w:bottom w:w="0" w:type="dxa"/>
          </w:tblCellMar>
        </w:tblPrEx>
        <w:tc>
          <w:tcPr>
            <w:tcW w:w="1326" w:type="dxa"/>
            <w:tcBorders>
              <w:top w:val="single" w:sz="6" w:space="0" w:color="000000"/>
              <w:bottom w:val="nil"/>
            </w:tcBorders>
            <w:vAlign w:val="center"/>
          </w:tcPr>
          <w:p w:rsidR="00000000" w:rsidRDefault="00216019">
            <w:pPr>
              <w:rPr>
                <w:b/>
                <w:sz w:val="18"/>
              </w:rPr>
            </w:pPr>
            <w:r>
              <w:rPr>
                <w:b/>
                <w:sz w:val="18"/>
              </w:rPr>
              <w:t>13-15 years</w:t>
            </w:r>
          </w:p>
        </w:tc>
        <w:tc>
          <w:tcPr>
            <w:tcW w:w="1671" w:type="dxa"/>
            <w:tcBorders>
              <w:top w:val="single" w:sz="6" w:space="0" w:color="000000"/>
              <w:bottom w:val="nil"/>
            </w:tcBorders>
            <w:vAlign w:val="center"/>
          </w:tcPr>
          <w:p w:rsidR="00000000" w:rsidRDefault="00216019">
            <w:pPr>
              <w:rPr>
                <w:sz w:val="18"/>
              </w:rPr>
            </w:pPr>
            <w:r>
              <w:rPr>
                <w:sz w:val="18"/>
              </w:rPr>
              <w:t>Female</w:t>
            </w:r>
          </w:p>
        </w:tc>
        <w:tc>
          <w:tcPr>
            <w:tcW w:w="2216" w:type="dxa"/>
            <w:tcBorders>
              <w:top w:val="single" w:sz="6" w:space="0" w:color="000000"/>
              <w:bottom w:val="nil"/>
            </w:tcBorders>
            <w:vAlign w:val="center"/>
          </w:tcPr>
          <w:p w:rsidR="00000000" w:rsidRDefault="00216019">
            <w:pPr>
              <w:jc w:val="center"/>
              <w:rPr>
                <w:sz w:val="20"/>
              </w:rPr>
            </w:pPr>
            <w:r>
              <w:rPr>
                <w:sz w:val="20"/>
              </w:rPr>
              <w:t>24</w:t>
            </w:r>
          </w:p>
        </w:tc>
        <w:tc>
          <w:tcPr>
            <w:tcW w:w="1662" w:type="dxa"/>
            <w:tcBorders>
              <w:top w:val="single" w:sz="6" w:space="0" w:color="000000"/>
              <w:bottom w:val="nil"/>
            </w:tcBorders>
            <w:vAlign w:val="center"/>
          </w:tcPr>
          <w:p w:rsidR="00000000" w:rsidRDefault="00216019">
            <w:pPr>
              <w:jc w:val="center"/>
              <w:rPr>
                <w:sz w:val="20"/>
              </w:rPr>
            </w:pPr>
            <w:r>
              <w:rPr>
                <w:sz w:val="20"/>
              </w:rPr>
              <w:t>1,436</w:t>
            </w:r>
          </w:p>
        </w:tc>
        <w:tc>
          <w:tcPr>
            <w:tcW w:w="1981" w:type="dxa"/>
            <w:tcBorders>
              <w:top w:val="single" w:sz="6" w:space="0" w:color="000000"/>
              <w:bottom w:val="nil"/>
            </w:tcBorders>
            <w:vAlign w:val="center"/>
          </w:tcPr>
          <w:p w:rsidR="00000000" w:rsidRDefault="00216019">
            <w:pPr>
              <w:jc w:val="center"/>
              <w:rPr>
                <w:sz w:val="20"/>
              </w:rPr>
            </w:pPr>
            <w:r>
              <w:rPr>
                <w:sz w:val="20"/>
              </w:rPr>
              <w:t>1.7%</w:t>
            </w:r>
          </w:p>
        </w:tc>
      </w:tr>
      <w:tr w:rsidR="00000000">
        <w:tblPrEx>
          <w:tblCellMar>
            <w:top w:w="0" w:type="dxa"/>
            <w:bottom w:w="0" w:type="dxa"/>
          </w:tblCellMar>
        </w:tblPrEx>
        <w:tc>
          <w:tcPr>
            <w:tcW w:w="1326" w:type="dxa"/>
            <w:tcBorders>
              <w:top w:val="nil"/>
              <w:bottom w:val="single" w:sz="6" w:space="0" w:color="000000"/>
            </w:tcBorders>
            <w:vAlign w:val="center"/>
          </w:tcPr>
          <w:p w:rsidR="00000000" w:rsidRDefault="00216019">
            <w:pPr>
              <w:rPr>
                <w:b/>
                <w:sz w:val="18"/>
              </w:rPr>
            </w:pPr>
          </w:p>
        </w:tc>
        <w:tc>
          <w:tcPr>
            <w:tcW w:w="1671" w:type="dxa"/>
            <w:tcBorders>
              <w:top w:val="nil"/>
              <w:bottom w:val="single" w:sz="6" w:space="0" w:color="000000"/>
            </w:tcBorders>
            <w:vAlign w:val="center"/>
          </w:tcPr>
          <w:p w:rsidR="00000000" w:rsidRDefault="00216019">
            <w:pPr>
              <w:rPr>
                <w:sz w:val="18"/>
              </w:rPr>
            </w:pPr>
            <w:r>
              <w:rPr>
                <w:sz w:val="18"/>
              </w:rPr>
              <w:t>Male</w:t>
            </w:r>
          </w:p>
        </w:tc>
        <w:tc>
          <w:tcPr>
            <w:tcW w:w="2216" w:type="dxa"/>
            <w:tcBorders>
              <w:top w:val="nil"/>
              <w:bottom w:val="single" w:sz="6" w:space="0" w:color="000000"/>
            </w:tcBorders>
            <w:vAlign w:val="center"/>
          </w:tcPr>
          <w:p w:rsidR="00000000" w:rsidRDefault="00216019">
            <w:pPr>
              <w:jc w:val="center"/>
              <w:rPr>
                <w:sz w:val="20"/>
              </w:rPr>
            </w:pPr>
            <w:r>
              <w:rPr>
                <w:sz w:val="20"/>
              </w:rPr>
              <w:t>96</w:t>
            </w:r>
          </w:p>
        </w:tc>
        <w:tc>
          <w:tcPr>
            <w:tcW w:w="1662" w:type="dxa"/>
            <w:tcBorders>
              <w:top w:val="nil"/>
              <w:bottom w:val="single" w:sz="6" w:space="0" w:color="000000"/>
            </w:tcBorders>
            <w:vAlign w:val="center"/>
          </w:tcPr>
          <w:p w:rsidR="00000000" w:rsidRDefault="00216019">
            <w:pPr>
              <w:jc w:val="center"/>
              <w:rPr>
                <w:sz w:val="20"/>
              </w:rPr>
            </w:pPr>
            <w:r>
              <w:rPr>
                <w:sz w:val="20"/>
              </w:rPr>
              <w:t>1,515</w:t>
            </w:r>
          </w:p>
        </w:tc>
        <w:tc>
          <w:tcPr>
            <w:tcW w:w="1981" w:type="dxa"/>
            <w:tcBorders>
              <w:top w:val="nil"/>
              <w:bottom w:val="single" w:sz="6" w:space="0" w:color="000000"/>
            </w:tcBorders>
            <w:vAlign w:val="center"/>
          </w:tcPr>
          <w:p w:rsidR="00000000" w:rsidRDefault="00216019">
            <w:pPr>
              <w:jc w:val="center"/>
              <w:rPr>
                <w:sz w:val="20"/>
              </w:rPr>
            </w:pPr>
            <w:r>
              <w:rPr>
                <w:sz w:val="20"/>
              </w:rPr>
              <w:t>6.3%</w:t>
            </w:r>
          </w:p>
        </w:tc>
      </w:tr>
      <w:tr w:rsidR="00000000">
        <w:tblPrEx>
          <w:tblCellMar>
            <w:top w:w="0" w:type="dxa"/>
            <w:bottom w:w="0" w:type="dxa"/>
          </w:tblCellMar>
        </w:tblPrEx>
        <w:tc>
          <w:tcPr>
            <w:tcW w:w="1326" w:type="dxa"/>
            <w:tcBorders>
              <w:top w:val="single" w:sz="6" w:space="0" w:color="000000"/>
              <w:bottom w:val="nil"/>
            </w:tcBorders>
            <w:vAlign w:val="center"/>
          </w:tcPr>
          <w:p w:rsidR="00000000" w:rsidRDefault="00216019">
            <w:pPr>
              <w:rPr>
                <w:b/>
                <w:sz w:val="18"/>
              </w:rPr>
            </w:pPr>
            <w:r>
              <w:rPr>
                <w:b/>
                <w:sz w:val="18"/>
              </w:rPr>
              <w:t>16-18 years</w:t>
            </w:r>
          </w:p>
        </w:tc>
        <w:tc>
          <w:tcPr>
            <w:tcW w:w="1671" w:type="dxa"/>
            <w:tcBorders>
              <w:top w:val="single" w:sz="6" w:space="0" w:color="000000"/>
              <w:bottom w:val="nil"/>
            </w:tcBorders>
            <w:vAlign w:val="center"/>
          </w:tcPr>
          <w:p w:rsidR="00000000" w:rsidRDefault="00216019">
            <w:pPr>
              <w:rPr>
                <w:sz w:val="18"/>
              </w:rPr>
            </w:pPr>
            <w:r>
              <w:rPr>
                <w:sz w:val="18"/>
              </w:rPr>
              <w:t>Female</w:t>
            </w:r>
          </w:p>
        </w:tc>
        <w:tc>
          <w:tcPr>
            <w:tcW w:w="2216" w:type="dxa"/>
            <w:tcBorders>
              <w:top w:val="single" w:sz="6" w:space="0" w:color="000000"/>
              <w:bottom w:val="nil"/>
            </w:tcBorders>
            <w:vAlign w:val="center"/>
          </w:tcPr>
          <w:p w:rsidR="00000000" w:rsidRDefault="00216019">
            <w:pPr>
              <w:jc w:val="center"/>
              <w:rPr>
                <w:sz w:val="20"/>
              </w:rPr>
            </w:pPr>
            <w:r>
              <w:rPr>
                <w:sz w:val="20"/>
              </w:rPr>
              <w:t>9</w:t>
            </w:r>
          </w:p>
        </w:tc>
        <w:tc>
          <w:tcPr>
            <w:tcW w:w="1662" w:type="dxa"/>
            <w:tcBorders>
              <w:top w:val="single" w:sz="6" w:space="0" w:color="000000"/>
              <w:bottom w:val="nil"/>
            </w:tcBorders>
            <w:vAlign w:val="center"/>
          </w:tcPr>
          <w:p w:rsidR="00000000" w:rsidRDefault="00216019">
            <w:pPr>
              <w:jc w:val="center"/>
              <w:rPr>
                <w:sz w:val="20"/>
              </w:rPr>
            </w:pPr>
            <w:r>
              <w:rPr>
                <w:sz w:val="20"/>
              </w:rPr>
              <w:t>1,167</w:t>
            </w:r>
          </w:p>
        </w:tc>
        <w:tc>
          <w:tcPr>
            <w:tcW w:w="1981" w:type="dxa"/>
            <w:tcBorders>
              <w:top w:val="single" w:sz="6" w:space="0" w:color="000000"/>
              <w:bottom w:val="nil"/>
            </w:tcBorders>
            <w:vAlign w:val="center"/>
          </w:tcPr>
          <w:p w:rsidR="00000000" w:rsidRDefault="00216019">
            <w:pPr>
              <w:jc w:val="center"/>
              <w:rPr>
                <w:sz w:val="20"/>
              </w:rPr>
            </w:pPr>
            <w:r>
              <w:rPr>
                <w:sz w:val="20"/>
              </w:rPr>
              <w:t>0.8%</w:t>
            </w:r>
          </w:p>
        </w:tc>
      </w:tr>
      <w:tr w:rsidR="00000000">
        <w:tblPrEx>
          <w:tblCellMar>
            <w:top w:w="0" w:type="dxa"/>
            <w:bottom w:w="0" w:type="dxa"/>
          </w:tblCellMar>
        </w:tblPrEx>
        <w:tc>
          <w:tcPr>
            <w:tcW w:w="1326" w:type="dxa"/>
            <w:tcBorders>
              <w:top w:val="nil"/>
              <w:bottom w:val="single" w:sz="6" w:space="0" w:color="000000"/>
            </w:tcBorders>
            <w:vAlign w:val="center"/>
          </w:tcPr>
          <w:p w:rsidR="00000000" w:rsidRDefault="00216019">
            <w:pPr>
              <w:rPr>
                <w:b/>
                <w:sz w:val="18"/>
              </w:rPr>
            </w:pPr>
          </w:p>
        </w:tc>
        <w:tc>
          <w:tcPr>
            <w:tcW w:w="1671" w:type="dxa"/>
            <w:tcBorders>
              <w:top w:val="nil"/>
              <w:bottom w:val="single" w:sz="6" w:space="0" w:color="000000"/>
            </w:tcBorders>
            <w:vAlign w:val="center"/>
          </w:tcPr>
          <w:p w:rsidR="00000000" w:rsidRDefault="00216019">
            <w:pPr>
              <w:rPr>
                <w:sz w:val="18"/>
              </w:rPr>
            </w:pPr>
            <w:r>
              <w:rPr>
                <w:sz w:val="18"/>
              </w:rPr>
              <w:t>Male</w:t>
            </w:r>
          </w:p>
        </w:tc>
        <w:tc>
          <w:tcPr>
            <w:tcW w:w="2216" w:type="dxa"/>
            <w:tcBorders>
              <w:top w:val="nil"/>
              <w:bottom w:val="single" w:sz="6" w:space="0" w:color="000000"/>
            </w:tcBorders>
            <w:vAlign w:val="center"/>
          </w:tcPr>
          <w:p w:rsidR="00000000" w:rsidRDefault="00216019">
            <w:pPr>
              <w:jc w:val="center"/>
              <w:rPr>
                <w:sz w:val="20"/>
              </w:rPr>
            </w:pPr>
            <w:r>
              <w:rPr>
                <w:sz w:val="20"/>
              </w:rPr>
              <w:t>34</w:t>
            </w:r>
          </w:p>
        </w:tc>
        <w:tc>
          <w:tcPr>
            <w:tcW w:w="1662" w:type="dxa"/>
            <w:tcBorders>
              <w:top w:val="nil"/>
              <w:bottom w:val="single" w:sz="6" w:space="0" w:color="000000"/>
            </w:tcBorders>
            <w:vAlign w:val="center"/>
          </w:tcPr>
          <w:p w:rsidR="00000000" w:rsidRDefault="00216019">
            <w:pPr>
              <w:jc w:val="center"/>
              <w:rPr>
                <w:sz w:val="20"/>
              </w:rPr>
            </w:pPr>
            <w:r>
              <w:rPr>
                <w:sz w:val="20"/>
              </w:rPr>
              <w:t>1,130</w:t>
            </w:r>
          </w:p>
        </w:tc>
        <w:tc>
          <w:tcPr>
            <w:tcW w:w="1981" w:type="dxa"/>
            <w:tcBorders>
              <w:top w:val="nil"/>
              <w:bottom w:val="single" w:sz="6" w:space="0" w:color="000000"/>
            </w:tcBorders>
            <w:vAlign w:val="center"/>
          </w:tcPr>
          <w:p w:rsidR="00000000" w:rsidRDefault="00216019">
            <w:pPr>
              <w:jc w:val="center"/>
              <w:rPr>
                <w:sz w:val="20"/>
              </w:rPr>
            </w:pPr>
            <w:r>
              <w:rPr>
                <w:sz w:val="20"/>
              </w:rPr>
              <w:t>3.0%</w:t>
            </w:r>
          </w:p>
        </w:tc>
      </w:tr>
      <w:tr w:rsidR="00000000">
        <w:tblPrEx>
          <w:tblCellMar>
            <w:top w:w="0" w:type="dxa"/>
            <w:bottom w:w="0" w:type="dxa"/>
          </w:tblCellMar>
        </w:tblPrEx>
        <w:tc>
          <w:tcPr>
            <w:tcW w:w="1326" w:type="dxa"/>
            <w:tcBorders>
              <w:top w:val="single" w:sz="6" w:space="0" w:color="000000"/>
              <w:bottom w:val="nil"/>
            </w:tcBorders>
            <w:vAlign w:val="center"/>
          </w:tcPr>
          <w:p w:rsidR="00000000" w:rsidRDefault="00216019">
            <w:pPr>
              <w:rPr>
                <w:b/>
                <w:sz w:val="18"/>
              </w:rPr>
            </w:pPr>
            <w:r>
              <w:rPr>
                <w:b/>
                <w:sz w:val="18"/>
              </w:rPr>
              <w:t>Total</w:t>
            </w:r>
          </w:p>
        </w:tc>
        <w:tc>
          <w:tcPr>
            <w:tcW w:w="1671" w:type="dxa"/>
            <w:tcBorders>
              <w:top w:val="single" w:sz="6" w:space="0" w:color="000000"/>
              <w:bottom w:val="nil"/>
            </w:tcBorders>
            <w:vAlign w:val="center"/>
          </w:tcPr>
          <w:p w:rsidR="00000000" w:rsidRDefault="00216019">
            <w:pPr>
              <w:rPr>
                <w:sz w:val="18"/>
              </w:rPr>
            </w:pPr>
            <w:r>
              <w:rPr>
                <w:sz w:val="18"/>
              </w:rPr>
              <w:t>Female</w:t>
            </w:r>
          </w:p>
        </w:tc>
        <w:tc>
          <w:tcPr>
            <w:tcW w:w="2216" w:type="dxa"/>
            <w:tcBorders>
              <w:top w:val="single" w:sz="6" w:space="0" w:color="000000"/>
              <w:bottom w:val="nil"/>
            </w:tcBorders>
            <w:vAlign w:val="center"/>
          </w:tcPr>
          <w:p w:rsidR="00000000" w:rsidRDefault="00216019">
            <w:pPr>
              <w:jc w:val="center"/>
              <w:rPr>
                <w:sz w:val="20"/>
              </w:rPr>
            </w:pPr>
            <w:r>
              <w:rPr>
                <w:sz w:val="20"/>
              </w:rPr>
              <w:t>131</w:t>
            </w:r>
          </w:p>
        </w:tc>
        <w:tc>
          <w:tcPr>
            <w:tcW w:w="1662" w:type="dxa"/>
            <w:tcBorders>
              <w:top w:val="single" w:sz="6" w:space="0" w:color="000000"/>
              <w:bottom w:val="nil"/>
            </w:tcBorders>
            <w:vAlign w:val="center"/>
          </w:tcPr>
          <w:p w:rsidR="00000000" w:rsidRDefault="00216019">
            <w:pPr>
              <w:jc w:val="center"/>
              <w:rPr>
                <w:sz w:val="20"/>
              </w:rPr>
            </w:pPr>
            <w:r>
              <w:rPr>
                <w:sz w:val="20"/>
              </w:rPr>
              <w:t>8,431</w:t>
            </w:r>
          </w:p>
        </w:tc>
        <w:tc>
          <w:tcPr>
            <w:tcW w:w="1981" w:type="dxa"/>
            <w:tcBorders>
              <w:top w:val="single" w:sz="6" w:space="0" w:color="000000"/>
              <w:bottom w:val="nil"/>
            </w:tcBorders>
            <w:vAlign w:val="center"/>
          </w:tcPr>
          <w:p w:rsidR="00000000" w:rsidRDefault="00216019">
            <w:pPr>
              <w:jc w:val="center"/>
              <w:rPr>
                <w:sz w:val="20"/>
              </w:rPr>
            </w:pPr>
            <w:r>
              <w:rPr>
                <w:sz w:val="20"/>
              </w:rPr>
              <w:t>1.6%</w:t>
            </w:r>
          </w:p>
        </w:tc>
      </w:tr>
      <w:tr w:rsidR="00000000">
        <w:tblPrEx>
          <w:tblCellMar>
            <w:top w:w="0" w:type="dxa"/>
            <w:bottom w:w="0" w:type="dxa"/>
          </w:tblCellMar>
        </w:tblPrEx>
        <w:tc>
          <w:tcPr>
            <w:tcW w:w="1326" w:type="dxa"/>
            <w:tcBorders>
              <w:top w:val="nil"/>
              <w:bottom w:val="thickThinSmallGap" w:sz="24" w:space="0" w:color="auto"/>
            </w:tcBorders>
            <w:vAlign w:val="center"/>
          </w:tcPr>
          <w:p w:rsidR="00000000" w:rsidRDefault="00216019">
            <w:pPr>
              <w:rPr>
                <w:b/>
                <w:sz w:val="18"/>
              </w:rPr>
            </w:pPr>
          </w:p>
        </w:tc>
        <w:tc>
          <w:tcPr>
            <w:tcW w:w="1671" w:type="dxa"/>
            <w:tcBorders>
              <w:top w:val="nil"/>
              <w:bottom w:val="thickThinSmallGap" w:sz="24" w:space="0" w:color="auto"/>
            </w:tcBorders>
            <w:vAlign w:val="center"/>
          </w:tcPr>
          <w:p w:rsidR="00000000" w:rsidRDefault="00216019">
            <w:pPr>
              <w:rPr>
                <w:sz w:val="18"/>
              </w:rPr>
            </w:pPr>
            <w:r>
              <w:rPr>
                <w:sz w:val="18"/>
              </w:rPr>
              <w:t>Male</w:t>
            </w:r>
          </w:p>
        </w:tc>
        <w:tc>
          <w:tcPr>
            <w:tcW w:w="2216" w:type="dxa"/>
            <w:tcBorders>
              <w:top w:val="nil"/>
              <w:bottom w:val="thickThinSmallGap" w:sz="24" w:space="0" w:color="auto"/>
            </w:tcBorders>
            <w:vAlign w:val="center"/>
          </w:tcPr>
          <w:p w:rsidR="00000000" w:rsidRDefault="00216019">
            <w:pPr>
              <w:jc w:val="center"/>
              <w:rPr>
                <w:sz w:val="20"/>
              </w:rPr>
            </w:pPr>
            <w:r>
              <w:rPr>
                <w:sz w:val="20"/>
              </w:rPr>
              <w:t>432</w:t>
            </w:r>
          </w:p>
        </w:tc>
        <w:tc>
          <w:tcPr>
            <w:tcW w:w="1662" w:type="dxa"/>
            <w:tcBorders>
              <w:top w:val="nil"/>
              <w:bottom w:val="thickThinSmallGap" w:sz="24" w:space="0" w:color="auto"/>
            </w:tcBorders>
            <w:vAlign w:val="center"/>
          </w:tcPr>
          <w:p w:rsidR="00000000" w:rsidRDefault="00216019">
            <w:pPr>
              <w:jc w:val="center"/>
              <w:rPr>
                <w:sz w:val="20"/>
              </w:rPr>
            </w:pPr>
            <w:r>
              <w:rPr>
                <w:sz w:val="20"/>
              </w:rPr>
              <w:t>8,735</w:t>
            </w:r>
          </w:p>
        </w:tc>
        <w:tc>
          <w:tcPr>
            <w:tcW w:w="1981" w:type="dxa"/>
            <w:tcBorders>
              <w:top w:val="nil"/>
              <w:bottom w:val="thickThinSmallGap" w:sz="24" w:space="0" w:color="auto"/>
            </w:tcBorders>
            <w:vAlign w:val="center"/>
          </w:tcPr>
          <w:p w:rsidR="00000000" w:rsidRDefault="00216019">
            <w:pPr>
              <w:jc w:val="center"/>
              <w:rPr>
                <w:sz w:val="20"/>
              </w:rPr>
            </w:pPr>
            <w:r>
              <w:rPr>
                <w:sz w:val="20"/>
              </w:rPr>
              <w:t>4.9%</w:t>
            </w:r>
          </w:p>
        </w:tc>
      </w:tr>
    </w:tbl>
    <w:p w:rsidR="00000000" w:rsidRDefault="00216019"/>
    <w:p w:rsidR="00000000" w:rsidRDefault="00216019">
      <w:pPr>
        <w:rPr>
          <w:i/>
        </w:rPr>
      </w:pPr>
      <w:r>
        <w:rPr>
          <w:i/>
        </w:rPr>
        <w:t xml:space="preserve">2) Prevalence by gender and race </w:t>
      </w:r>
    </w:p>
    <w:p w:rsidR="00000000" w:rsidRDefault="00216019"/>
    <w:p w:rsidR="00000000" w:rsidRDefault="00216019">
      <w:r>
        <w:t>Table 5 provides a breakdow</w:t>
      </w:r>
      <w:r>
        <w:t xml:space="preserve">n of ADHD rates by gender and race. Caucasian boys had the highest percentage diagnosed with ADHD (5.3%). African-American boys were the next highest group with a rate of 4.1%. While Hispanic boys had rates higher than girls, they were significantly lower </w:t>
      </w:r>
      <w:r>
        <w:t>than for Caucasian or African-American boys.</w:t>
      </w:r>
    </w:p>
    <w:p w:rsidR="00000000" w:rsidRDefault="00216019"/>
    <w:p w:rsidR="00000000" w:rsidRDefault="00216019">
      <w:pPr>
        <w:jc w:val="center"/>
        <w:rPr>
          <w:b/>
          <w:bCs/>
        </w:rPr>
      </w:pPr>
      <w:r>
        <w:rPr>
          <w:b/>
          <w:bCs/>
        </w:rPr>
        <w:t xml:space="preserve">Table 5. Rate of ADHD by race and gender for </w:t>
      </w:r>
      <w:r>
        <w:rPr>
          <w:b/>
          <w:bCs/>
        </w:rPr>
        <w:br/>
        <w:t>all enrollees, 2001</w:t>
      </w:r>
    </w:p>
    <w:tbl>
      <w:tblPr>
        <w:tblW w:w="0" w:type="auto"/>
        <w:tblBorders>
          <w:top w:val="nil"/>
          <w:left w:val="nil"/>
          <w:bottom w:val="nil"/>
          <w:right w:val="nil"/>
          <w:insideH w:val="single" w:sz="6" w:space="0" w:color="000000"/>
          <w:insideV w:val="single" w:sz="6" w:space="0" w:color="000000"/>
        </w:tblBorders>
        <w:tblLook w:val="00BF"/>
      </w:tblPr>
      <w:tblGrid>
        <w:gridCol w:w="1717"/>
        <w:gridCol w:w="1671"/>
        <w:gridCol w:w="2216"/>
        <w:gridCol w:w="1662"/>
        <w:gridCol w:w="1981"/>
      </w:tblGrid>
      <w:tr w:rsidR="00000000">
        <w:tblPrEx>
          <w:tblCellMar>
            <w:top w:w="0" w:type="dxa"/>
            <w:bottom w:w="0" w:type="dxa"/>
          </w:tblCellMar>
        </w:tblPrEx>
        <w:tc>
          <w:tcPr>
            <w:tcW w:w="1717" w:type="dxa"/>
            <w:tcBorders>
              <w:top w:val="thinThickSmallGap" w:sz="24" w:space="0" w:color="auto"/>
              <w:bottom w:val="single" w:sz="6" w:space="0" w:color="000000"/>
            </w:tcBorders>
          </w:tcPr>
          <w:p w:rsidR="00000000" w:rsidRDefault="00216019">
            <w:pPr>
              <w:rPr>
                <w:b/>
                <w:sz w:val="18"/>
              </w:rPr>
            </w:pPr>
            <w:r>
              <w:rPr>
                <w:b/>
                <w:sz w:val="18"/>
              </w:rPr>
              <w:br/>
              <w:t>Age group</w:t>
            </w:r>
          </w:p>
        </w:tc>
        <w:tc>
          <w:tcPr>
            <w:tcW w:w="1671" w:type="dxa"/>
            <w:tcBorders>
              <w:top w:val="thinThickSmallGap" w:sz="24" w:space="0" w:color="auto"/>
              <w:bottom w:val="single" w:sz="6" w:space="0" w:color="000000"/>
            </w:tcBorders>
            <w:vAlign w:val="center"/>
          </w:tcPr>
          <w:p w:rsidR="00000000" w:rsidRDefault="00216019">
            <w:pPr>
              <w:rPr>
                <w:sz w:val="18"/>
              </w:rPr>
            </w:pPr>
            <w:r>
              <w:rPr>
                <w:sz w:val="18"/>
              </w:rPr>
              <w:t>Gender</w:t>
            </w:r>
          </w:p>
        </w:tc>
        <w:tc>
          <w:tcPr>
            <w:tcW w:w="2216" w:type="dxa"/>
            <w:tcBorders>
              <w:top w:val="thinThickSmallGap" w:sz="24" w:space="0" w:color="auto"/>
              <w:bottom w:val="single" w:sz="6" w:space="0" w:color="000000"/>
            </w:tcBorders>
          </w:tcPr>
          <w:p w:rsidR="00000000" w:rsidRDefault="00216019">
            <w:pPr>
              <w:rPr>
                <w:b/>
                <w:sz w:val="18"/>
              </w:rPr>
            </w:pPr>
            <w:r>
              <w:rPr>
                <w:b/>
                <w:sz w:val="18"/>
              </w:rPr>
              <w:br/>
              <w:t>Number with ADHD</w:t>
            </w:r>
          </w:p>
        </w:tc>
        <w:tc>
          <w:tcPr>
            <w:tcW w:w="1662" w:type="dxa"/>
            <w:tcBorders>
              <w:top w:val="thinThickSmallGap" w:sz="24" w:space="0" w:color="auto"/>
              <w:bottom w:val="single" w:sz="6" w:space="0" w:color="000000"/>
            </w:tcBorders>
          </w:tcPr>
          <w:p w:rsidR="00000000" w:rsidRDefault="00216019">
            <w:pPr>
              <w:rPr>
                <w:b/>
                <w:sz w:val="18"/>
              </w:rPr>
            </w:pPr>
            <w:r>
              <w:rPr>
                <w:b/>
                <w:sz w:val="18"/>
              </w:rPr>
              <w:br/>
              <w:t>Total Number</w:t>
            </w:r>
          </w:p>
        </w:tc>
        <w:tc>
          <w:tcPr>
            <w:tcW w:w="1981" w:type="dxa"/>
            <w:tcBorders>
              <w:top w:val="thinThickSmallGap" w:sz="24" w:space="0" w:color="auto"/>
              <w:bottom w:val="single" w:sz="6" w:space="0" w:color="000000"/>
            </w:tcBorders>
            <w:vAlign w:val="bottom"/>
          </w:tcPr>
          <w:p w:rsidR="00000000" w:rsidRDefault="00216019">
            <w:pPr>
              <w:rPr>
                <w:b/>
                <w:sz w:val="18"/>
              </w:rPr>
            </w:pPr>
            <w:r>
              <w:rPr>
                <w:b/>
                <w:sz w:val="18"/>
              </w:rPr>
              <w:t>Percent with ADHD</w:t>
            </w:r>
          </w:p>
        </w:tc>
      </w:tr>
      <w:tr w:rsidR="00000000">
        <w:tblPrEx>
          <w:tblCellMar>
            <w:top w:w="0" w:type="dxa"/>
            <w:bottom w:w="0" w:type="dxa"/>
          </w:tblCellMar>
        </w:tblPrEx>
        <w:tc>
          <w:tcPr>
            <w:tcW w:w="1717" w:type="dxa"/>
            <w:tcBorders>
              <w:top w:val="single" w:sz="6" w:space="0" w:color="000000"/>
              <w:bottom w:val="nil"/>
            </w:tcBorders>
            <w:vAlign w:val="center"/>
          </w:tcPr>
          <w:p w:rsidR="00000000" w:rsidRDefault="00216019">
            <w:pPr>
              <w:rPr>
                <w:b/>
                <w:sz w:val="18"/>
              </w:rPr>
            </w:pPr>
            <w:r>
              <w:rPr>
                <w:b/>
                <w:sz w:val="18"/>
              </w:rPr>
              <w:t>Caucasian</w:t>
            </w:r>
          </w:p>
        </w:tc>
        <w:tc>
          <w:tcPr>
            <w:tcW w:w="1671" w:type="dxa"/>
            <w:tcBorders>
              <w:top w:val="single" w:sz="6" w:space="0" w:color="000000"/>
              <w:bottom w:val="nil"/>
            </w:tcBorders>
            <w:vAlign w:val="center"/>
          </w:tcPr>
          <w:p w:rsidR="00000000" w:rsidRDefault="00216019">
            <w:pPr>
              <w:rPr>
                <w:sz w:val="18"/>
              </w:rPr>
            </w:pPr>
            <w:r>
              <w:rPr>
                <w:sz w:val="18"/>
              </w:rPr>
              <w:t>Female</w:t>
            </w:r>
          </w:p>
        </w:tc>
        <w:tc>
          <w:tcPr>
            <w:tcW w:w="2216" w:type="dxa"/>
            <w:tcBorders>
              <w:top w:val="single" w:sz="6" w:space="0" w:color="000000"/>
              <w:bottom w:val="nil"/>
            </w:tcBorders>
            <w:vAlign w:val="center"/>
          </w:tcPr>
          <w:p w:rsidR="00000000" w:rsidRDefault="00216019">
            <w:pPr>
              <w:jc w:val="center"/>
              <w:rPr>
                <w:sz w:val="20"/>
              </w:rPr>
            </w:pPr>
            <w:r>
              <w:rPr>
                <w:sz w:val="20"/>
              </w:rPr>
              <w:t>85</w:t>
            </w:r>
          </w:p>
        </w:tc>
        <w:tc>
          <w:tcPr>
            <w:tcW w:w="1662" w:type="dxa"/>
            <w:tcBorders>
              <w:top w:val="single" w:sz="6" w:space="0" w:color="000000"/>
              <w:bottom w:val="nil"/>
            </w:tcBorders>
            <w:vAlign w:val="center"/>
          </w:tcPr>
          <w:p w:rsidR="00000000" w:rsidRDefault="00216019">
            <w:pPr>
              <w:jc w:val="center"/>
              <w:rPr>
                <w:sz w:val="20"/>
              </w:rPr>
            </w:pPr>
            <w:r>
              <w:rPr>
                <w:sz w:val="20"/>
              </w:rPr>
              <w:t>5,455</w:t>
            </w:r>
          </w:p>
        </w:tc>
        <w:tc>
          <w:tcPr>
            <w:tcW w:w="1981" w:type="dxa"/>
            <w:tcBorders>
              <w:top w:val="single" w:sz="6" w:space="0" w:color="000000"/>
              <w:bottom w:val="nil"/>
            </w:tcBorders>
            <w:vAlign w:val="center"/>
          </w:tcPr>
          <w:p w:rsidR="00000000" w:rsidRDefault="00216019">
            <w:pPr>
              <w:jc w:val="center"/>
              <w:rPr>
                <w:sz w:val="20"/>
              </w:rPr>
            </w:pPr>
            <w:r>
              <w:rPr>
                <w:sz w:val="20"/>
              </w:rPr>
              <w:t>1.6%</w:t>
            </w:r>
          </w:p>
        </w:tc>
      </w:tr>
      <w:tr w:rsidR="00000000">
        <w:tblPrEx>
          <w:tblCellMar>
            <w:top w:w="0" w:type="dxa"/>
            <w:bottom w:w="0" w:type="dxa"/>
          </w:tblCellMar>
        </w:tblPrEx>
        <w:tc>
          <w:tcPr>
            <w:tcW w:w="1717" w:type="dxa"/>
            <w:tcBorders>
              <w:top w:val="nil"/>
              <w:bottom w:val="single" w:sz="6" w:space="0" w:color="000000"/>
            </w:tcBorders>
            <w:vAlign w:val="center"/>
          </w:tcPr>
          <w:p w:rsidR="00000000" w:rsidRDefault="00216019">
            <w:pPr>
              <w:rPr>
                <w:b/>
                <w:sz w:val="18"/>
              </w:rPr>
            </w:pPr>
          </w:p>
        </w:tc>
        <w:tc>
          <w:tcPr>
            <w:tcW w:w="1671" w:type="dxa"/>
            <w:tcBorders>
              <w:top w:val="nil"/>
              <w:bottom w:val="single" w:sz="6" w:space="0" w:color="000000"/>
            </w:tcBorders>
            <w:vAlign w:val="center"/>
          </w:tcPr>
          <w:p w:rsidR="00000000" w:rsidRDefault="00216019">
            <w:pPr>
              <w:rPr>
                <w:sz w:val="18"/>
              </w:rPr>
            </w:pPr>
            <w:r>
              <w:rPr>
                <w:sz w:val="18"/>
              </w:rPr>
              <w:t>Male</w:t>
            </w:r>
          </w:p>
        </w:tc>
        <w:tc>
          <w:tcPr>
            <w:tcW w:w="2216" w:type="dxa"/>
            <w:tcBorders>
              <w:top w:val="nil"/>
              <w:bottom w:val="single" w:sz="6" w:space="0" w:color="000000"/>
            </w:tcBorders>
            <w:vAlign w:val="center"/>
          </w:tcPr>
          <w:p w:rsidR="00000000" w:rsidRDefault="00216019">
            <w:pPr>
              <w:jc w:val="center"/>
              <w:rPr>
                <w:sz w:val="20"/>
              </w:rPr>
            </w:pPr>
            <w:r>
              <w:rPr>
                <w:sz w:val="20"/>
              </w:rPr>
              <w:t>296</w:t>
            </w:r>
          </w:p>
        </w:tc>
        <w:tc>
          <w:tcPr>
            <w:tcW w:w="1662" w:type="dxa"/>
            <w:tcBorders>
              <w:top w:val="nil"/>
              <w:bottom w:val="single" w:sz="6" w:space="0" w:color="000000"/>
            </w:tcBorders>
            <w:vAlign w:val="center"/>
          </w:tcPr>
          <w:p w:rsidR="00000000" w:rsidRDefault="00216019">
            <w:pPr>
              <w:jc w:val="center"/>
              <w:rPr>
                <w:sz w:val="20"/>
              </w:rPr>
            </w:pPr>
            <w:r>
              <w:rPr>
                <w:sz w:val="20"/>
              </w:rPr>
              <w:t>5,602</w:t>
            </w:r>
          </w:p>
        </w:tc>
        <w:tc>
          <w:tcPr>
            <w:tcW w:w="1981" w:type="dxa"/>
            <w:tcBorders>
              <w:top w:val="nil"/>
              <w:bottom w:val="single" w:sz="6" w:space="0" w:color="000000"/>
            </w:tcBorders>
            <w:vAlign w:val="center"/>
          </w:tcPr>
          <w:p w:rsidR="00000000" w:rsidRDefault="00216019">
            <w:pPr>
              <w:jc w:val="center"/>
              <w:rPr>
                <w:sz w:val="20"/>
              </w:rPr>
            </w:pPr>
            <w:r>
              <w:rPr>
                <w:sz w:val="20"/>
              </w:rPr>
              <w:t>5.3%</w:t>
            </w:r>
          </w:p>
        </w:tc>
      </w:tr>
      <w:tr w:rsidR="00000000">
        <w:tblPrEx>
          <w:tblCellMar>
            <w:top w:w="0" w:type="dxa"/>
            <w:bottom w:w="0" w:type="dxa"/>
          </w:tblCellMar>
        </w:tblPrEx>
        <w:tc>
          <w:tcPr>
            <w:tcW w:w="1717" w:type="dxa"/>
            <w:tcBorders>
              <w:top w:val="single" w:sz="6" w:space="0" w:color="000000"/>
              <w:bottom w:val="nil"/>
            </w:tcBorders>
            <w:vAlign w:val="center"/>
          </w:tcPr>
          <w:p w:rsidR="00000000" w:rsidRDefault="00216019">
            <w:pPr>
              <w:rPr>
                <w:b/>
                <w:sz w:val="18"/>
              </w:rPr>
            </w:pPr>
            <w:r>
              <w:rPr>
                <w:b/>
                <w:sz w:val="18"/>
              </w:rPr>
              <w:t>African-American</w:t>
            </w:r>
          </w:p>
        </w:tc>
        <w:tc>
          <w:tcPr>
            <w:tcW w:w="1671" w:type="dxa"/>
            <w:tcBorders>
              <w:top w:val="single" w:sz="6" w:space="0" w:color="000000"/>
              <w:bottom w:val="nil"/>
            </w:tcBorders>
            <w:vAlign w:val="center"/>
          </w:tcPr>
          <w:p w:rsidR="00000000" w:rsidRDefault="00216019">
            <w:pPr>
              <w:rPr>
                <w:sz w:val="18"/>
              </w:rPr>
            </w:pPr>
            <w:r>
              <w:rPr>
                <w:sz w:val="18"/>
              </w:rPr>
              <w:t>Fema</w:t>
            </w:r>
            <w:r>
              <w:rPr>
                <w:sz w:val="18"/>
              </w:rPr>
              <w:t>le</w:t>
            </w:r>
          </w:p>
        </w:tc>
        <w:tc>
          <w:tcPr>
            <w:tcW w:w="2216" w:type="dxa"/>
            <w:tcBorders>
              <w:top w:val="single" w:sz="6" w:space="0" w:color="000000"/>
              <w:bottom w:val="nil"/>
            </w:tcBorders>
            <w:vAlign w:val="center"/>
          </w:tcPr>
          <w:p w:rsidR="00000000" w:rsidRDefault="00216019">
            <w:pPr>
              <w:jc w:val="center"/>
              <w:rPr>
                <w:sz w:val="20"/>
              </w:rPr>
            </w:pPr>
            <w:r>
              <w:rPr>
                <w:sz w:val="20"/>
              </w:rPr>
              <w:t>2</w:t>
            </w:r>
          </w:p>
        </w:tc>
        <w:tc>
          <w:tcPr>
            <w:tcW w:w="1662" w:type="dxa"/>
            <w:tcBorders>
              <w:top w:val="single" w:sz="6" w:space="0" w:color="000000"/>
              <w:bottom w:val="nil"/>
            </w:tcBorders>
            <w:vAlign w:val="center"/>
          </w:tcPr>
          <w:p w:rsidR="00000000" w:rsidRDefault="00216019">
            <w:pPr>
              <w:jc w:val="center"/>
              <w:rPr>
                <w:sz w:val="20"/>
              </w:rPr>
            </w:pPr>
            <w:r>
              <w:rPr>
                <w:sz w:val="20"/>
              </w:rPr>
              <w:t>90</w:t>
            </w:r>
          </w:p>
        </w:tc>
        <w:tc>
          <w:tcPr>
            <w:tcW w:w="1981" w:type="dxa"/>
            <w:tcBorders>
              <w:top w:val="single" w:sz="6" w:space="0" w:color="000000"/>
              <w:bottom w:val="nil"/>
            </w:tcBorders>
            <w:vAlign w:val="center"/>
          </w:tcPr>
          <w:p w:rsidR="00000000" w:rsidRDefault="00216019">
            <w:pPr>
              <w:jc w:val="center"/>
              <w:rPr>
                <w:sz w:val="20"/>
              </w:rPr>
            </w:pPr>
            <w:r>
              <w:rPr>
                <w:sz w:val="20"/>
              </w:rPr>
              <w:t>2.2%</w:t>
            </w:r>
          </w:p>
        </w:tc>
      </w:tr>
      <w:tr w:rsidR="00000000">
        <w:tblPrEx>
          <w:tblCellMar>
            <w:top w:w="0" w:type="dxa"/>
            <w:bottom w:w="0" w:type="dxa"/>
          </w:tblCellMar>
        </w:tblPrEx>
        <w:tc>
          <w:tcPr>
            <w:tcW w:w="1717" w:type="dxa"/>
            <w:tcBorders>
              <w:top w:val="nil"/>
              <w:bottom w:val="single" w:sz="6" w:space="0" w:color="000000"/>
            </w:tcBorders>
            <w:vAlign w:val="center"/>
          </w:tcPr>
          <w:p w:rsidR="00000000" w:rsidRDefault="00216019">
            <w:pPr>
              <w:rPr>
                <w:b/>
                <w:sz w:val="18"/>
              </w:rPr>
            </w:pPr>
          </w:p>
        </w:tc>
        <w:tc>
          <w:tcPr>
            <w:tcW w:w="1671" w:type="dxa"/>
            <w:tcBorders>
              <w:top w:val="nil"/>
              <w:bottom w:val="single" w:sz="6" w:space="0" w:color="000000"/>
            </w:tcBorders>
            <w:vAlign w:val="center"/>
          </w:tcPr>
          <w:p w:rsidR="00000000" w:rsidRDefault="00216019">
            <w:pPr>
              <w:rPr>
                <w:sz w:val="18"/>
              </w:rPr>
            </w:pPr>
            <w:r>
              <w:rPr>
                <w:sz w:val="18"/>
              </w:rPr>
              <w:t>Male</w:t>
            </w:r>
          </w:p>
        </w:tc>
        <w:tc>
          <w:tcPr>
            <w:tcW w:w="2216" w:type="dxa"/>
            <w:tcBorders>
              <w:top w:val="nil"/>
              <w:bottom w:val="single" w:sz="6" w:space="0" w:color="000000"/>
            </w:tcBorders>
            <w:vAlign w:val="center"/>
          </w:tcPr>
          <w:p w:rsidR="00000000" w:rsidRDefault="00216019">
            <w:pPr>
              <w:jc w:val="center"/>
              <w:rPr>
                <w:sz w:val="20"/>
              </w:rPr>
            </w:pPr>
            <w:r>
              <w:rPr>
                <w:sz w:val="20"/>
              </w:rPr>
              <w:t>5</w:t>
            </w:r>
          </w:p>
        </w:tc>
        <w:tc>
          <w:tcPr>
            <w:tcW w:w="1662" w:type="dxa"/>
            <w:tcBorders>
              <w:top w:val="nil"/>
              <w:bottom w:val="single" w:sz="6" w:space="0" w:color="000000"/>
            </w:tcBorders>
            <w:vAlign w:val="center"/>
          </w:tcPr>
          <w:p w:rsidR="00000000" w:rsidRDefault="00216019">
            <w:pPr>
              <w:jc w:val="center"/>
              <w:rPr>
                <w:sz w:val="20"/>
              </w:rPr>
            </w:pPr>
            <w:r>
              <w:rPr>
                <w:sz w:val="20"/>
              </w:rPr>
              <w:t>121</w:t>
            </w:r>
          </w:p>
        </w:tc>
        <w:tc>
          <w:tcPr>
            <w:tcW w:w="1981" w:type="dxa"/>
            <w:tcBorders>
              <w:top w:val="nil"/>
              <w:bottom w:val="single" w:sz="6" w:space="0" w:color="000000"/>
            </w:tcBorders>
            <w:vAlign w:val="center"/>
          </w:tcPr>
          <w:p w:rsidR="00000000" w:rsidRDefault="00216019">
            <w:pPr>
              <w:jc w:val="center"/>
              <w:rPr>
                <w:sz w:val="20"/>
              </w:rPr>
            </w:pPr>
            <w:r>
              <w:rPr>
                <w:sz w:val="20"/>
              </w:rPr>
              <w:t>4.1%</w:t>
            </w:r>
          </w:p>
        </w:tc>
      </w:tr>
      <w:tr w:rsidR="00000000">
        <w:tblPrEx>
          <w:tblCellMar>
            <w:top w:w="0" w:type="dxa"/>
            <w:bottom w:w="0" w:type="dxa"/>
          </w:tblCellMar>
        </w:tblPrEx>
        <w:tc>
          <w:tcPr>
            <w:tcW w:w="1717" w:type="dxa"/>
            <w:tcBorders>
              <w:top w:val="single" w:sz="6" w:space="0" w:color="000000"/>
              <w:bottom w:val="nil"/>
            </w:tcBorders>
            <w:vAlign w:val="center"/>
          </w:tcPr>
          <w:p w:rsidR="00000000" w:rsidRDefault="00216019">
            <w:pPr>
              <w:rPr>
                <w:b/>
                <w:sz w:val="18"/>
              </w:rPr>
            </w:pPr>
            <w:r>
              <w:rPr>
                <w:b/>
                <w:sz w:val="18"/>
              </w:rPr>
              <w:t>Hispanic</w:t>
            </w:r>
          </w:p>
        </w:tc>
        <w:tc>
          <w:tcPr>
            <w:tcW w:w="1671" w:type="dxa"/>
            <w:tcBorders>
              <w:top w:val="single" w:sz="6" w:space="0" w:color="000000"/>
              <w:bottom w:val="nil"/>
            </w:tcBorders>
            <w:vAlign w:val="center"/>
          </w:tcPr>
          <w:p w:rsidR="00000000" w:rsidRDefault="00216019">
            <w:pPr>
              <w:rPr>
                <w:sz w:val="18"/>
              </w:rPr>
            </w:pPr>
            <w:r>
              <w:rPr>
                <w:sz w:val="18"/>
              </w:rPr>
              <w:t>Female</w:t>
            </w:r>
          </w:p>
        </w:tc>
        <w:tc>
          <w:tcPr>
            <w:tcW w:w="2216" w:type="dxa"/>
            <w:tcBorders>
              <w:top w:val="single" w:sz="6" w:space="0" w:color="000000"/>
              <w:bottom w:val="nil"/>
            </w:tcBorders>
            <w:vAlign w:val="center"/>
          </w:tcPr>
          <w:p w:rsidR="00000000" w:rsidRDefault="00216019">
            <w:pPr>
              <w:jc w:val="center"/>
              <w:rPr>
                <w:sz w:val="20"/>
              </w:rPr>
            </w:pPr>
            <w:r>
              <w:rPr>
                <w:sz w:val="20"/>
              </w:rPr>
              <w:t>1</w:t>
            </w:r>
          </w:p>
        </w:tc>
        <w:tc>
          <w:tcPr>
            <w:tcW w:w="1662" w:type="dxa"/>
            <w:tcBorders>
              <w:top w:val="single" w:sz="6" w:space="0" w:color="000000"/>
              <w:bottom w:val="nil"/>
            </w:tcBorders>
            <w:vAlign w:val="center"/>
          </w:tcPr>
          <w:p w:rsidR="00000000" w:rsidRDefault="00216019">
            <w:pPr>
              <w:jc w:val="center"/>
              <w:rPr>
                <w:sz w:val="20"/>
              </w:rPr>
            </w:pPr>
            <w:r>
              <w:rPr>
                <w:sz w:val="20"/>
              </w:rPr>
              <w:t>222</w:t>
            </w:r>
          </w:p>
        </w:tc>
        <w:tc>
          <w:tcPr>
            <w:tcW w:w="1981" w:type="dxa"/>
            <w:tcBorders>
              <w:top w:val="single" w:sz="6" w:space="0" w:color="000000"/>
              <w:bottom w:val="nil"/>
            </w:tcBorders>
            <w:vAlign w:val="center"/>
          </w:tcPr>
          <w:p w:rsidR="00000000" w:rsidRDefault="00216019">
            <w:pPr>
              <w:jc w:val="center"/>
              <w:rPr>
                <w:sz w:val="20"/>
              </w:rPr>
            </w:pPr>
            <w:r>
              <w:rPr>
                <w:sz w:val="20"/>
              </w:rPr>
              <w:t>0.5%</w:t>
            </w:r>
          </w:p>
        </w:tc>
      </w:tr>
      <w:tr w:rsidR="00000000">
        <w:tblPrEx>
          <w:tblCellMar>
            <w:top w:w="0" w:type="dxa"/>
            <w:bottom w:w="0" w:type="dxa"/>
          </w:tblCellMar>
        </w:tblPrEx>
        <w:tc>
          <w:tcPr>
            <w:tcW w:w="1717" w:type="dxa"/>
            <w:tcBorders>
              <w:top w:val="nil"/>
              <w:bottom w:val="single" w:sz="6" w:space="0" w:color="000000"/>
            </w:tcBorders>
            <w:vAlign w:val="center"/>
          </w:tcPr>
          <w:p w:rsidR="00000000" w:rsidRDefault="00216019">
            <w:pPr>
              <w:rPr>
                <w:b/>
                <w:sz w:val="18"/>
              </w:rPr>
            </w:pPr>
          </w:p>
        </w:tc>
        <w:tc>
          <w:tcPr>
            <w:tcW w:w="1671" w:type="dxa"/>
            <w:tcBorders>
              <w:top w:val="nil"/>
              <w:bottom w:val="single" w:sz="6" w:space="0" w:color="000000"/>
            </w:tcBorders>
            <w:vAlign w:val="center"/>
          </w:tcPr>
          <w:p w:rsidR="00000000" w:rsidRDefault="00216019">
            <w:pPr>
              <w:rPr>
                <w:sz w:val="18"/>
              </w:rPr>
            </w:pPr>
            <w:r>
              <w:rPr>
                <w:sz w:val="18"/>
              </w:rPr>
              <w:t>Male</w:t>
            </w:r>
          </w:p>
        </w:tc>
        <w:tc>
          <w:tcPr>
            <w:tcW w:w="2216" w:type="dxa"/>
            <w:tcBorders>
              <w:top w:val="nil"/>
              <w:bottom w:val="single" w:sz="6" w:space="0" w:color="000000"/>
            </w:tcBorders>
            <w:vAlign w:val="center"/>
          </w:tcPr>
          <w:p w:rsidR="00000000" w:rsidRDefault="00216019">
            <w:pPr>
              <w:jc w:val="center"/>
              <w:rPr>
                <w:sz w:val="20"/>
              </w:rPr>
            </w:pPr>
            <w:r>
              <w:rPr>
                <w:sz w:val="20"/>
              </w:rPr>
              <w:t>3</w:t>
            </w:r>
          </w:p>
        </w:tc>
        <w:tc>
          <w:tcPr>
            <w:tcW w:w="1662" w:type="dxa"/>
            <w:tcBorders>
              <w:top w:val="nil"/>
              <w:bottom w:val="single" w:sz="6" w:space="0" w:color="000000"/>
            </w:tcBorders>
            <w:vAlign w:val="center"/>
          </w:tcPr>
          <w:p w:rsidR="00000000" w:rsidRDefault="00216019">
            <w:pPr>
              <w:jc w:val="center"/>
              <w:rPr>
                <w:sz w:val="20"/>
              </w:rPr>
            </w:pPr>
            <w:r>
              <w:rPr>
                <w:sz w:val="20"/>
              </w:rPr>
              <w:t>228</w:t>
            </w:r>
          </w:p>
        </w:tc>
        <w:tc>
          <w:tcPr>
            <w:tcW w:w="1981" w:type="dxa"/>
            <w:tcBorders>
              <w:top w:val="nil"/>
              <w:bottom w:val="single" w:sz="6" w:space="0" w:color="000000"/>
            </w:tcBorders>
            <w:vAlign w:val="center"/>
          </w:tcPr>
          <w:p w:rsidR="00000000" w:rsidRDefault="00216019">
            <w:pPr>
              <w:jc w:val="center"/>
              <w:rPr>
                <w:sz w:val="20"/>
                <w:vertAlign w:val="superscript"/>
              </w:rPr>
            </w:pPr>
            <w:r>
              <w:rPr>
                <w:sz w:val="20"/>
              </w:rPr>
              <w:t>1.3%</w:t>
            </w:r>
          </w:p>
        </w:tc>
      </w:tr>
      <w:tr w:rsidR="00000000">
        <w:tblPrEx>
          <w:tblCellMar>
            <w:top w:w="0" w:type="dxa"/>
            <w:bottom w:w="0" w:type="dxa"/>
          </w:tblCellMar>
        </w:tblPrEx>
        <w:tc>
          <w:tcPr>
            <w:tcW w:w="1717" w:type="dxa"/>
            <w:tcBorders>
              <w:top w:val="single" w:sz="6" w:space="0" w:color="000000"/>
              <w:bottom w:val="nil"/>
            </w:tcBorders>
            <w:vAlign w:val="center"/>
          </w:tcPr>
          <w:p w:rsidR="00000000" w:rsidRDefault="00216019">
            <w:pPr>
              <w:rPr>
                <w:b/>
                <w:sz w:val="18"/>
              </w:rPr>
            </w:pPr>
            <w:r>
              <w:rPr>
                <w:b/>
                <w:sz w:val="18"/>
              </w:rPr>
              <w:t>Native American</w:t>
            </w:r>
          </w:p>
        </w:tc>
        <w:tc>
          <w:tcPr>
            <w:tcW w:w="1671" w:type="dxa"/>
            <w:tcBorders>
              <w:top w:val="single" w:sz="6" w:space="0" w:color="000000"/>
              <w:bottom w:val="nil"/>
            </w:tcBorders>
            <w:vAlign w:val="center"/>
          </w:tcPr>
          <w:p w:rsidR="00000000" w:rsidRDefault="00216019">
            <w:pPr>
              <w:rPr>
                <w:sz w:val="18"/>
              </w:rPr>
            </w:pPr>
            <w:r>
              <w:rPr>
                <w:sz w:val="18"/>
              </w:rPr>
              <w:t>Female</w:t>
            </w:r>
          </w:p>
        </w:tc>
        <w:tc>
          <w:tcPr>
            <w:tcW w:w="2216" w:type="dxa"/>
            <w:tcBorders>
              <w:top w:val="single" w:sz="6" w:space="0" w:color="000000"/>
              <w:bottom w:val="nil"/>
            </w:tcBorders>
            <w:vAlign w:val="center"/>
          </w:tcPr>
          <w:p w:rsidR="00000000" w:rsidRDefault="00216019">
            <w:pPr>
              <w:jc w:val="center"/>
              <w:rPr>
                <w:sz w:val="20"/>
              </w:rPr>
            </w:pPr>
            <w:r>
              <w:rPr>
                <w:sz w:val="20"/>
              </w:rPr>
              <w:t>1</w:t>
            </w:r>
          </w:p>
        </w:tc>
        <w:tc>
          <w:tcPr>
            <w:tcW w:w="1662" w:type="dxa"/>
            <w:tcBorders>
              <w:top w:val="single" w:sz="6" w:space="0" w:color="000000"/>
              <w:bottom w:val="nil"/>
            </w:tcBorders>
            <w:vAlign w:val="center"/>
          </w:tcPr>
          <w:p w:rsidR="00000000" w:rsidRDefault="00216019">
            <w:pPr>
              <w:jc w:val="center"/>
              <w:rPr>
                <w:sz w:val="20"/>
              </w:rPr>
            </w:pPr>
            <w:r>
              <w:rPr>
                <w:sz w:val="20"/>
              </w:rPr>
              <w:t>24</w:t>
            </w:r>
          </w:p>
        </w:tc>
        <w:tc>
          <w:tcPr>
            <w:tcW w:w="1981" w:type="dxa"/>
            <w:tcBorders>
              <w:top w:val="single" w:sz="6" w:space="0" w:color="000000"/>
              <w:bottom w:val="nil"/>
            </w:tcBorders>
            <w:vAlign w:val="center"/>
          </w:tcPr>
          <w:p w:rsidR="00000000" w:rsidRDefault="00216019">
            <w:pPr>
              <w:jc w:val="center"/>
              <w:rPr>
                <w:sz w:val="20"/>
              </w:rPr>
            </w:pPr>
            <w:r>
              <w:rPr>
                <w:sz w:val="20"/>
              </w:rPr>
              <w:t>4.2%</w:t>
            </w:r>
            <w:r>
              <w:rPr>
                <w:sz w:val="20"/>
                <w:vertAlign w:val="superscript"/>
              </w:rPr>
              <w:t>*</w:t>
            </w:r>
          </w:p>
        </w:tc>
      </w:tr>
      <w:tr w:rsidR="00000000">
        <w:tblPrEx>
          <w:tblCellMar>
            <w:top w:w="0" w:type="dxa"/>
            <w:bottom w:w="0" w:type="dxa"/>
          </w:tblCellMar>
        </w:tblPrEx>
        <w:tc>
          <w:tcPr>
            <w:tcW w:w="1717" w:type="dxa"/>
            <w:tcBorders>
              <w:top w:val="nil"/>
              <w:bottom w:val="single" w:sz="6" w:space="0" w:color="000000"/>
            </w:tcBorders>
            <w:vAlign w:val="center"/>
          </w:tcPr>
          <w:p w:rsidR="00000000" w:rsidRDefault="00216019">
            <w:pPr>
              <w:rPr>
                <w:b/>
                <w:sz w:val="18"/>
              </w:rPr>
            </w:pPr>
          </w:p>
        </w:tc>
        <w:tc>
          <w:tcPr>
            <w:tcW w:w="1671" w:type="dxa"/>
            <w:tcBorders>
              <w:top w:val="nil"/>
              <w:bottom w:val="single" w:sz="6" w:space="0" w:color="000000"/>
            </w:tcBorders>
            <w:vAlign w:val="center"/>
          </w:tcPr>
          <w:p w:rsidR="00000000" w:rsidRDefault="00216019">
            <w:pPr>
              <w:rPr>
                <w:sz w:val="18"/>
              </w:rPr>
            </w:pPr>
            <w:r>
              <w:rPr>
                <w:sz w:val="18"/>
              </w:rPr>
              <w:t>Male</w:t>
            </w:r>
          </w:p>
        </w:tc>
        <w:tc>
          <w:tcPr>
            <w:tcW w:w="2216" w:type="dxa"/>
            <w:tcBorders>
              <w:top w:val="nil"/>
              <w:bottom w:val="single" w:sz="6" w:space="0" w:color="000000"/>
            </w:tcBorders>
            <w:vAlign w:val="center"/>
          </w:tcPr>
          <w:p w:rsidR="00000000" w:rsidRDefault="00216019">
            <w:pPr>
              <w:jc w:val="center"/>
              <w:rPr>
                <w:sz w:val="20"/>
              </w:rPr>
            </w:pPr>
            <w:r>
              <w:rPr>
                <w:sz w:val="20"/>
              </w:rPr>
              <w:t>0</w:t>
            </w:r>
          </w:p>
        </w:tc>
        <w:tc>
          <w:tcPr>
            <w:tcW w:w="1662" w:type="dxa"/>
            <w:tcBorders>
              <w:top w:val="nil"/>
              <w:bottom w:val="single" w:sz="6" w:space="0" w:color="000000"/>
            </w:tcBorders>
            <w:vAlign w:val="center"/>
          </w:tcPr>
          <w:p w:rsidR="00000000" w:rsidRDefault="00216019">
            <w:pPr>
              <w:jc w:val="center"/>
              <w:rPr>
                <w:sz w:val="20"/>
              </w:rPr>
            </w:pPr>
            <w:r>
              <w:rPr>
                <w:sz w:val="20"/>
              </w:rPr>
              <w:t>30</w:t>
            </w:r>
          </w:p>
        </w:tc>
        <w:tc>
          <w:tcPr>
            <w:tcW w:w="1981" w:type="dxa"/>
            <w:tcBorders>
              <w:top w:val="nil"/>
              <w:bottom w:val="single" w:sz="6" w:space="0" w:color="000000"/>
            </w:tcBorders>
            <w:vAlign w:val="center"/>
          </w:tcPr>
          <w:p w:rsidR="00000000" w:rsidRDefault="00216019">
            <w:pPr>
              <w:jc w:val="center"/>
              <w:rPr>
                <w:sz w:val="20"/>
                <w:vertAlign w:val="superscript"/>
              </w:rPr>
            </w:pPr>
            <w:r>
              <w:rPr>
                <w:sz w:val="20"/>
              </w:rPr>
              <w:t>0.0%</w:t>
            </w:r>
            <w:r>
              <w:rPr>
                <w:sz w:val="20"/>
                <w:vertAlign w:val="superscript"/>
              </w:rPr>
              <w:t>*</w:t>
            </w:r>
          </w:p>
        </w:tc>
      </w:tr>
      <w:tr w:rsidR="00000000">
        <w:tblPrEx>
          <w:tblCellMar>
            <w:top w:w="0" w:type="dxa"/>
            <w:bottom w:w="0" w:type="dxa"/>
          </w:tblCellMar>
        </w:tblPrEx>
        <w:tc>
          <w:tcPr>
            <w:tcW w:w="1717" w:type="dxa"/>
            <w:tcBorders>
              <w:top w:val="single" w:sz="6" w:space="0" w:color="000000"/>
              <w:bottom w:val="nil"/>
            </w:tcBorders>
            <w:vAlign w:val="center"/>
          </w:tcPr>
          <w:p w:rsidR="00000000" w:rsidRDefault="00216019">
            <w:pPr>
              <w:rPr>
                <w:b/>
                <w:sz w:val="18"/>
              </w:rPr>
            </w:pPr>
            <w:r>
              <w:rPr>
                <w:b/>
                <w:sz w:val="18"/>
              </w:rPr>
              <w:t>Asian</w:t>
            </w:r>
          </w:p>
        </w:tc>
        <w:tc>
          <w:tcPr>
            <w:tcW w:w="1671" w:type="dxa"/>
            <w:tcBorders>
              <w:top w:val="single" w:sz="6" w:space="0" w:color="000000"/>
              <w:bottom w:val="nil"/>
            </w:tcBorders>
            <w:vAlign w:val="center"/>
          </w:tcPr>
          <w:p w:rsidR="00000000" w:rsidRDefault="00216019">
            <w:pPr>
              <w:rPr>
                <w:sz w:val="18"/>
              </w:rPr>
            </w:pPr>
            <w:r>
              <w:rPr>
                <w:sz w:val="18"/>
              </w:rPr>
              <w:t>Female</w:t>
            </w:r>
          </w:p>
        </w:tc>
        <w:tc>
          <w:tcPr>
            <w:tcW w:w="2216" w:type="dxa"/>
            <w:tcBorders>
              <w:top w:val="single" w:sz="6" w:space="0" w:color="000000"/>
              <w:bottom w:val="nil"/>
            </w:tcBorders>
            <w:vAlign w:val="center"/>
          </w:tcPr>
          <w:p w:rsidR="00000000" w:rsidRDefault="00216019">
            <w:pPr>
              <w:jc w:val="center"/>
              <w:rPr>
                <w:sz w:val="20"/>
              </w:rPr>
            </w:pPr>
            <w:r>
              <w:rPr>
                <w:sz w:val="20"/>
              </w:rPr>
              <w:t>0</w:t>
            </w:r>
          </w:p>
        </w:tc>
        <w:tc>
          <w:tcPr>
            <w:tcW w:w="1662" w:type="dxa"/>
            <w:tcBorders>
              <w:top w:val="single" w:sz="6" w:space="0" w:color="000000"/>
              <w:bottom w:val="nil"/>
            </w:tcBorders>
            <w:vAlign w:val="center"/>
          </w:tcPr>
          <w:p w:rsidR="00000000" w:rsidRDefault="00216019">
            <w:pPr>
              <w:jc w:val="center"/>
              <w:rPr>
                <w:sz w:val="20"/>
              </w:rPr>
            </w:pPr>
            <w:r>
              <w:rPr>
                <w:sz w:val="20"/>
              </w:rPr>
              <w:t>31</w:t>
            </w:r>
          </w:p>
        </w:tc>
        <w:tc>
          <w:tcPr>
            <w:tcW w:w="1981" w:type="dxa"/>
            <w:tcBorders>
              <w:top w:val="single" w:sz="6" w:space="0" w:color="000000"/>
              <w:bottom w:val="nil"/>
            </w:tcBorders>
            <w:vAlign w:val="center"/>
          </w:tcPr>
          <w:p w:rsidR="00000000" w:rsidRDefault="00216019">
            <w:pPr>
              <w:jc w:val="center"/>
              <w:rPr>
                <w:sz w:val="20"/>
                <w:vertAlign w:val="superscript"/>
              </w:rPr>
            </w:pPr>
            <w:r>
              <w:rPr>
                <w:sz w:val="20"/>
              </w:rPr>
              <w:t>0.0%</w:t>
            </w:r>
            <w:r>
              <w:rPr>
                <w:sz w:val="20"/>
                <w:vertAlign w:val="superscript"/>
              </w:rPr>
              <w:t>*</w:t>
            </w:r>
          </w:p>
        </w:tc>
      </w:tr>
      <w:tr w:rsidR="00000000">
        <w:tblPrEx>
          <w:tblCellMar>
            <w:top w:w="0" w:type="dxa"/>
            <w:bottom w:w="0" w:type="dxa"/>
          </w:tblCellMar>
        </w:tblPrEx>
        <w:tc>
          <w:tcPr>
            <w:tcW w:w="1717" w:type="dxa"/>
            <w:tcBorders>
              <w:top w:val="nil"/>
              <w:bottom w:val="single" w:sz="6" w:space="0" w:color="000000"/>
            </w:tcBorders>
            <w:vAlign w:val="center"/>
          </w:tcPr>
          <w:p w:rsidR="00000000" w:rsidRDefault="00216019">
            <w:pPr>
              <w:rPr>
                <w:b/>
                <w:sz w:val="18"/>
              </w:rPr>
            </w:pPr>
          </w:p>
        </w:tc>
        <w:tc>
          <w:tcPr>
            <w:tcW w:w="1671" w:type="dxa"/>
            <w:tcBorders>
              <w:top w:val="nil"/>
              <w:bottom w:val="single" w:sz="6" w:space="0" w:color="000000"/>
            </w:tcBorders>
            <w:vAlign w:val="center"/>
          </w:tcPr>
          <w:p w:rsidR="00000000" w:rsidRDefault="00216019">
            <w:pPr>
              <w:rPr>
                <w:sz w:val="18"/>
              </w:rPr>
            </w:pPr>
            <w:r>
              <w:rPr>
                <w:sz w:val="18"/>
              </w:rPr>
              <w:t>Male</w:t>
            </w:r>
          </w:p>
        </w:tc>
        <w:tc>
          <w:tcPr>
            <w:tcW w:w="2216" w:type="dxa"/>
            <w:tcBorders>
              <w:top w:val="nil"/>
              <w:bottom w:val="single" w:sz="6" w:space="0" w:color="000000"/>
            </w:tcBorders>
            <w:vAlign w:val="center"/>
          </w:tcPr>
          <w:p w:rsidR="00000000" w:rsidRDefault="00216019">
            <w:pPr>
              <w:jc w:val="center"/>
              <w:rPr>
                <w:sz w:val="20"/>
              </w:rPr>
            </w:pPr>
            <w:r>
              <w:rPr>
                <w:sz w:val="20"/>
              </w:rPr>
              <w:t>0</w:t>
            </w:r>
          </w:p>
        </w:tc>
        <w:tc>
          <w:tcPr>
            <w:tcW w:w="1662" w:type="dxa"/>
            <w:tcBorders>
              <w:top w:val="nil"/>
              <w:bottom w:val="single" w:sz="6" w:space="0" w:color="000000"/>
            </w:tcBorders>
            <w:vAlign w:val="center"/>
          </w:tcPr>
          <w:p w:rsidR="00000000" w:rsidRDefault="00216019">
            <w:pPr>
              <w:jc w:val="center"/>
              <w:rPr>
                <w:sz w:val="20"/>
              </w:rPr>
            </w:pPr>
            <w:r>
              <w:rPr>
                <w:sz w:val="20"/>
              </w:rPr>
              <w:t>32</w:t>
            </w:r>
          </w:p>
        </w:tc>
        <w:tc>
          <w:tcPr>
            <w:tcW w:w="1981" w:type="dxa"/>
            <w:tcBorders>
              <w:top w:val="nil"/>
              <w:bottom w:val="single" w:sz="6" w:space="0" w:color="000000"/>
            </w:tcBorders>
            <w:vAlign w:val="center"/>
          </w:tcPr>
          <w:p w:rsidR="00000000" w:rsidRDefault="00216019">
            <w:pPr>
              <w:jc w:val="center"/>
              <w:rPr>
                <w:sz w:val="20"/>
                <w:vertAlign w:val="superscript"/>
              </w:rPr>
            </w:pPr>
            <w:r>
              <w:rPr>
                <w:sz w:val="20"/>
              </w:rPr>
              <w:t>0.0%</w:t>
            </w:r>
            <w:r>
              <w:rPr>
                <w:sz w:val="20"/>
                <w:vertAlign w:val="superscript"/>
              </w:rPr>
              <w:t>*</w:t>
            </w:r>
          </w:p>
        </w:tc>
      </w:tr>
      <w:tr w:rsidR="00000000">
        <w:tblPrEx>
          <w:tblCellMar>
            <w:top w:w="0" w:type="dxa"/>
            <w:bottom w:w="0" w:type="dxa"/>
          </w:tblCellMar>
        </w:tblPrEx>
        <w:tc>
          <w:tcPr>
            <w:tcW w:w="1717" w:type="dxa"/>
            <w:tcBorders>
              <w:top w:val="single" w:sz="6" w:space="0" w:color="000000"/>
              <w:bottom w:val="nil"/>
            </w:tcBorders>
            <w:vAlign w:val="center"/>
          </w:tcPr>
          <w:p w:rsidR="00000000" w:rsidRDefault="00216019">
            <w:pPr>
              <w:rPr>
                <w:b/>
                <w:sz w:val="18"/>
              </w:rPr>
            </w:pPr>
            <w:r>
              <w:rPr>
                <w:b/>
                <w:sz w:val="18"/>
              </w:rPr>
              <w:t>Other</w:t>
            </w:r>
          </w:p>
        </w:tc>
        <w:tc>
          <w:tcPr>
            <w:tcW w:w="1671" w:type="dxa"/>
            <w:tcBorders>
              <w:top w:val="single" w:sz="6" w:space="0" w:color="000000"/>
              <w:bottom w:val="nil"/>
            </w:tcBorders>
            <w:vAlign w:val="center"/>
          </w:tcPr>
          <w:p w:rsidR="00000000" w:rsidRDefault="00216019">
            <w:pPr>
              <w:rPr>
                <w:sz w:val="18"/>
              </w:rPr>
            </w:pPr>
            <w:r>
              <w:rPr>
                <w:sz w:val="18"/>
              </w:rPr>
              <w:t>Female</w:t>
            </w:r>
          </w:p>
        </w:tc>
        <w:tc>
          <w:tcPr>
            <w:tcW w:w="2216" w:type="dxa"/>
            <w:tcBorders>
              <w:top w:val="single" w:sz="6" w:space="0" w:color="000000"/>
              <w:bottom w:val="nil"/>
            </w:tcBorders>
            <w:vAlign w:val="center"/>
          </w:tcPr>
          <w:p w:rsidR="00000000" w:rsidRDefault="00216019">
            <w:pPr>
              <w:jc w:val="center"/>
              <w:rPr>
                <w:sz w:val="20"/>
              </w:rPr>
            </w:pPr>
            <w:r>
              <w:rPr>
                <w:sz w:val="20"/>
              </w:rPr>
              <w:t>17</w:t>
            </w:r>
          </w:p>
        </w:tc>
        <w:tc>
          <w:tcPr>
            <w:tcW w:w="1662" w:type="dxa"/>
            <w:tcBorders>
              <w:top w:val="single" w:sz="6" w:space="0" w:color="000000"/>
              <w:bottom w:val="nil"/>
            </w:tcBorders>
            <w:vAlign w:val="center"/>
          </w:tcPr>
          <w:p w:rsidR="00000000" w:rsidRDefault="00216019">
            <w:pPr>
              <w:jc w:val="center"/>
              <w:rPr>
                <w:sz w:val="20"/>
              </w:rPr>
            </w:pPr>
            <w:r>
              <w:rPr>
                <w:sz w:val="20"/>
              </w:rPr>
              <w:t>731</w:t>
            </w:r>
          </w:p>
        </w:tc>
        <w:tc>
          <w:tcPr>
            <w:tcW w:w="1981" w:type="dxa"/>
            <w:tcBorders>
              <w:top w:val="single" w:sz="6" w:space="0" w:color="000000"/>
              <w:bottom w:val="nil"/>
            </w:tcBorders>
            <w:vAlign w:val="center"/>
          </w:tcPr>
          <w:p w:rsidR="00000000" w:rsidRDefault="00216019">
            <w:pPr>
              <w:jc w:val="center"/>
              <w:rPr>
                <w:sz w:val="20"/>
              </w:rPr>
            </w:pPr>
            <w:r>
              <w:rPr>
                <w:sz w:val="20"/>
              </w:rPr>
              <w:t>2.3%</w:t>
            </w:r>
          </w:p>
        </w:tc>
      </w:tr>
      <w:tr w:rsidR="00000000">
        <w:tblPrEx>
          <w:tblCellMar>
            <w:top w:w="0" w:type="dxa"/>
            <w:bottom w:w="0" w:type="dxa"/>
          </w:tblCellMar>
        </w:tblPrEx>
        <w:tc>
          <w:tcPr>
            <w:tcW w:w="1717" w:type="dxa"/>
            <w:tcBorders>
              <w:top w:val="nil"/>
              <w:bottom w:val="thickThinSmallGap" w:sz="24" w:space="0" w:color="auto"/>
            </w:tcBorders>
            <w:vAlign w:val="center"/>
          </w:tcPr>
          <w:p w:rsidR="00000000" w:rsidRDefault="00216019">
            <w:pPr>
              <w:rPr>
                <w:b/>
                <w:sz w:val="18"/>
              </w:rPr>
            </w:pPr>
          </w:p>
        </w:tc>
        <w:tc>
          <w:tcPr>
            <w:tcW w:w="1671" w:type="dxa"/>
            <w:tcBorders>
              <w:top w:val="nil"/>
              <w:bottom w:val="thickThinSmallGap" w:sz="24" w:space="0" w:color="auto"/>
            </w:tcBorders>
            <w:vAlign w:val="center"/>
          </w:tcPr>
          <w:p w:rsidR="00000000" w:rsidRDefault="00216019">
            <w:pPr>
              <w:rPr>
                <w:sz w:val="18"/>
              </w:rPr>
            </w:pPr>
            <w:r>
              <w:rPr>
                <w:sz w:val="18"/>
              </w:rPr>
              <w:t>Male</w:t>
            </w:r>
          </w:p>
        </w:tc>
        <w:tc>
          <w:tcPr>
            <w:tcW w:w="2216" w:type="dxa"/>
            <w:tcBorders>
              <w:top w:val="nil"/>
              <w:bottom w:val="thickThinSmallGap" w:sz="24" w:space="0" w:color="auto"/>
            </w:tcBorders>
            <w:vAlign w:val="center"/>
          </w:tcPr>
          <w:p w:rsidR="00000000" w:rsidRDefault="00216019">
            <w:pPr>
              <w:jc w:val="center"/>
              <w:rPr>
                <w:sz w:val="20"/>
              </w:rPr>
            </w:pPr>
            <w:r>
              <w:rPr>
                <w:sz w:val="20"/>
              </w:rPr>
              <w:t>34</w:t>
            </w:r>
          </w:p>
        </w:tc>
        <w:tc>
          <w:tcPr>
            <w:tcW w:w="1662" w:type="dxa"/>
            <w:tcBorders>
              <w:top w:val="nil"/>
              <w:bottom w:val="thickThinSmallGap" w:sz="24" w:space="0" w:color="auto"/>
            </w:tcBorders>
            <w:vAlign w:val="center"/>
          </w:tcPr>
          <w:p w:rsidR="00000000" w:rsidRDefault="00216019">
            <w:pPr>
              <w:jc w:val="center"/>
              <w:rPr>
                <w:sz w:val="20"/>
              </w:rPr>
            </w:pPr>
            <w:r>
              <w:rPr>
                <w:sz w:val="20"/>
              </w:rPr>
              <w:t>778</w:t>
            </w:r>
          </w:p>
        </w:tc>
        <w:tc>
          <w:tcPr>
            <w:tcW w:w="1981" w:type="dxa"/>
            <w:tcBorders>
              <w:top w:val="nil"/>
              <w:bottom w:val="thickThinSmallGap" w:sz="24" w:space="0" w:color="auto"/>
            </w:tcBorders>
            <w:vAlign w:val="center"/>
          </w:tcPr>
          <w:p w:rsidR="00000000" w:rsidRDefault="00216019">
            <w:pPr>
              <w:jc w:val="center"/>
              <w:rPr>
                <w:sz w:val="20"/>
              </w:rPr>
            </w:pPr>
            <w:r>
              <w:rPr>
                <w:sz w:val="20"/>
              </w:rPr>
              <w:t>4.4%</w:t>
            </w:r>
          </w:p>
        </w:tc>
      </w:tr>
    </w:tbl>
    <w:p w:rsidR="00000000" w:rsidRDefault="00216019">
      <w:pPr>
        <w:rPr>
          <w:sz w:val="18"/>
        </w:rPr>
      </w:pPr>
      <w:r>
        <w:rPr>
          <w:vertAlign w:val="superscript"/>
        </w:rPr>
        <w:t>*</w:t>
      </w:r>
      <w:r>
        <w:rPr>
          <w:sz w:val="18"/>
        </w:rPr>
        <w:t>There are too few children in this c</w:t>
      </w:r>
      <w:r>
        <w:rPr>
          <w:sz w:val="18"/>
        </w:rPr>
        <w:t>ategory to provide a reliable rate</w:t>
      </w:r>
    </w:p>
    <w:p w:rsidR="00000000" w:rsidRDefault="00216019"/>
    <w:p w:rsidR="00000000" w:rsidRDefault="00216019">
      <w:pPr>
        <w:rPr>
          <w:b/>
          <w:bCs/>
          <w:i/>
          <w:iCs/>
        </w:rPr>
      </w:pPr>
    </w:p>
    <w:p w:rsidR="00000000" w:rsidRDefault="00216019">
      <w:r>
        <w:rPr>
          <w:b/>
          <w:bCs/>
          <w:i/>
          <w:iCs/>
        </w:rPr>
        <w:t>Utilization of behavioral and emotional health care services</w:t>
      </w:r>
    </w:p>
    <w:p w:rsidR="00000000" w:rsidRDefault="00216019"/>
    <w:p w:rsidR="00000000" w:rsidRDefault="00216019">
      <w:r>
        <w:t>Encounter data with a diagnosis of ADHD for calendar year 2001 was used to evaluate the utilization and site of care for children with ADHD. Each claim was c</w:t>
      </w:r>
      <w:r>
        <w:t>oded to reflect whether a psychiatric evaluation or treatment had occurred, an office visit had occurred, or a hospital visit had been made. The five most common types of psychiatric services are as follows:</w:t>
      </w:r>
    </w:p>
    <w:p w:rsidR="00000000" w:rsidRDefault="00216019"/>
    <w:p w:rsidR="00000000" w:rsidRDefault="00216019">
      <w:pPr>
        <w:spacing w:line="360" w:lineRule="auto"/>
        <w:ind w:left="720"/>
      </w:pPr>
      <w:r>
        <w:lastRenderedPageBreak/>
        <w:t>90806</w:t>
      </w:r>
      <w:r>
        <w:tab/>
        <w:t>Individual psychotherapy, 45-50 min.</w:t>
      </w:r>
    </w:p>
    <w:p w:rsidR="00000000" w:rsidRDefault="00216019">
      <w:pPr>
        <w:pStyle w:val="Header"/>
        <w:tabs>
          <w:tab w:val="clear" w:pos="4320"/>
          <w:tab w:val="clear" w:pos="8640"/>
        </w:tabs>
        <w:spacing w:line="360" w:lineRule="auto"/>
        <w:ind w:left="720"/>
      </w:pPr>
      <w:r>
        <w:t>9086</w:t>
      </w:r>
      <w:r>
        <w:t>2</w:t>
      </w:r>
      <w:r>
        <w:tab/>
        <w:t>Pharmacological management</w:t>
      </w:r>
    </w:p>
    <w:p w:rsidR="00000000" w:rsidRDefault="00216019">
      <w:pPr>
        <w:spacing w:line="360" w:lineRule="auto"/>
        <w:ind w:left="720"/>
      </w:pPr>
      <w:r>
        <w:t>90801</w:t>
      </w:r>
      <w:r>
        <w:tab/>
        <w:t>Psychiatric diagnostic interview</w:t>
      </w:r>
    </w:p>
    <w:p w:rsidR="00000000" w:rsidRDefault="00216019">
      <w:pPr>
        <w:spacing w:line="360" w:lineRule="auto"/>
        <w:ind w:left="720"/>
      </w:pPr>
      <w:r>
        <w:t>90805</w:t>
      </w:r>
      <w:r>
        <w:tab/>
        <w:t>Individual psychotherapy with medical evaluation and management</w:t>
      </w:r>
    </w:p>
    <w:p w:rsidR="00000000" w:rsidRDefault="00216019">
      <w:pPr>
        <w:spacing w:line="360" w:lineRule="auto"/>
        <w:ind w:left="720"/>
      </w:pPr>
      <w:r>
        <w:t>90804</w:t>
      </w:r>
      <w:r>
        <w:tab/>
        <w:t>Individual psychotherapy, 20-30 min.</w:t>
      </w:r>
    </w:p>
    <w:p w:rsidR="00000000" w:rsidRDefault="00216019"/>
    <w:p w:rsidR="00000000" w:rsidRDefault="00216019"/>
    <w:p w:rsidR="00000000" w:rsidRDefault="00216019">
      <w:r>
        <w:t>Table 6 and Figure 2 provide data regarding the utilization rates for psy</w:t>
      </w:r>
      <w:r>
        <w:t xml:space="preserve">chiatric, office and hospital visits for children with an ADHD diagnosis. </w:t>
      </w:r>
    </w:p>
    <w:p w:rsidR="00000000" w:rsidRDefault="00216019">
      <w:pPr>
        <w:jc w:val="center"/>
        <w:rPr>
          <w:b/>
          <w:bCs/>
        </w:rPr>
      </w:pPr>
    </w:p>
    <w:p w:rsidR="00000000" w:rsidRDefault="00216019">
      <w:pPr>
        <w:jc w:val="center"/>
      </w:pPr>
      <w:r>
        <w:rPr>
          <w:b/>
          <w:bCs/>
        </w:rPr>
        <w:t>Table 6. Rates of utilization by type of visit and age, 2001</w:t>
      </w:r>
    </w:p>
    <w:tbl>
      <w:tblPr>
        <w:tblW w:w="6862" w:type="dxa"/>
        <w:jc w:val="center"/>
        <w:tblBorders>
          <w:top w:val="nil"/>
          <w:left w:val="nil"/>
          <w:bottom w:val="nil"/>
          <w:right w:val="nil"/>
          <w:insideH w:val="single" w:sz="6" w:space="0" w:color="000000"/>
          <w:insideV w:val="single" w:sz="6" w:space="0" w:color="000000"/>
        </w:tblBorders>
        <w:tblLook w:val="00BF"/>
      </w:tblPr>
      <w:tblGrid>
        <w:gridCol w:w="1548"/>
        <w:gridCol w:w="1671"/>
        <w:gridCol w:w="1662"/>
        <w:gridCol w:w="1981"/>
      </w:tblGrid>
      <w:tr w:rsidR="00000000">
        <w:tblPrEx>
          <w:tblCellMar>
            <w:top w:w="0" w:type="dxa"/>
            <w:bottom w:w="0" w:type="dxa"/>
          </w:tblCellMar>
        </w:tblPrEx>
        <w:trPr>
          <w:jc w:val="center"/>
        </w:trPr>
        <w:tc>
          <w:tcPr>
            <w:tcW w:w="1548" w:type="dxa"/>
            <w:tcBorders>
              <w:top w:val="thinThickSmallGap" w:sz="24" w:space="0" w:color="auto"/>
              <w:bottom w:val="single" w:sz="6" w:space="0" w:color="000000"/>
            </w:tcBorders>
          </w:tcPr>
          <w:p w:rsidR="00000000" w:rsidRDefault="00216019">
            <w:pPr>
              <w:rPr>
                <w:b/>
                <w:sz w:val="18"/>
              </w:rPr>
            </w:pPr>
            <w:r>
              <w:rPr>
                <w:b/>
                <w:sz w:val="18"/>
              </w:rPr>
              <w:br/>
              <w:t>Age group</w:t>
            </w:r>
          </w:p>
        </w:tc>
        <w:tc>
          <w:tcPr>
            <w:tcW w:w="1671" w:type="dxa"/>
            <w:tcBorders>
              <w:top w:val="thinThickSmallGap" w:sz="24" w:space="0" w:color="auto"/>
              <w:bottom w:val="single" w:sz="6" w:space="0" w:color="000000"/>
            </w:tcBorders>
            <w:vAlign w:val="bottom"/>
          </w:tcPr>
          <w:p w:rsidR="00000000" w:rsidRDefault="00216019">
            <w:pPr>
              <w:jc w:val="center"/>
              <w:rPr>
                <w:sz w:val="18"/>
              </w:rPr>
            </w:pPr>
            <w:r>
              <w:rPr>
                <w:sz w:val="18"/>
              </w:rPr>
              <w:t>Psychiatric</w:t>
            </w:r>
            <w:r>
              <w:rPr>
                <w:sz w:val="18"/>
              </w:rPr>
              <w:br/>
              <w:t>visit</w:t>
            </w:r>
          </w:p>
        </w:tc>
        <w:tc>
          <w:tcPr>
            <w:tcW w:w="1662" w:type="dxa"/>
            <w:tcBorders>
              <w:top w:val="thinThickSmallGap" w:sz="24" w:space="0" w:color="auto"/>
              <w:bottom w:val="single" w:sz="6" w:space="0" w:color="000000"/>
            </w:tcBorders>
          </w:tcPr>
          <w:p w:rsidR="00000000" w:rsidRDefault="00216019">
            <w:pPr>
              <w:jc w:val="center"/>
              <w:rPr>
                <w:b/>
                <w:sz w:val="18"/>
              </w:rPr>
            </w:pPr>
            <w:r>
              <w:rPr>
                <w:b/>
                <w:sz w:val="18"/>
              </w:rPr>
              <w:t>Office</w:t>
            </w:r>
            <w:r>
              <w:rPr>
                <w:b/>
                <w:sz w:val="18"/>
              </w:rPr>
              <w:br/>
              <w:t>visit</w:t>
            </w:r>
          </w:p>
        </w:tc>
        <w:tc>
          <w:tcPr>
            <w:tcW w:w="1981" w:type="dxa"/>
            <w:tcBorders>
              <w:top w:val="thinThickSmallGap" w:sz="24" w:space="0" w:color="auto"/>
              <w:bottom w:val="single" w:sz="6" w:space="0" w:color="000000"/>
            </w:tcBorders>
            <w:vAlign w:val="bottom"/>
          </w:tcPr>
          <w:p w:rsidR="00000000" w:rsidRDefault="00216019">
            <w:pPr>
              <w:jc w:val="center"/>
              <w:rPr>
                <w:b/>
                <w:sz w:val="18"/>
              </w:rPr>
            </w:pPr>
            <w:r>
              <w:rPr>
                <w:b/>
                <w:sz w:val="18"/>
              </w:rPr>
              <w:t>Hospital visit</w:t>
            </w:r>
          </w:p>
        </w:tc>
      </w:tr>
      <w:tr w:rsidR="00000000">
        <w:tblPrEx>
          <w:tblCellMar>
            <w:top w:w="0" w:type="dxa"/>
            <w:bottom w:w="0" w:type="dxa"/>
          </w:tblCellMar>
        </w:tblPrEx>
        <w:trPr>
          <w:jc w:val="center"/>
        </w:trPr>
        <w:tc>
          <w:tcPr>
            <w:tcW w:w="1548" w:type="dxa"/>
            <w:tcBorders>
              <w:top w:val="single" w:sz="6" w:space="0" w:color="000000"/>
              <w:bottom w:val="single" w:sz="6" w:space="0" w:color="000000"/>
            </w:tcBorders>
            <w:vAlign w:val="center"/>
          </w:tcPr>
          <w:p w:rsidR="00000000" w:rsidRDefault="00216019">
            <w:pPr>
              <w:rPr>
                <w:b/>
                <w:sz w:val="18"/>
              </w:rPr>
            </w:pPr>
            <w:r>
              <w:rPr>
                <w:b/>
                <w:sz w:val="18"/>
              </w:rPr>
              <w:t>3-6 years</w:t>
            </w:r>
          </w:p>
        </w:tc>
        <w:tc>
          <w:tcPr>
            <w:tcW w:w="1671" w:type="dxa"/>
            <w:tcBorders>
              <w:top w:val="single" w:sz="6" w:space="0" w:color="000000"/>
              <w:bottom w:val="single" w:sz="6" w:space="0" w:color="000000"/>
            </w:tcBorders>
            <w:vAlign w:val="center"/>
          </w:tcPr>
          <w:p w:rsidR="00000000" w:rsidRDefault="00216019">
            <w:pPr>
              <w:jc w:val="center"/>
              <w:rPr>
                <w:sz w:val="20"/>
              </w:rPr>
            </w:pPr>
            <w:r>
              <w:rPr>
                <w:sz w:val="20"/>
              </w:rPr>
              <w:t>34 (69%)</w:t>
            </w:r>
          </w:p>
        </w:tc>
        <w:tc>
          <w:tcPr>
            <w:tcW w:w="1662" w:type="dxa"/>
            <w:tcBorders>
              <w:top w:val="single" w:sz="6" w:space="0" w:color="000000"/>
              <w:bottom w:val="single" w:sz="6" w:space="0" w:color="000000"/>
            </w:tcBorders>
            <w:vAlign w:val="center"/>
          </w:tcPr>
          <w:p w:rsidR="00000000" w:rsidRDefault="00216019">
            <w:pPr>
              <w:jc w:val="center"/>
              <w:rPr>
                <w:sz w:val="20"/>
              </w:rPr>
            </w:pPr>
            <w:r>
              <w:rPr>
                <w:sz w:val="20"/>
              </w:rPr>
              <w:t>18 (37%)</w:t>
            </w:r>
          </w:p>
        </w:tc>
        <w:tc>
          <w:tcPr>
            <w:tcW w:w="1981" w:type="dxa"/>
            <w:tcBorders>
              <w:top w:val="single" w:sz="6" w:space="0" w:color="000000"/>
              <w:bottom w:val="single" w:sz="6" w:space="0" w:color="000000"/>
            </w:tcBorders>
            <w:vAlign w:val="center"/>
          </w:tcPr>
          <w:p w:rsidR="00000000" w:rsidRDefault="00216019">
            <w:pPr>
              <w:jc w:val="center"/>
              <w:rPr>
                <w:sz w:val="20"/>
              </w:rPr>
            </w:pPr>
            <w:r>
              <w:rPr>
                <w:sz w:val="20"/>
              </w:rPr>
              <w:t>1 (2%)</w:t>
            </w:r>
          </w:p>
        </w:tc>
      </w:tr>
      <w:tr w:rsidR="00000000">
        <w:tblPrEx>
          <w:tblCellMar>
            <w:top w:w="0" w:type="dxa"/>
            <w:bottom w:w="0" w:type="dxa"/>
          </w:tblCellMar>
        </w:tblPrEx>
        <w:trPr>
          <w:jc w:val="center"/>
        </w:trPr>
        <w:tc>
          <w:tcPr>
            <w:tcW w:w="1548" w:type="dxa"/>
            <w:tcBorders>
              <w:top w:val="single" w:sz="6" w:space="0" w:color="000000"/>
              <w:bottom w:val="single" w:sz="6" w:space="0" w:color="000000"/>
            </w:tcBorders>
            <w:vAlign w:val="center"/>
          </w:tcPr>
          <w:p w:rsidR="00000000" w:rsidRDefault="00216019">
            <w:pPr>
              <w:rPr>
                <w:b/>
                <w:sz w:val="18"/>
              </w:rPr>
            </w:pPr>
            <w:r>
              <w:rPr>
                <w:b/>
                <w:sz w:val="18"/>
              </w:rPr>
              <w:t>7-9 years</w:t>
            </w:r>
          </w:p>
        </w:tc>
        <w:tc>
          <w:tcPr>
            <w:tcW w:w="1671" w:type="dxa"/>
            <w:tcBorders>
              <w:top w:val="single" w:sz="6" w:space="0" w:color="000000"/>
              <w:bottom w:val="single" w:sz="6" w:space="0" w:color="000000"/>
            </w:tcBorders>
            <w:vAlign w:val="center"/>
          </w:tcPr>
          <w:p w:rsidR="00000000" w:rsidRDefault="00216019">
            <w:pPr>
              <w:jc w:val="center"/>
              <w:rPr>
                <w:sz w:val="20"/>
              </w:rPr>
            </w:pPr>
            <w:r>
              <w:rPr>
                <w:sz w:val="20"/>
              </w:rPr>
              <w:t>101 (61%)</w:t>
            </w:r>
          </w:p>
        </w:tc>
        <w:tc>
          <w:tcPr>
            <w:tcW w:w="1662" w:type="dxa"/>
            <w:tcBorders>
              <w:top w:val="single" w:sz="6" w:space="0" w:color="000000"/>
              <w:bottom w:val="single" w:sz="6" w:space="0" w:color="000000"/>
            </w:tcBorders>
            <w:vAlign w:val="center"/>
          </w:tcPr>
          <w:p w:rsidR="00000000" w:rsidRDefault="00216019">
            <w:pPr>
              <w:jc w:val="center"/>
              <w:rPr>
                <w:sz w:val="20"/>
              </w:rPr>
            </w:pPr>
            <w:r>
              <w:rPr>
                <w:sz w:val="20"/>
              </w:rPr>
              <w:t>79 (4</w:t>
            </w:r>
            <w:r>
              <w:rPr>
                <w:sz w:val="20"/>
              </w:rPr>
              <w:t>8%)</w:t>
            </w:r>
          </w:p>
        </w:tc>
        <w:tc>
          <w:tcPr>
            <w:tcW w:w="1981" w:type="dxa"/>
            <w:tcBorders>
              <w:top w:val="single" w:sz="6" w:space="0" w:color="000000"/>
              <w:bottom w:val="single" w:sz="6" w:space="0" w:color="000000"/>
            </w:tcBorders>
            <w:vAlign w:val="center"/>
          </w:tcPr>
          <w:p w:rsidR="00000000" w:rsidRDefault="00216019">
            <w:pPr>
              <w:jc w:val="center"/>
              <w:rPr>
                <w:sz w:val="20"/>
              </w:rPr>
            </w:pPr>
            <w:r>
              <w:rPr>
                <w:sz w:val="20"/>
              </w:rPr>
              <w:t>2 (1%)</w:t>
            </w:r>
          </w:p>
        </w:tc>
      </w:tr>
      <w:tr w:rsidR="00000000">
        <w:tblPrEx>
          <w:tblCellMar>
            <w:top w:w="0" w:type="dxa"/>
            <w:bottom w:w="0" w:type="dxa"/>
          </w:tblCellMar>
        </w:tblPrEx>
        <w:trPr>
          <w:jc w:val="center"/>
        </w:trPr>
        <w:tc>
          <w:tcPr>
            <w:tcW w:w="1548" w:type="dxa"/>
            <w:tcBorders>
              <w:top w:val="single" w:sz="6" w:space="0" w:color="000000"/>
              <w:bottom w:val="single" w:sz="6" w:space="0" w:color="000000"/>
            </w:tcBorders>
            <w:vAlign w:val="center"/>
          </w:tcPr>
          <w:p w:rsidR="00000000" w:rsidRDefault="00216019">
            <w:pPr>
              <w:rPr>
                <w:b/>
                <w:sz w:val="18"/>
              </w:rPr>
            </w:pPr>
            <w:r>
              <w:rPr>
                <w:b/>
                <w:sz w:val="18"/>
              </w:rPr>
              <w:t>10-12 years</w:t>
            </w:r>
          </w:p>
        </w:tc>
        <w:tc>
          <w:tcPr>
            <w:tcW w:w="1671" w:type="dxa"/>
            <w:tcBorders>
              <w:top w:val="single" w:sz="6" w:space="0" w:color="000000"/>
              <w:bottom w:val="single" w:sz="6" w:space="0" w:color="000000"/>
            </w:tcBorders>
            <w:vAlign w:val="center"/>
          </w:tcPr>
          <w:p w:rsidR="00000000" w:rsidRDefault="00216019">
            <w:pPr>
              <w:pStyle w:val="Footer"/>
              <w:tabs>
                <w:tab w:val="clear" w:pos="4320"/>
                <w:tab w:val="clear" w:pos="8640"/>
              </w:tabs>
              <w:jc w:val="center"/>
              <w:rPr>
                <w:rFonts w:ascii="Arial" w:hAnsi="Arial"/>
              </w:rPr>
            </w:pPr>
            <w:r>
              <w:rPr>
                <w:rFonts w:ascii="Arial" w:hAnsi="Arial"/>
              </w:rPr>
              <w:t>106 (57%)</w:t>
            </w:r>
          </w:p>
        </w:tc>
        <w:tc>
          <w:tcPr>
            <w:tcW w:w="1662" w:type="dxa"/>
            <w:tcBorders>
              <w:top w:val="single" w:sz="6" w:space="0" w:color="000000"/>
              <w:bottom w:val="single" w:sz="6" w:space="0" w:color="000000"/>
            </w:tcBorders>
            <w:vAlign w:val="center"/>
          </w:tcPr>
          <w:p w:rsidR="00000000" w:rsidRDefault="00216019">
            <w:pPr>
              <w:jc w:val="center"/>
              <w:rPr>
                <w:sz w:val="20"/>
              </w:rPr>
            </w:pPr>
            <w:r>
              <w:rPr>
                <w:sz w:val="20"/>
              </w:rPr>
              <w:t>92 (50%)</w:t>
            </w:r>
          </w:p>
        </w:tc>
        <w:tc>
          <w:tcPr>
            <w:tcW w:w="1981" w:type="dxa"/>
            <w:tcBorders>
              <w:top w:val="single" w:sz="6" w:space="0" w:color="000000"/>
              <w:bottom w:val="single" w:sz="6" w:space="0" w:color="000000"/>
            </w:tcBorders>
            <w:vAlign w:val="center"/>
          </w:tcPr>
          <w:p w:rsidR="00000000" w:rsidRDefault="00216019">
            <w:pPr>
              <w:jc w:val="center"/>
              <w:rPr>
                <w:sz w:val="20"/>
              </w:rPr>
            </w:pPr>
            <w:r>
              <w:rPr>
                <w:sz w:val="20"/>
              </w:rPr>
              <w:t>4 (2%)</w:t>
            </w:r>
          </w:p>
        </w:tc>
      </w:tr>
      <w:tr w:rsidR="00000000">
        <w:tblPrEx>
          <w:tblCellMar>
            <w:top w:w="0" w:type="dxa"/>
            <w:bottom w:w="0" w:type="dxa"/>
          </w:tblCellMar>
        </w:tblPrEx>
        <w:trPr>
          <w:jc w:val="center"/>
        </w:trPr>
        <w:tc>
          <w:tcPr>
            <w:tcW w:w="1548" w:type="dxa"/>
            <w:tcBorders>
              <w:top w:val="single" w:sz="6" w:space="0" w:color="000000"/>
              <w:bottom w:val="single" w:sz="6" w:space="0" w:color="000000"/>
            </w:tcBorders>
            <w:vAlign w:val="center"/>
          </w:tcPr>
          <w:p w:rsidR="00000000" w:rsidRDefault="00216019">
            <w:pPr>
              <w:rPr>
                <w:b/>
                <w:sz w:val="18"/>
              </w:rPr>
            </w:pPr>
            <w:r>
              <w:rPr>
                <w:b/>
                <w:sz w:val="18"/>
              </w:rPr>
              <w:t>13-15 years</w:t>
            </w:r>
          </w:p>
        </w:tc>
        <w:tc>
          <w:tcPr>
            <w:tcW w:w="1671" w:type="dxa"/>
            <w:tcBorders>
              <w:top w:val="single" w:sz="6" w:space="0" w:color="000000"/>
              <w:bottom w:val="single" w:sz="6" w:space="0" w:color="000000"/>
            </w:tcBorders>
            <w:vAlign w:val="center"/>
          </w:tcPr>
          <w:p w:rsidR="00000000" w:rsidRDefault="00216019">
            <w:pPr>
              <w:jc w:val="center"/>
              <w:rPr>
                <w:sz w:val="20"/>
              </w:rPr>
            </w:pPr>
            <w:r>
              <w:rPr>
                <w:sz w:val="20"/>
              </w:rPr>
              <w:t>69 (58%)</w:t>
            </w:r>
          </w:p>
        </w:tc>
        <w:tc>
          <w:tcPr>
            <w:tcW w:w="1662" w:type="dxa"/>
            <w:tcBorders>
              <w:top w:val="single" w:sz="6" w:space="0" w:color="000000"/>
              <w:bottom w:val="single" w:sz="6" w:space="0" w:color="000000"/>
            </w:tcBorders>
            <w:vAlign w:val="center"/>
          </w:tcPr>
          <w:p w:rsidR="00000000" w:rsidRDefault="00216019">
            <w:pPr>
              <w:jc w:val="center"/>
              <w:rPr>
                <w:sz w:val="20"/>
              </w:rPr>
            </w:pPr>
            <w:r>
              <w:rPr>
                <w:sz w:val="20"/>
              </w:rPr>
              <w:t>53 (44%)</w:t>
            </w:r>
          </w:p>
        </w:tc>
        <w:tc>
          <w:tcPr>
            <w:tcW w:w="1981" w:type="dxa"/>
            <w:tcBorders>
              <w:top w:val="single" w:sz="6" w:space="0" w:color="000000"/>
              <w:bottom w:val="single" w:sz="6" w:space="0" w:color="000000"/>
            </w:tcBorders>
            <w:vAlign w:val="center"/>
          </w:tcPr>
          <w:p w:rsidR="00000000" w:rsidRDefault="00216019">
            <w:pPr>
              <w:jc w:val="center"/>
              <w:rPr>
                <w:sz w:val="20"/>
              </w:rPr>
            </w:pPr>
            <w:r>
              <w:rPr>
                <w:sz w:val="20"/>
              </w:rPr>
              <w:t>2 (2%)</w:t>
            </w:r>
          </w:p>
        </w:tc>
      </w:tr>
      <w:tr w:rsidR="00000000">
        <w:tblPrEx>
          <w:tblCellMar>
            <w:top w:w="0" w:type="dxa"/>
            <w:bottom w:w="0" w:type="dxa"/>
          </w:tblCellMar>
        </w:tblPrEx>
        <w:trPr>
          <w:jc w:val="center"/>
        </w:trPr>
        <w:tc>
          <w:tcPr>
            <w:tcW w:w="1548" w:type="dxa"/>
            <w:tcBorders>
              <w:top w:val="single" w:sz="6" w:space="0" w:color="000000"/>
              <w:bottom w:val="single" w:sz="6" w:space="0" w:color="000000"/>
            </w:tcBorders>
            <w:vAlign w:val="center"/>
          </w:tcPr>
          <w:p w:rsidR="00000000" w:rsidRDefault="00216019">
            <w:pPr>
              <w:rPr>
                <w:b/>
                <w:sz w:val="18"/>
              </w:rPr>
            </w:pPr>
            <w:r>
              <w:rPr>
                <w:b/>
                <w:sz w:val="18"/>
              </w:rPr>
              <w:t>16-18 years</w:t>
            </w:r>
          </w:p>
        </w:tc>
        <w:tc>
          <w:tcPr>
            <w:tcW w:w="1671" w:type="dxa"/>
            <w:tcBorders>
              <w:top w:val="single" w:sz="6" w:space="0" w:color="000000"/>
              <w:bottom w:val="single" w:sz="6" w:space="0" w:color="000000"/>
            </w:tcBorders>
            <w:vAlign w:val="center"/>
          </w:tcPr>
          <w:p w:rsidR="00000000" w:rsidRDefault="00216019">
            <w:pPr>
              <w:jc w:val="center"/>
              <w:rPr>
                <w:sz w:val="20"/>
              </w:rPr>
            </w:pPr>
            <w:r>
              <w:rPr>
                <w:sz w:val="20"/>
              </w:rPr>
              <w:t>33 (77%)</w:t>
            </w:r>
          </w:p>
        </w:tc>
        <w:tc>
          <w:tcPr>
            <w:tcW w:w="1662" w:type="dxa"/>
            <w:tcBorders>
              <w:top w:val="single" w:sz="6" w:space="0" w:color="000000"/>
              <w:bottom w:val="single" w:sz="6" w:space="0" w:color="000000"/>
            </w:tcBorders>
            <w:vAlign w:val="center"/>
          </w:tcPr>
          <w:p w:rsidR="00000000" w:rsidRDefault="00216019">
            <w:pPr>
              <w:jc w:val="center"/>
              <w:rPr>
                <w:sz w:val="20"/>
              </w:rPr>
            </w:pPr>
            <w:r>
              <w:rPr>
                <w:sz w:val="20"/>
              </w:rPr>
              <w:t>14 (33%)</w:t>
            </w:r>
          </w:p>
        </w:tc>
        <w:tc>
          <w:tcPr>
            <w:tcW w:w="1981" w:type="dxa"/>
            <w:tcBorders>
              <w:top w:val="single" w:sz="6" w:space="0" w:color="000000"/>
              <w:bottom w:val="single" w:sz="6" w:space="0" w:color="000000"/>
            </w:tcBorders>
            <w:vAlign w:val="center"/>
          </w:tcPr>
          <w:p w:rsidR="00000000" w:rsidRDefault="00216019">
            <w:pPr>
              <w:jc w:val="center"/>
              <w:rPr>
                <w:sz w:val="20"/>
              </w:rPr>
            </w:pPr>
            <w:r>
              <w:rPr>
                <w:sz w:val="20"/>
              </w:rPr>
              <w:t>0 (0%)</w:t>
            </w:r>
          </w:p>
        </w:tc>
      </w:tr>
      <w:tr w:rsidR="00000000">
        <w:tblPrEx>
          <w:tblCellMar>
            <w:top w:w="0" w:type="dxa"/>
            <w:bottom w:w="0" w:type="dxa"/>
          </w:tblCellMar>
        </w:tblPrEx>
        <w:trPr>
          <w:jc w:val="center"/>
        </w:trPr>
        <w:tc>
          <w:tcPr>
            <w:tcW w:w="1548" w:type="dxa"/>
            <w:tcBorders>
              <w:top w:val="single" w:sz="6" w:space="0" w:color="000000"/>
              <w:bottom w:val="thickThinSmallGap" w:sz="24" w:space="0" w:color="auto"/>
            </w:tcBorders>
            <w:vAlign w:val="center"/>
          </w:tcPr>
          <w:p w:rsidR="00000000" w:rsidRDefault="00216019">
            <w:pPr>
              <w:rPr>
                <w:b/>
                <w:sz w:val="18"/>
              </w:rPr>
            </w:pPr>
            <w:r>
              <w:rPr>
                <w:b/>
                <w:sz w:val="18"/>
              </w:rPr>
              <w:t>Total</w:t>
            </w:r>
          </w:p>
        </w:tc>
        <w:tc>
          <w:tcPr>
            <w:tcW w:w="1671" w:type="dxa"/>
            <w:tcBorders>
              <w:top w:val="single" w:sz="6" w:space="0" w:color="000000"/>
              <w:bottom w:val="thickThinSmallGap" w:sz="24" w:space="0" w:color="auto"/>
            </w:tcBorders>
            <w:vAlign w:val="center"/>
          </w:tcPr>
          <w:p w:rsidR="00000000" w:rsidRDefault="00216019">
            <w:pPr>
              <w:jc w:val="center"/>
              <w:rPr>
                <w:sz w:val="20"/>
              </w:rPr>
            </w:pPr>
            <w:r>
              <w:rPr>
                <w:sz w:val="20"/>
              </w:rPr>
              <w:t>343 (61%)</w:t>
            </w:r>
          </w:p>
        </w:tc>
        <w:tc>
          <w:tcPr>
            <w:tcW w:w="1662" w:type="dxa"/>
            <w:tcBorders>
              <w:top w:val="single" w:sz="6" w:space="0" w:color="000000"/>
              <w:bottom w:val="thickThinSmallGap" w:sz="24" w:space="0" w:color="auto"/>
            </w:tcBorders>
            <w:vAlign w:val="center"/>
          </w:tcPr>
          <w:p w:rsidR="00000000" w:rsidRDefault="00216019">
            <w:pPr>
              <w:jc w:val="center"/>
              <w:rPr>
                <w:sz w:val="20"/>
              </w:rPr>
            </w:pPr>
            <w:r>
              <w:rPr>
                <w:sz w:val="20"/>
              </w:rPr>
              <w:t>256 (46%)</w:t>
            </w:r>
          </w:p>
        </w:tc>
        <w:tc>
          <w:tcPr>
            <w:tcW w:w="1981" w:type="dxa"/>
            <w:tcBorders>
              <w:top w:val="single" w:sz="6" w:space="0" w:color="000000"/>
              <w:bottom w:val="thickThinSmallGap" w:sz="24" w:space="0" w:color="auto"/>
            </w:tcBorders>
            <w:vAlign w:val="center"/>
          </w:tcPr>
          <w:p w:rsidR="00000000" w:rsidRDefault="00216019">
            <w:pPr>
              <w:jc w:val="center"/>
              <w:rPr>
                <w:sz w:val="20"/>
              </w:rPr>
            </w:pPr>
            <w:r>
              <w:rPr>
                <w:sz w:val="20"/>
              </w:rPr>
              <w:t>9 (2%)</w:t>
            </w:r>
          </w:p>
        </w:tc>
      </w:tr>
    </w:tbl>
    <w:p w:rsidR="00000000" w:rsidRDefault="00216019"/>
    <w:p w:rsidR="00000000" w:rsidRDefault="00216019">
      <w:r>
        <w:t>Approximately 60% of all children with an ADHD diagnosis had a visit coded as a psychiatric ev</w:t>
      </w:r>
      <w:r>
        <w:t>aluation or treatment, almost half (46%) had a physician office visit while about two percent had a physician visit while in a hospital for ADHD.</w:t>
      </w:r>
    </w:p>
    <w:p w:rsidR="00000000" w:rsidRDefault="00216019"/>
    <w:p w:rsidR="00000000" w:rsidRDefault="00216019">
      <w:pPr>
        <w:jc w:val="center"/>
        <w:rPr>
          <w:b/>
          <w:bCs/>
        </w:rPr>
      </w:pPr>
      <w:r>
        <w:rPr>
          <w:b/>
          <w:bCs/>
        </w:rPr>
        <w:t>Table 7. Rates of psychiatric service utilization by plan, 2001</w:t>
      </w:r>
    </w:p>
    <w:tbl>
      <w:tblPr>
        <w:tblW w:w="0" w:type="auto"/>
        <w:tblInd w:w="1638" w:type="dxa"/>
        <w:tblBorders>
          <w:top w:val="thinThickSmallGap" w:sz="24" w:space="0" w:color="auto"/>
          <w:bottom w:val="thickThinSmallGap" w:sz="24" w:space="0" w:color="auto"/>
          <w:insideH w:val="single" w:sz="4" w:space="0" w:color="auto"/>
          <w:insideV w:val="single" w:sz="4" w:space="0" w:color="auto"/>
        </w:tblBorders>
        <w:tblLook w:val="0000"/>
      </w:tblPr>
      <w:tblGrid>
        <w:gridCol w:w="2520"/>
        <w:gridCol w:w="2160"/>
        <w:gridCol w:w="2160"/>
      </w:tblGrid>
      <w:tr w:rsidR="00000000">
        <w:tblPrEx>
          <w:tblCellMar>
            <w:top w:w="0" w:type="dxa"/>
            <w:bottom w:w="0" w:type="dxa"/>
          </w:tblCellMar>
        </w:tblPrEx>
        <w:tc>
          <w:tcPr>
            <w:tcW w:w="2520" w:type="dxa"/>
          </w:tcPr>
          <w:p w:rsidR="00000000" w:rsidRDefault="00216019">
            <w:pPr>
              <w:rPr>
                <w:b/>
                <w:sz w:val="18"/>
              </w:rPr>
            </w:pPr>
            <w:r>
              <w:rPr>
                <w:b/>
                <w:sz w:val="18"/>
              </w:rPr>
              <w:br/>
              <w:t>HMO</w:t>
            </w:r>
          </w:p>
        </w:tc>
        <w:tc>
          <w:tcPr>
            <w:tcW w:w="2160" w:type="dxa"/>
          </w:tcPr>
          <w:p w:rsidR="00000000" w:rsidRDefault="00216019">
            <w:pPr>
              <w:jc w:val="center"/>
              <w:rPr>
                <w:b/>
                <w:sz w:val="18"/>
              </w:rPr>
            </w:pPr>
            <w:r>
              <w:rPr>
                <w:b/>
                <w:sz w:val="18"/>
              </w:rPr>
              <w:t>Number with psychiatric service</w:t>
            </w:r>
          </w:p>
        </w:tc>
        <w:tc>
          <w:tcPr>
            <w:tcW w:w="2160" w:type="dxa"/>
          </w:tcPr>
          <w:p w:rsidR="00000000" w:rsidRDefault="00216019">
            <w:pPr>
              <w:jc w:val="center"/>
              <w:rPr>
                <w:b/>
                <w:sz w:val="18"/>
              </w:rPr>
            </w:pPr>
            <w:r>
              <w:rPr>
                <w:b/>
                <w:sz w:val="18"/>
              </w:rPr>
              <w:t xml:space="preserve">Percent </w:t>
            </w:r>
            <w:r>
              <w:rPr>
                <w:b/>
                <w:sz w:val="18"/>
              </w:rPr>
              <w:t>with psychiatric service</w:t>
            </w:r>
          </w:p>
        </w:tc>
      </w:tr>
      <w:tr w:rsidR="00000000">
        <w:tblPrEx>
          <w:tblCellMar>
            <w:top w:w="0" w:type="dxa"/>
            <w:bottom w:w="0" w:type="dxa"/>
          </w:tblCellMar>
        </w:tblPrEx>
        <w:tc>
          <w:tcPr>
            <w:tcW w:w="2520" w:type="dxa"/>
          </w:tcPr>
          <w:p w:rsidR="00000000" w:rsidRDefault="00216019">
            <w:pPr>
              <w:rPr>
                <w:b/>
                <w:sz w:val="18"/>
              </w:rPr>
            </w:pPr>
            <w:r>
              <w:rPr>
                <w:b/>
                <w:sz w:val="18"/>
              </w:rPr>
              <w:t>Iowa Health Solutions</w:t>
            </w:r>
          </w:p>
        </w:tc>
        <w:tc>
          <w:tcPr>
            <w:tcW w:w="2160" w:type="dxa"/>
          </w:tcPr>
          <w:p w:rsidR="00000000" w:rsidRDefault="00216019">
            <w:pPr>
              <w:jc w:val="center"/>
              <w:rPr>
                <w:sz w:val="20"/>
              </w:rPr>
            </w:pPr>
            <w:r>
              <w:rPr>
                <w:sz w:val="20"/>
              </w:rPr>
              <w:t>105</w:t>
            </w:r>
          </w:p>
        </w:tc>
        <w:tc>
          <w:tcPr>
            <w:tcW w:w="2160" w:type="dxa"/>
          </w:tcPr>
          <w:p w:rsidR="00000000" w:rsidRDefault="00216019">
            <w:pPr>
              <w:jc w:val="center"/>
              <w:rPr>
                <w:sz w:val="20"/>
              </w:rPr>
            </w:pPr>
            <w:r>
              <w:rPr>
                <w:sz w:val="20"/>
              </w:rPr>
              <w:t>59%</w:t>
            </w:r>
          </w:p>
        </w:tc>
      </w:tr>
      <w:tr w:rsidR="00000000">
        <w:tblPrEx>
          <w:tblCellMar>
            <w:top w:w="0" w:type="dxa"/>
            <w:bottom w:w="0" w:type="dxa"/>
          </w:tblCellMar>
        </w:tblPrEx>
        <w:tc>
          <w:tcPr>
            <w:tcW w:w="2520" w:type="dxa"/>
          </w:tcPr>
          <w:p w:rsidR="00000000" w:rsidRDefault="00216019">
            <w:pPr>
              <w:rPr>
                <w:b/>
                <w:sz w:val="18"/>
              </w:rPr>
            </w:pPr>
            <w:r>
              <w:rPr>
                <w:b/>
                <w:sz w:val="18"/>
              </w:rPr>
              <w:t>John Deere</w:t>
            </w:r>
          </w:p>
        </w:tc>
        <w:tc>
          <w:tcPr>
            <w:tcW w:w="2160" w:type="dxa"/>
          </w:tcPr>
          <w:p w:rsidR="00000000" w:rsidRDefault="00216019">
            <w:pPr>
              <w:jc w:val="center"/>
              <w:rPr>
                <w:sz w:val="20"/>
              </w:rPr>
            </w:pPr>
            <w:r>
              <w:rPr>
                <w:sz w:val="20"/>
              </w:rPr>
              <w:t>90</w:t>
            </w:r>
          </w:p>
        </w:tc>
        <w:tc>
          <w:tcPr>
            <w:tcW w:w="2160" w:type="dxa"/>
          </w:tcPr>
          <w:p w:rsidR="00000000" w:rsidRDefault="00216019">
            <w:pPr>
              <w:jc w:val="center"/>
              <w:rPr>
                <w:sz w:val="20"/>
              </w:rPr>
            </w:pPr>
            <w:r>
              <w:rPr>
                <w:sz w:val="20"/>
              </w:rPr>
              <w:t>54%</w:t>
            </w:r>
          </w:p>
        </w:tc>
      </w:tr>
      <w:tr w:rsidR="00000000">
        <w:tblPrEx>
          <w:tblCellMar>
            <w:top w:w="0" w:type="dxa"/>
            <w:bottom w:w="0" w:type="dxa"/>
          </w:tblCellMar>
        </w:tblPrEx>
        <w:tc>
          <w:tcPr>
            <w:tcW w:w="2520" w:type="dxa"/>
          </w:tcPr>
          <w:p w:rsidR="00000000" w:rsidRDefault="00216019">
            <w:pPr>
              <w:rPr>
                <w:b/>
                <w:sz w:val="18"/>
              </w:rPr>
            </w:pPr>
            <w:r>
              <w:rPr>
                <w:b/>
                <w:sz w:val="18"/>
              </w:rPr>
              <w:t>Wellmark</w:t>
            </w:r>
          </w:p>
        </w:tc>
        <w:tc>
          <w:tcPr>
            <w:tcW w:w="2160" w:type="dxa"/>
          </w:tcPr>
          <w:p w:rsidR="00000000" w:rsidRDefault="00216019">
            <w:pPr>
              <w:jc w:val="center"/>
              <w:rPr>
                <w:sz w:val="20"/>
              </w:rPr>
            </w:pPr>
            <w:r>
              <w:rPr>
                <w:sz w:val="20"/>
              </w:rPr>
              <w:t>148</w:t>
            </w:r>
          </w:p>
        </w:tc>
        <w:tc>
          <w:tcPr>
            <w:tcW w:w="2160" w:type="dxa"/>
          </w:tcPr>
          <w:p w:rsidR="00000000" w:rsidRDefault="00216019">
            <w:pPr>
              <w:jc w:val="center"/>
              <w:rPr>
                <w:sz w:val="20"/>
              </w:rPr>
            </w:pPr>
            <w:r>
              <w:rPr>
                <w:sz w:val="20"/>
              </w:rPr>
              <w:t>70%</w:t>
            </w:r>
          </w:p>
        </w:tc>
      </w:tr>
      <w:tr w:rsidR="00000000">
        <w:tblPrEx>
          <w:tblCellMar>
            <w:top w:w="0" w:type="dxa"/>
            <w:bottom w:w="0" w:type="dxa"/>
          </w:tblCellMar>
        </w:tblPrEx>
        <w:tc>
          <w:tcPr>
            <w:tcW w:w="2520" w:type="dxa"/>
          </w:tcPr>
          <w:p w:rsidR="00000000" w:rsidRDefault="00216019">
            <w:pPr>
              <w:rPr>
                <w:b/>
                <w:sz w:val="18"/>
              </w:rPr>
            </w:pPr>
            <w:r>
              <w:rPr>
                <w:b/>
                <w:sz w:val="18"/>
              </w:rPr>
              <w:t>Total</w:t>
            </w:r>
          </w:p>
        </w:tc>
        <w:tc>
          <w:tcPr>
            <w:tcW w:w="2160" w:type="dxa"/>
          </w:tcPr>
          <w:p w:rsidR="00000000" w:rsidRDefault="00216019">
            <w:pPr>
              <w:jc w:val="center"/>
              <w:rPr>
                <w:sz w:val="20"/>
              </w:rPr>
            </w:pPr>
            <w:r>
              <w:rPr>
                <w:sz w:val="20"/>
              </w:rPr>
              <w:t>343</w:t>
            </w:r>
          </w:p>
        </w:tc>
        <w:tc>
          <w:tcPr>
            <w:tcW w:w="2160" w:type="dxa"/>
          </w:tcPr>
          <w:p w:rsidR="00000000" w:rsidRDefault="00216019">
            <w:pPr>
              <w:jc w:val="center"/>
              <w:rPr>
                <w:sz w:val="20"/>
              </w:rPr>
            </w:pPr>
            <w:r>
              <w:rPr>
                <w:sz w:val="20"/>
              </w:rPr>
              <w:t>61%</w:t>
            </w:r>
          </w:p>
        </w:tc>
      </w:tr>
    </w:tbl>
    <w:p w:rsidR="00000000" w:rsidRDefault="00216019"/>
    <w:p w:rsidR="00000000" w:rsidRDefault="00216019">
      <w:r>
        <w:t>The site of care did vary by age with the youngest and oldest children being more likely to have a psychiatric office visit and less likely to hav</w:t>
      </w:r>
      <w:r>
        <w:t>e had a physician office visit. Table 7 indicates that access to psychiatric services does seem to vary by plan. Seventy percent of children with ADHD in Wellmark accessed psychiatric services within the year compared to less than 55% of children with ADHD</w:t>
      </w:r>
      <w:r>
        <w:t xml:space="preserve"> in John Deere.</w:t>
      </w:r>
    </w:p>
    <w:p w:rsidR="00000000" w:rsidRDefault="00216019">
      <w:r>
        <w:br w:type="page"/>
      </w:r>
    </w:p>
    <w:p w:rsidR="00000000" w:rsidRDefault="00216019">
      <w:pPr>
        <w:jc w:val="center"/>
        <w:rPr>
          <w:b/>
          <w:bCs/>
        </w:rPr>
      </w:pPr>
      <w:r>
        <w:rPr>
          <w:b/>
          <w:bCs/>
        </w:rPr>
        <w:t>Figure 2. Utilization rates by type of visit and age, 2001</w:t>
      </w:r>
    </w:p>
    <w:p w:rsidR="00000000" w:rsidRDefault="00216019">
      <w:r>
        <w:rPr>
          <w:noProof/>
        </w:rPr>
        <w:drawing>
          <wp:inline distT="0" distB="0" distL="0" distR="0">
            <wp:extent cx="4909820" cy="3359150"/>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00000" w:rsidRDefault="00216019"/>
    <w:p w:rsidR="00000000" w:rsidRDefault="00216019"/>
    <w:p w:rsidR="00000000" w:rsidRDefault="00216019">
      <w:r>
        <w:t>The percentage of children overall who were seen for a psychiatric visit seems high, particularly with the low supply of pediatric psychiatrists and p</w:t>
      </w:r>
      <w:r>
        <w:t xml:space="preserve">sychologists in many parts of Iowa. </w:t>
      </w:r>
    </w:p>
    <w:p w:rsidR="00000000" w:rsidRDefault="00216019"/>
    <w:p w:rsidR="00000000" w:rsidRDefault="00216019">
      <w:pPr>
        <w:rPr>
          <w:b/>
          <w:bCs/>
          <w:i/>
          <w:iCs/>
        </w:rPr>
      </w:pPr>
      <w:r>
        <w:rPr>
          <w:b/>
          <w:bCs/>
          <w:i/>
          <w:iCs/>
        </w:rPr>
        <w:t>Other behavioral and emotional health issues from the survey</w:t>
      </w:r>
    </w:p>
    <w:p w:rsidR="00000000" w:rsidRDefault="00216019"/>
    <w:p w:rsidR="00000000" w:rsidRDefault="00216019">
      <w:r>
        <w:t>Within the survey, parents could list “attention problems”, “behavioral or emotional problems”, and “depression” as mental health diagnoses. Of the 158 chil</w:t>
      </w:r>
      <w:r>
        <w:t>dren or adolescents who were reported as having “attention problems”, 34 (17%) were also reported to have behavioral or emotional problems and depression, 62 (31%) were also reported to have behavioral or emotional problems, and 8 (3%) were also reported t</w:t>
      </w:r>
      <w:r>
        <w:t>o have depression. These results indicate that at least half of the children reported as having attention problems may have additional mental health problems as evaluated by their parents.</w:t>
      </w:r>
    </w:p>
    <w:p w:rsidR="00000000" w:rsidRDefault="00216019"/>
    <w:p w:rsidR="00000000" w:rsidRDefault="00216019">
      <w:r>
        <w:t>Children ages 7-12 were most likely to be reported to have attenti</w:t>
      </w:r>
      <w:r>
        <w:t>on problems while those ages 13-19 were most likely to have depression (Table 8). Males ages 7-12 had the largest proportion of children reported by their parents to have a behavioral/emotional chronic condition (Figure 3). Females ages 13-19 were most lik</w:t>
      </w:r>
      <w:r>
        <w:t>ely to have depression while males of all ages were more likely to have attention problems or other behavioral/emotional problems.</w:t>
      </w:r>
    </w:p>
    <w:p w:rsidR="00000000" w:rsidRDefault="00216019">
      <w:pPr>
        <w:rPr>
          <w:b/>
        </w:rPr>
      </w:pPr>
    </w:p>
    <w:p w:rsidR="00000000" w:rsidRDefault="00216019">
      <w:pPr>
        <w:jc w:val="center"/>
        <w:rPr>
          <w:b/>
          <w:bCs/>
        </w:rPr>
      </w:pPr>
      <w:r>
        <w:br w:type="page"/>
      </w:r>
      <w:r>
        <w:rPr>
          <w:b/>
          <w:bCs/>
        </w:rPr>
        <w:lastRenderedPageBreak/>
        <w:t>Table 8. Behavioral or emotional condition by age (parent reported)</w:t>
      </w:r>
    </w:p>
    <w:tbl>
      <w:tblPr>
        <w:tblW w:w="9437" w:type="dxa"/>
        <w:jc w:val="center"/>
        <w:tblInd w:w="1782" w:type="dxa"/>
        <w:tblBorders>
          <w:top w:val="nil"/>
          <w:left w:val="nil"/>
          <w:bottom w:val="nil"/>
          <w:right w:val="nil"/>
          <w:insideH w:val="single" w:sz="6" w:space="0" w:color="000000"/>
          <w:insideV w:val="single" w:sz="6" w:space="0" w:color="000000"/>
        </w:tblBorders>
        <w:tblLook w:val="00BF"/>
      </w:tblPr>
      <w:tblGrid>
        <w:gridCol w:w="1237"/>
        <w:gridCol w:w="2050"/>
        <w:gridCol w:w="2050"/>
        <w:gridCol w:w="2050"/>
        <w:gridCol w:w="2050"/>
      </w:tblGrid>
      <w:tr w:rsidR="00000000">
        <w:tblPrEx>
          <w:tblCellMar>
            <w:top w:w="0" w:type="dxa"/>
            <w:bottom w:w="0" w:type="dxa"/>
          </w:tblCellMar>
        </w:tblPrEx>
        <w:trPr>
          <w:jc w:val="center"/>
        </w:trPr>
        <w:tc>
          <w:tcPr>
            <w:tcW w:w="1237" w:type="dxa"/>
            <w:tcBorders>
              <w:top w:val="thinThickSmallGap" w:sz="24" w:space="0" w:color="auto"/>
              <w:bottom w:val="single" w:sz="12" w:space="0" w:color="000000"/>
            </w:tcBorders>
          </w:tcPr>
          <w:p w:rsidR="00000000" w:rsidRDefault="00216019">
            <w:pPr>
              <w:rPr>
                <w:b/>
                <w:sz w:val="18"/>
              </w:rPr>
            </w:pPr>
          </w:p>
        </w:tc>
        <w:tc>
          <w:tcPr>
            <w:tcW w:w="2050" w:type="dxa"/>
            <w:tcBorders>
              <w:top w:val="thinThickSmallGap" w:sz="24" w:space="0" w:color="auto"/>
              <w:bottom w:val="single" w:sz="12" w:space="0" w:color="000000"/>
            </w:tcBorders>
            <w:vAlign w:val="bottom"/>
          </w:tcPr>
          <w:p w:rsidR="00000000" w:rsidRDefault="00216019">
            <w:pPr>
              <w:rPr>
                <w:sz w:val="18"/>
              </w:rPr>
            </w:pPr>
            <w:r>
              <w:rPr>
                <w:sz w:val="18"/>
              </w:rPr>
              <w:t>Age 1-6 (n=679)</w:t>
            </w:r>
          </w:p>
        </w:tc>
        <w:tc>
          <w:tcPr>
            <w:tcW w:w="2050" w:type="dxa"/>
            <w:tcBorders>
              <w:top w:val="thinThickSmallGap" w:sz="24" w:space="0" w:color="auto"/>
              <w:bottom w:val="single" w:sz="12" w:space="0" w:color="000000"/>
            </w:tcBorders>
          </w:tcPr>
          <w:p w:rsidR="00000000" w:rsidRDefault="00216019">
            <w:pPr>
              <w:rPr>
                <w:b/>
                <w:sz w:val="18"/>
              </w:rPr>
            </w:pPr>
            <w:r>
              <w:rPr>
                <w:b/>
                <w:sz w:val="18"/>
              </w:rPr>
              <w:t>Age 7-12 (n=641)</w:t>
            </w:r>
          </w:p>
        </w:tc>
        <w:tc>
          <w:tcPr>
            <w:tcW w:w="2050" w:type="dxa"/>
            <w:tcBorders>
              <w:top w:val="thinThickSmallGap" w:sz="24" w:space="0" w:color="auto"/>
              <w:bottom w:val="single" w:sz="12" w:space="0" w:color="000000"/>
            </w:tcBorders>
            <w:vAlign w:val="bottom"/>
          </w:tcPr>
          <w:p w:rsidR="00000000" w:rsidRDefault="00216019">
            <w:pPr>
              <w:rPr>
                <w:b/>
                <w:sz w:val="18"/>
              </w:rPr>
            </w:pPr>
            <w:r>
              <w:rPr>
                <w:b/>
                <w:sz w:val="18"/>
              </w:rPr>
              <w:t>Age 13-19 (n=549)</w:t>
            </w:r>
          </w:p>
        </w:tc>
        <w:tc>
          <w:tcPr>
            <w:tcW w:w="2050" w:type="dxa"/>
            <w:tcBorders>
              <w:top w:val="thinThickSmallGap" w:sz="24" w:space="0" w:color="auto"/>
              <w:bottom w:val="single" w:sz="12" w:space="0" w:color="000000"/>
            </w:tcBorders>
          </w:tcPr>
          <w:p w:rsidR="00000000" w:rsidRDefault="00216019">
            <w:pPr>
              <w:rPr>
                <w:b/>
                <w:sz w:val="18"/>
              </w:rPr>
            </w:pPr>
            <w:r>
              <w:rPr>
                <w:b/>
                <w:sz w:val="18"/>
              </w:rPr>
              <w:t>Tot</w:t>
            </w:r>
            <w:r>
              <w:rPr>
                <w:b/>
                <w:sz w:val="18"/>
              </w:rPr>
              <w:t>al (n=1869)</w:t>
            </w:r>
          </w:p>
        </w:tc>
      </w:tr>
      <w:tr w:rsidR="00000000">
        <w:tblPrEx>
          <w:tblCellMar>
            <w:top w:w="0" w:type="dxa"/>
            <w:bottom w:w="0" w:type="dxa"/>
          </w:tblCellMar>
        </w:tblPrEx>
        <w:trPr>
          <w:cantSplit/>
          <w:trHeight w:val="432"/>
          <w:jc w:val="center"/>
        </w:trPr>
        <w:tc>
          <w:tcPr>
            <w:tcW w:w="1237" w:type="dxa"/>
            <w:tcBorders>
              <w:top w:val="single" w:sz="12" w:space="0" w:color="000000"/>
              <w:bottom w:val="single" w:sz="6" w:space="0" w:color="000000"/>
            </w:tcBorders>
            <w:vAlign w:val="center"/>
          </w:tcPr>
          <w:p w:rsidR="00000000" w:rsidRDefault="00216019">
            <w:pPr>
              <w:rPr>
                <w:b/>
                <w:sz w:val="18"/>
              </w:rPr>
            </w:pPr>
            <w:r>
              <w:rPr>
                <w:b/>
                <w:sz w:val="18"/>
              </w:rPr>
              <w:t>Attention problems</w:t>
            </w:r>
          </w:p>
        </w:tc>
        <w:tc>
          <w:tcPr>
            <w:tcW w:w="2050" w:type="dxa"/>
          </w:tcPr>
          <w:p w:rsidR="00000000" w:rsidRDefault="00216019">
            <w:pPr>
              <w:rPr>
                <w:sz w:val="20"/>
              </w:rPr>
            </w:pPr>
            <w:r>
              <w:rPr>
                <w:sz w:val="20"/>
              </w:rPr>
              <w:t>3% (n=20)</w:t>
            </w:r>
          </w:p>
        </w:tc>
        <w:tc>
          <w:tcPr>
            <w:tcW w:w="2050" w:type="dxa"/>
          </w:tcPr>
          <w:p w:rsidR="00000000" w:rsidRDefault="00216019">
            <w:pPr>
              <w:rPr>
                <w:sz w:val="20"/>
              </w:rPr>
            </w:pPr>
            <w:r>
              <w:rPr>
                <w:sz w:val="20"/>
              </w:rPr>
              <w:t>10% (n=64)</w:t>
            </w:r>
          </w:p>
        </w:tc>
        <w:tc>
          <w:tcPr>
            <w:tcW w:w="2050" w:type="dxa"/>
          </w:tcPr>
          <w:p w:rsidR="00000000" w:rsidRDefault="00216019">
            <w:pPr>
              <w:rPr>
                <w:sz w:val="20"/>
              </w:rPr>
            </w:pPr>
            <w:r>
              <w:rPr>
                <w:sz w:val="20"/>
              </w:rPr>
              <w:t>7% (n=38)</w:t>
            </w:r>
          </w:p>
        </w:tc>
        <w:tc>
          <w:tcPr>
            <w:tcW w:w="2050" w:type="dxa"/>
          </w:tcPr>
          <w:p w:rsidR="00000000" w:rsidRDefault="00216019">
            <w:pPr>
              <w:rPr>
                <w:sz w:val="20"/>
              </w:rPr>
            </w:pPr>
            <w:r>
              <w:rPr>
                <w:sz w:val="20"/>
              </w:rPr>
              <w:t>6% (n=122)</w:t>
            </w:r>
          </w:p>
        </w:tc>
      </w:tr>
      <w:tr w:rsidR="00000000">
        <w:tblPrEx>
          <w:tblCellMar>
            <w:top w:w="0" w:type="dxa"/>
            <w:bottom w:w="0" w:type="dxa"/>
          </w:tblCellMar>
        </w:tblPrEx>
        <w:trPr>
          <w:cantSplit/>
          <w:trHeight w:val="432"/>
          <w:jc w:val="center"/>
        </w:trPr>
        <w:tc>
          <w:tcPr>
            <w:tcW w:w="1237" w:type="dxa"/>
            <w:tcBorders>
              <w:top w:val="single" w:sz="6" w:space="0" w:color="000000"/>
              <w:bottom w:val="single" w:sz="6" w:space="0" w:color="000000"/>
            </w:tcBorders>
            <w:vAlign w:val="center"/>
          </w:tcPr>
          <w:p w:rsidR="00000000" w:rsidRDefault="00216019">
            <w:pPr>
              <w:rPr>
                <w:b/>
                <w:sz w:val="18"/>
              </w:rPr>
            </w:pPr>
            <w:r>
              <w:rPr>
                <w:b/>
                <w:sz w:val="18"/>
              </w:rPr>
              <w:t>Behav/emot problems</w:t>
            </w:r>
          </w:p>
        </w:tc>
        <w:tc>
          <w:tcPr>
            <w:tcW w:w="2050" w:type="dxa"/>
          </w:tcPr>
          <w:p w:rsidR="00000000" w:rsidRDefault="00216019">
            <w:pPr>
              <w:rPr>
                <w:sz w:val="20"/>
              </w:rPr>
            </w:pPr>
            <w:r>
              <w:rPr>
                <w:sz w:val="20"/>
              </w:rPr>
              <w:t>3% (n=20)</w:t>
            </w:r>
          </w:p>
        </w:tc>
        <w:tc>
          <w:tcPr>
            <w:tcW w:w="2050" w:type="dxa"/>
          </w:tcPr>
          <w:p w:rsidR="00000000" w:rsidRDefault="00216019">
            <w:pPr>
              <w:rPr>
                <w:sz w:val="20"/>
              </w:rPr>
            </w:pPr>
            <w:r>
              <w:rPr>
                <w:sz w:val="20"/>
              </w:rPr>
              <w:t>8% (n=51)</w:t>
            </w:r>
          </w:p>
        </w:tc>
        <w:tc>
          <w:tcPr>
            <w:tcW w:w="2050" w:type="dxa"/>
          </w:tcPr>
          <w:p w:rsidR="00000000" w:rsidRDefault="00216019">
            <w:pPr>
              <w:rPr>
                <w:sz w:val="20"/>
              </w:rPr>
            </w:pPr>
            <w:r>
              <w:rPr>
                <w:sz w:val="20"/>
              </w:rPr>
              <w:t>8% (n=44)</w:t>
            </w:r>
          </w:p>
        </w:tc>
        <w:tc>
          <w:tcPr>
            <w:tcW w:w="2050" w:type="dxa"/>
          </w:tcPr>
          <w:p w:rsidR="00000000" w:rsidRDefault="00216019">
            <w:pPr>
              <w:rPr>
                <w:sz w:val="20"/>
              </w:rPr>
            </w:pPr>
            <w:r>
              <w:rPr>
                <w:sz w:val="20"/>
              </w:rPr>
              <w:t>6% (n=115)</w:t>
            </w:r>
          </w:p>
        </w:tc>
      </w:tr>
      <w:tr w:rsidR="00000000">
        <w:tblPrEx>
          <w:tblCellMar>
            <w:top w:w="0" w:type="dxa"/>
            <w:bottom w:w="0" w:type="dxa"/>
          </w:tblCellMar>
        </w:tblPrEx>
        <w:trPr>
          <w:cantSplit/>
          <w:trHeight w:val="432"/>
          <w:jc w:val="center"/>
        </w:trPr>
        <w:tc>
          <w:tcPr>
            <w:tcW w:w="1237" w:type="dxa"/>
            <w:tcBorders>
              <w:top w:val="single" w:sz="6" w:space="0" w:color="000000"/>
              <w:bottom w:val="thickThinSmallGap" w:sz="24" w:space="0" w:color="auto"/>
            </w:tcBorders>
            <w:vAlign w:val="center"/>
          </w:tcPr>
          <w:p w:rsidR="00000000" w:rsidRDefault="00216019">
            <w:pPr>
              <w:rPr>
                <w:b/>
                <w:sz w:val="18"/>
              </w:rPr>
            </w:pPr>
            <w:r>
              <w:rPr>
                <w:b/>
                <w:sz w:val="18"/>
              </w:rPr>
              <w:t>Depression</w:t>
            </w:r>
          </w:p>
        </w:tc>
        <w:tc>
          <w:tcPr>
            <w:tcW w:w="2050" w:type="dxa"/>
            <w:tcBorders>
              <w:bottom w:val="thickThinSmallGap" w:sz="24" w:space="0" w:color="auto"/>
            </w:tcBorders>
          </w:tcPr>
          <w:p w:rsidR="00000000" w:rsidRDefault="00216019">
            <w:pPr>
              <w:rPr>
                <w:sz w:val="20"/>
              </w:rPr>
            </w:pPr>
            <w:r>
              <w:rPr>
                <w:sz w:val="20"/>
              </w:rPr>
              <w:t>&lt;1% (n=5)</w:t>
            </w:r>
          </w:p>
        </w:tc>
        <w:tc>
          <w:tcPr>
            <w:tcW w:w="2050" w:type="dxa"/>
            <w:tcBorders>
              <w:bottom w:val="thickThinSmallGap" w:sz="24" w:space="0" w:color="auto"/>
            </w:tcBorders>
          </w:tcPr>
          <w:p w:rsidR="00000000" w:rsidRDefault="00216019">
            <w:pPr>
              <w:rPr>
                <w:sz w:val="20"/>
              </w:rPr>
            </w:pPr>
            <w:r>
              <w:rPr>
                <w:sz w:val="20"/>
              </w:rPr>
              <w:t>1% (n=6)</w:t>
            </w:r>
          </w:p>
        </w:tc>
        <w:tc>
          <w:tcPr>
            <w:tcW w:w="2050" w:type="dxa"/>
            <w:tcBorders>
              <w:bottom w:val="thickThinSmallGap" w:sz="24" w:space="0" w:color="auto"/>
            </w:tcBorders>
          </w:tcPr>
          <w:p w:rsidR="00000000" w:rsidRDefault="00216019">
            <w:pPr>
              <w:rPr>
                <w:sz w:val="20"/>
              </w:rPr>
            </w:pPr>
            <w:r>
              <w:rPr>
                <w:sz w:val="20"/>
              </w:rPr>
              <w:t>7% (n=38)</w:t>
            </w:r>
          </w:p>
        </w:tc>
        <w:tc>
          <w:tcPr>
            <w:tcW w:w="2050" w:type="dxa"/>
            <w:tcBorders>
              <w:bottom w:val="thickThinSmallGap" w:sz="24" w:space="0" w:color="auto"/>
            </w:tcBorders>
          </w:tcPr>
          <w:p w:rsidR="00000000" w:rsidRDefault="00216019">
            <w:pPr>
              <w:rPr>
                <w:sz w:val="20"/>
              </w:rPr>
            </w:pPr>
            <w:r>
              <w:rPr>
                <w:sz w:val="20"/>
              </w:rPr>
              <w:t>3% (n=49)</w:t>
            </w:r>
          </w:p>
        </w:tc>
      </w:tr>
    </w:tbl>
    <w:p w:rsidR="00000000" w:rsidRDefault="00216019">
      <w:r>
        <w:rPr>
          <w:b/>
          <w:i/>
          <w:sz w:val="20"/>
        </w:rPr>
        <w:t>Bold and Italic</w:t>
      </w:r>
      <w:r>
        <w:rPr>
          <w:sz w:val="20"/>
        </w:rPr>
        <w:t>=McNemar’s test significantly different, p&lt;0.05</w:t>
      </w:r>
    </w:p>
    <w:p w:rsidR="00000000" w:rsidRDefault="00216019"/>
    <w:p w:rsidR="00000000" w:rsidRDefault="00216019"/>
    <w:p w:rsidR="00000000" w:rsidRDefault="00216019">
      <w:pPr>
        <w:jc w:val="center"/>
        <w:rPr>
          <w:b/>
          <w:bCs/>
        </w:rPr>
      </w:pPr>
      <w:r>
        <w:rPr>
          <w:b/>
          <w:bCs/>
        </w:rPr>
        <w:t>Fig</w:t>
      </w:r>
      <w:r>
        <w:rPr>
          <w:b/>
          <w:bCs/>
        </w:rPr>
        <w:t xml:space="preserve">ure 3. Behavioral and emotional conditions (parent reported) </w:t>
      </w:r>
      <w:r>
        <w:rPr>
          <w:b/>
          <w:bCs/>
        </w:rPr>
        <w:br/>
        <w:t>by age and gender</w:t>
      </w:r>
    </w:p>
    <w:p w:rsidR="00000000" w:rsidRDefault="00216019">
      <w:r>
        <w:rPr>
          <w:noProof/>
        </w:rPr>
        <w:drawing>
          <wp:anchor distT="0" distB="0" distL="114300" distR="114300" simplePos="0" relativeHeight="251833344" behindDoc="0" locked="0" layoutInCell="1" allowOverlap="1">
            <wp:simplePos x="0" y="0"/>
            <wp:positionH relativeFrom="column">
              <wp:posOffset>462915</wp:posOffset>
            </wp:positionH>
            <wp:positionV relativeFrom="paragraph">
              <wp:posOffset>154940</wp:posOffset>
            </wp:positionV>
            <wp:extent cx="6134100" cy="3073400"/>
            <wp:effectExtent l="0" t="0" r="0" b="0"/>
            <wp:wrapTopAndBottom/>
            <wp:docPr id="1547" name="Object 15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000000" w:rsidRDefault="00216019"/>
    <w:p w:rsidR="00000000" w:rsidRDefault="00216019">
      <w:r>
        <w:t>Need and unmet need for behavioral and emotional services were evaluated with the survey at baseline and follow-up. These were then compared to evaluate any change in percei</w:t>
      </w:r>
      <w:r>
        <w:t>ved need or unmet need that occurred during the child’s first year in the program. This comparison showed that:</w:t>
      </w:r>
    </w:p>
    <w:p w:rsidR="00000000" w:rsidRDefault="00216019"/>
    <w:p w:rsidR="00000000" w:rsidRDefault="00216019" w:rsidP="00216019">
      <w:pPr>
        <w:numPr>
          <w:ilvl w:val="0"/>
          <w:numId w:val="54"/>
        </w:numPr>
      </w:pPr>
      <w:r>
        <w:t xml:space="preserve">Need for behavioral or emotional services was similar at baseline and follow-up for all respondents (Table 9). </w:t>
      </w:r>
    </w:p>
    <w:p w:rsidR="00000000" w:rsidRDefault="00216019" w:rsidP="00216019">
      <w:pPr>
        <w:numPr>
          <w:ilvl w:val="0"/>
          <w:numId w:val="54"/>
        </w:numPr>
      </w:pPr>
      <w:r>
        <w:t>A higher percentage of boys age</w:t>
      </w:r>
      <w:r>
        <w:t xml:space="preserve">s 7-12 (20% baseline, 19% follow-up) were reported to need behavioral/emotional services than girls ages 7-12 (Figure 4). </w:t>
      </w:r>
    </w:p>
    <w:p w:rsidR="00000000" w:rsidRDefault="00216019" w:rsidP="00216019">
      <w:pPr>
        <w:numPr>
          <w:ilvl w:val="0"/>
          <w:numId w:val="54"/>
        </w:numPr>
      </w:pPr>
      <w:r>
        <w:t>A higher proportion of boys ages 13-19 also were in need of behavioral/emotional services than girls (22% boys, 18% girls) with no di</w:t>
      </w:r>
      <w:r>
        <w:t xml:space="preserve">fference after being in the program for a year. </w:t>
      </w:r>
    </w:p>
    <w:p w:rsidR="00000000" w:rsidRDefault="00216019" w:rsidP="00216019">
      <w:pPr>
        <w:numPr>
          <w:ilvl w:val="0"/>
          <w:numId w:val="54"/>
        </w:numPr>
      </w:pPr>
      <w:r>
        <w:t>Unmet need for behavioral/emotional services declined for all children (39% baseline, 17% follow-up), which held for all age/gender categories (Figure 5).</w:t>
      </w:r>
    </w:p>
    <w:p w:rsidR="00000000" w:rsidRDefault="00216019">
      <w:pPr>
        <w:jc w:val="center"/>
        <w:rPr>
          <w:b/>
          <w:bCs/>
        </w:rPr>
      </w:pPr>
      <w:r>
        <w:br w:type="page"/>
      </w:r>
      <w:r>
        <w:rPr>
          <w:b/>
          <w:bCs/>
        </w:rPr>
        <w:lastRenderedPageBreak/>
        <w:t>Table 9. Impact on need for and access to behaviora</w:t>
      </w:r>
      <w:r>
        <w:rPr>
          <w:b/>
          <w:bCs/>
        </w:rPr>
        <w:t xml:space="preserve">l and </w:t>
      </w:r>
      <w:r>
        <w:rPr>
          <w:b/>
          <w:bCs/>
        </w:rPr>
        <w:br/>
        <w:t>emotional services by age</w:t>
      </w:r>
    </w:p>
    <w:tbl>
      <w:tblPr>
        <w:tblW w:w="9437" w:type="dxa"/>
        <w:jc w:val="center"/>
        <w:tblInd w:w="1782" w:type="dxa"/>
        <w:tblBorders>
          <w:top w:val="nil"/>
          <w:left w:val="nil"/>
          <w:bottom w:val="nil"/>
          <w:right w:val="nil"/>
          <w:insideH w:val="single" w:sz="6" w:space="0" w:color="000000"/>
          <w:insideV w:val="single" w:sz="6" w:space="0" w:color="000000"/>
        </w:tblBorders>
        <w:tblLook w:val="00BF"/>
      </w:tblPr>
      <w:tblGrid>
        <w:gridCol w:w="1237"/>
        <w:gridCol w:w="984"/>
        <w:gridCol w:w="1066"/>
        <w:gridCol w:w="984"/>
        <w:gridCol w:w="1066"/>
        <w:gridCol w:w="984"/>
        <w:gridCol w:w="1066"/>
        <w:gridCol w:w="984"/>
        <w:gridCol w:w="1066"/>
      </w:tblGrid>
      <w:tr w:rsidR="00000000">
        <w:tblPrEx>
          <w:tblCellMar>
            <w:top w:w="0" w:type="dxa"/>
            <w:bottom w:w="0" w:type="dxa"/>
          </w:tblCellMar>
        </w:tblPrEx>
        <w:trPr>
          <w:jc w:val="center"/>
        </w:trPr>
        <w:tc>
          <w:tcPr>
            <w:tcW w:w="1237" w:type="dxa"/>
            <w:tcBorders>
              <w:top w:val="thinThickSmallGap" w:sz="24" w:space="0" w:color="auto"/>
              <w:bottom w:val="single" w:sz="12" w:space="0" w:color="000000"/>
            </w:tcBorders>
          </w:tcPr>
          <w:p w:rsidR="00000000" w:rsidRDefault="00216019">
            <w:pPr>
              <w:rPr>
                <w:b/>
                <w:sz w:val="18"/>
              </w:rPr>
            </w:pPr>
          </w:p>
        </w:tc>
        <w:tc>
          <w:tcPr>
            <w:tcW w:w="2050" w:type="dxa"/>
            <w:gridSpan w:val="2"/>
            <w:tcBorders>
              <w:top w:val="thinThickSmallGap" w:sz="24" w:space="0" w:color="auto"/>
              <w:bottom w:val="single" w:sz="12" w:space="0" w:color="000000"/>
            </w:tcBorders>
            <w:vAlign w:val="bottom"/>
          </w:tcPr>
          <w:p w:rsidR="00000000" w:rsidRDefault="00216019">
            <w:pPr>
              <w:rPr>
                <w:sz w:val="18"/>
              </w:rPr>
            </w:pPr>
            <w:r>
              <w:rPr>
                <w:sz w:val="18"/>
              </w:rPr>
              <w:t>Age 1-6 (n=679)</w:t>
            </w:r>
          </w:p>
        </w:tc>
        <w:tc>
          <w:tcPr>
            <w:tcW w:w="2050" w:type="dxa"/>
            <w:gridSpan w:val="2"/>
            <w:tcBorders>
              <w:top w:val="thinThickSmallGap" w:sz="24" w:space="0" w:color="auto"/>
              <w:bottom w:val="single" w:sz="12" w:space="0" w:color="000000"/>
            </w:tcBorders>
          </w:tcPr>
          <w:p w:rsidR="00000000" w:rsidRDefault="00216019">
            <w:pPr>
              <w:rPr>
                <w:b/>
                <w:sz w:val="18"/>
              </w:rPr>
            </w:pPr>
            <w:r>
              <w:rPr>
                <w:b/>
                <w:sz w:val="18"/>
              </w:rPr>
              <w:t>Age 7-12 (n=641)</w:t>
            </w:r>
          </w:p>
        </w:tc>
        <w:tc>
          <w:tcPr>
            <w:tcW w:w="2050" w:type="dxa"/>
            <w:gridSpan w:val="2"/>
            <w:tcBorders>
              <w:top w:val="thinThickSmallGap" w:sz="24" w:space="0" w:color="auto"/>
              <w:bottom w:val="single" w:sz="12" w:space="0" w:color="000000"/>
            </w:tcBorders>
            <w:vAlign w:val="bottom"/>
          </w:tcPr>
          <w:p w:rsidR="00000000" w:rsidRDefault="00216019">
            <w:pPr>
              <w:rPr>
                <w:b/>
                <w:sz w:val="18"/>
              </w:rPr>
            </w:pPr>
            <w:r>
              <w:rPr>
                <w:b/>
                <w:sz w:val="18"/>
              </w:rPr>
              <w:t>Age 13-19 (n=549)</w:t>
            </w:r>
          </w:p>
        </w:tc>
        <w:tc>
          <w:tcPr>
            <w:tcW w:w="2050" w:type="dxa"/>
            <w:gridSpan w:val="2"/>
            <w:tcBorders>
              <w:top w:val="thinThickSmallGap" w:sz="24" w:space="0" w:color="auto"/>
              <w:bottom w:val="single" w:sz="12" w:space="0" w:color="000000"/>
            </w:tcBorders>
          </w:tcPr>
          <w:p w:rsidR="00000000" w:rsidRDefault="00216019">
            <w:pPr>
              <w:rPr>
                <w:b/>
                <w:sz w:val="18"/>
              </w:rPr>
            </w:pPr>
            <w:r>
              <w:rPr>
                <w:b/>
                <w:sz w:val="18"/>
              </w:rPr>
              <w:t>Total (n=1869)</w:t>
            </w:r>
          </w:p>
        </w:tc>
      </w:tr>
      <w:tr w:rsidR="00000000">
        <w:tblPrEx>
          <w:tblCellMar>
            <w:top w:w="0" w:type="dxa"/>
            <w:bottom w:w="0" w:type="dxa"/>
          </w:tblCellMar>
        </w:tblPrEx>
        <w:trPr>
          <w:cantSplit/>
          <w:trHeight w:val="432"/>
          <w:jc w:val="center"/>
        </w:trPr>
        <w:tc>
          <w:tcPr>
            <w:tcW w:w="1237" w:type="dxa"/>
            <w:tcBorders>
              <w:top w:val="single" w:sz="12" w:space="0" w:color="000000"/>
              <w:bottom w:val="single" w:sz="12" w:space="0" w:color="000000"/>
            </w:tcBorders>
            <w:vAlign w:val="center"/>
          </w:tcPr>
          <w:p w:rsidR="00000000" w:rsidRDefault="00216019">
            <w:r>
              <w:t>Factor</w:t>
            </w:r>
          </w:p>
        </w:tc>
        <w:tc>
          <w:tcPr>
            <w:tcW w:w="981" w:type="dxa"/>
            <w:tcBorders>
              <w:top w:val="single" w:sz="12" w:space="0" w:color="000000"/>
            </w:tcBorders>
            <w:vAlign w:val="center"/>
          </w:tcPr>
          <w:p w:rsidR="00000000" w:rsidRDefault="00216019">
            <w:pPr>
              <w:rPr>
                <w:sz w:val="20"/>
              </w:rPr>
            </w:pPr>
            <w:r>
              <w:rPr>
                <w:sz w:val="20"/>
              </w:rPr>
              <w:t>Baseline</w:t>
            </w:r>
          </w:p>
        </w:tc>
        <w:tc>
          <w:tcPr>
            <w:tcW w:w="1069" w:type="dxa"/>
            <w:tcBorders>
              <w:top w:val="single" w:sz="12" w:space="0" w:color="000000"/>
            </w:tcBorders>
            <w:vAlign w:val="center"/>
          </w:tcPr>
          <w:p w:rsidR="00000000" w:rsidRDefault="00216019">
            <w:pPr>
              <w:rPr>
                <w:sz w:val="20"/>
              </w:rPr>
            </w:pPr>
            <w:r>
              <w:rPr>
                <w:sz w:val="20"/>
              </w:rPr>
              <w:t>Follow-up</w:t>
            </w:r>
          </w:p>
        </w:tc>
        <w:tc>
          <w:tcPr>
            <w:tcW w:w="981" w:type="dxa"/>
            <w:tcBorders>
              <w:top w:val="single" w:sz="12" w:space="0" w:color="000000"/>
            </w:tcBorders>
            <w:vAlign w:val="center"/>
          </w:tcPr>
          <w:p w:rsidR="00000000" w:rsidRDefault="00216019">
            <w:pPr>
              <w:rPr>
                <w:sz w:val="20"/>
              </w:rPr>
            </w:pPr>
            <w:r>
              <w:rPr>
                <w:sz w:val="20"/>
              </w:rPr>
              <w:t>Baseline</w:t>
            </w:r>
          </w:p>
        </w:tc>
        <w:tc>
          <w:tcPr>
            <w:tcW w:w="1069" w:type="dxa"/>
            <w:tcBorders>
              <w:top w:val="single" w:sz="12" w:space="0" w:color="000000"/>
            </w:tcBorders>
            <w:vAlign w:val="center"/>
          </w:tcPr>
          <w:p w:rsidR="00000000" w:rsidRDefault="00216019">
            <w:pPr>
              <w:rPr>
                <w:sz w:val="20"/>
              </w:rPr>
            </w:pPr>
            <w:r>
              <w:rPr>
                <w:sz w:val="20"/>
              </w:rPr>
              <w:t>Follow-up</w:t>
            </w:r>
          </w:p>
        </w:tc>
        <w:tc>
          <w:tcPr>
            <w:tcW w:w="981" w:type="dxa"/>
            <w:tcBorders>
              <w:top w:val="single" w:sz="12" w:space="0" w:color="000000"/>
            </w:tcBorders>
            <w:vAlign w:val="center"/>
          </w:tcPr>
          <w:p w:rsidR="00000000" w:rsidRDefault="00216019">
            <w:pPr>
              <w:rPr>
                <w:sz w:val="20"/>
              </w:rPr>
            </w:pPr>
            <w:r>
              <w:rPr>
                <w:sz w:val="20"/>
              </w:rPr>
              <w:t>Baseline</w:t>
            </w:r>
          </w:p>
        </w:tc>
        <w:tc>
          <w:tcPr>
            <w:tcW w:w="1069" w:type="dxa"/>
            <w:tcBorders>
              <w:top w:val="single" w:sz="12" w:space="0" w:color="000000"/>
            </w:tcBorders>
            <w:vAlign w:val="center"/>
          </w:tcPr>
          <w:p w:rsidR="00000000" w:rsidRDefault="00216019">
            <w:pPr>
              <w:rPr>
                <w:sz w:val="20"/>
              </w:rPr>
            </w:pPr>
            <w:r>
              <w:rPr>
                <w:sz w:val="20"/>
              </w:rPr>
              <w:t>Follow-up</w:t>
            </w:r>
          </w:p>
        </w:tc>
        <w:tc>
          <w:tcPr>
            <w:tcW w:w="981" w:type="dxa"/>
            <w:tcBorders>
              <w:top w:val="single" w:sz="12" w:space="0" w:color="000000"/>
            </w:tcBorders>
            <w:vAlign w:val="center"/>
          </w:tcPr>
          <w:p w:rsidR="00000000" w:rsidRDefault="00216019">
            <w:pPr>
              <w:rPr>
                <w:sz w:val="20"/>
              </w:rPr>
            </w:pPr>
            <w:r>
              <w:rPr>
                <w:sz w:val="20"/>
              </w:rPr>
              <w:t>Baseline</w:t>
            </w:r>
          </w:p>
        </w:tc>
        <w:tc>
          <w:tcPr>
            <w:tcW w:w="1069" w:type="dxa"/>
            <w:tcBorders>
              <w:top w:val="single" w:sz="12" w:space="0" w:color="000000"/>
            </w:tcBorders>
            <w:vAlign w:val="center"/>
          </w:tcPr>
          <w:p w:rsidR="00000000" w:rsidRDefault="00216019">
            <w:pPr>
              <w:rPr>
                <w:sz w:val="20"/>
              </w:rPr>
            </w:pPr>
            <w:r>
              <w:rPr>
                <w:sz w:val="20"/>
              </w:rPr>
              <w:t>Follow-up</w:t>
            </w:r>
          </w:p>
        </w:tc>
      </w:tr>
      <w:tr w:rsidR="00000000">
        <w:tblPrEx>
          <w:tblCellMar>
            <w:top w:w="0" w:type="dxa"/>
            <w:bottom w:w="0" w:type="dxa"/>
          </w:tblCellMar>
        </w:tblPrEx>
        <w:trPr>
          <w:cantSplit/>
          <w:trHeight w:val="432"/>
          <w:jc w:val="center"/>
        </w:trPr>
        <w:tc>
          <w:tcPr>
            <w:tcW w:w="1237" w:type="dxa"/>
            <w:tcBorders>
              <w:top w:val="single" w:sz="12" w:space="0" w:color="000000"/>
              <w:bottom w:val="single" w:sz="6" w:space="0" w:color="000000"/>
            </w:tcBorders>
            <w:vAlign w:val="center"/>
          </w:tcPr>
          <w:p w:rsidR="00000000" w:rsidRDefault="00216019">
            <w:pPr>
              <w:rPr>
                <w:b/>
                <w:sz w:val="18"/>
              </w:rPr>
            </w:pPr>
            <w:r>
              <w:rPr>
                <w:b/>
                <w:sz w:val="18"/>
              </w:rPr>
              <w:t>Needed Behav/emot care</w:t>
            </w:r>
          </w:p>
        </w:tc>
        <w:tc>
          <w:tcPr>
            <w:tcW w:w="981" w:type="dxa"/>
            <w:vAlign w:val="center"/>
          </w:tcPr>
          <w:p w:rsidR="00000000" w:rsidRDefault="00216019">
            <w:pPr>
              <w:jc w:val="center"/>
              <w:rPr>
                <w:sz w:val="20"/>
              </w:rPr>
            </w:pPr>
            <w:r>
              <w:rPr>
                <w:sz w:val="20"/>
              </w:rPr>
              <w:t>6% (n=41)</w:t>
            </w:r>
          </w:p>
        </w:tc>
        <w:tc>
          <w:tcPr>
            <w:tcW w:w="1069" w:type="dxa"/>
            <w:vAlign w:val="center"/>
          </w:tcPr>
          <w:p w:rsidR="00000000" w:rsidRDefault="00216019">
            <w:pPr>
              <w:jc w:val="center"/>
              <w:rPr>
                <w:sz w:val="20"/>
              </w:rPr>
            </w:pPr>
            <w:r>
              <w:rPr>
                <w:sz w:val="20"/>
              </w:rPr>
              <w:t>6% (n=41)</w:t>
            </w:r>
          </w:p>
        </w:tc>
        <w:tc>
          <w:tcPr>
            <w:tcW w:w="981" w:type="dxa"/>
          </w:tcPr>
          <w:p w:rsidR="00000000" w:rsidRDefault="00216019">
            <w:pPr>
              <w:jc w:val="center"/>
              <w:rPr>
                <w:sz w:val="20"/>
              </w:rPr>
            </w:pPr>
            <w:r>
              <w:rPr>
                <w:sz w:val="20"/>
              </w:rPr>
              <w:t>16% (n=103)</w:t>
            </w:r>
          </w:p>
        </w:tc>
        <w:tc>
          <w:tcPr>
            <w:tcW w:w="1069" w:type="dxa"/>
          </w:tcPr>
          <w:p w:rsidR="00000000" w:rsidRDefault="00216019">
            <w:pPr>
              <w:jc w:val="center"/>
              <w:rPr>
                <w:sz w:val="20"/>
              </w:rPr>
            </w:pPr>
            <w:r>
              <w:rPr>
                <w:sz w:val="20"/>
              </w:rPr>
              <w:t>15% (n=96)</w:t>
            </w:r>
          </w:p>
        </w:tc>
        <w:tc>
          <w:tcPr>
            <w:tcW w:w="981" w:type="dxa"/>
          </w:tcPr>
          <w:p w:rsidR="00000000" w:rsidRDefault="00216019">
            <w:pPr>
              <w:jc w:val="center"/>
              <w:rPr>
                <w:sz w:val="20"/>
              </w:rPr>
            </w:pPr>
            <w:r>
              <w:rPr>
                <w:sz w:val="20"/>
              </w:rPr>
              <w:t>20% (</w:t>
            </w:r>
            <w:r>
              <w:rPr>
                <w:sz w:val="20"/>
              </w:rPr>
              <w:t>n=110)</w:t>
            </w:r>
          </w:p>
        </w:tc>
        <w:tc>
          <w:tcPr>
            <w:tcW w:w="1069" w:type="dxa"/>
          </w:tcPr>
          <w:p w:rsidR="00000000" w:rsidRDefault="00216019">
            <w:pPr>
              <w:jc w:val="center"/>
              <w:rPr>
                <w:sz w:val="20"/>
              </w:rPr>
            </w:pPr>
            <w:r>
              <w:rPr>
                <w:sz w:val="20"/>
              </w:rPr>
              <w:t>20% (n=110)</w:t>
            </w:r>
          </w:p>
        </w:tc>
        <w:tc>
          <w:tcPr>
            <w:tcW w:w="981" w:type="dxa"/>
          </w:tcPr>
          <w:p w:rsidR="00000000" w:rsidRDefault="00216019">
            <w:pPr>
              <w:jc w:val="center"/>
              <w:rPr>
                <w:sz w:val="20"/>
              </w:rPr>
            </w:pPr>
            <w:r>
              <w:rPr>
                <w:sz w:val="20"/>
              </w:rPr>
              <w:t>14% (n=254)</w:t>
            </w:r>
          </w:p>
        </w:tc>
        <w:tc>
          <w:tcPr>
            <w:tcW w:w="1069" w:type="dxa"/>
          </w:tcPr>
          <w:p w:rsidR="00000000" w:rsidRDefault="00216019">
            <w:pPr>
              <w:jc w:val="center"/>
              <w:rPr>
                <w:sz w:val="20"/>
              </w:rPr>
            </w:pPr>
            <w:r>
              <w:rPr>
                <w:sz w:val="20"/>
              </w:rPr>
              <w:t>13% (n=247)</w:t>
            </w:r>
          </w:p>
        </w:tc>
      </w:tr>
      <w:tr w:rsidR="00000000">
        <w:tblPrEx>
          <w:tblCellMar>
            <w:top w:w="0" w:type="dxa"/>
            <w:bottom w:w="0" w:type="dxa"/>
          </w:tblCellMar>
        </w:tblPrEx>
        <w:trPr>
          <w:cantSplit/>
          <w:trHeight w:val="432"/>
          <w:jc w:val="center"/>
        </w:trPr>
        <w:tc>
          <w:tcPr>
            <w:tcW w:w="1237" w:type="dxa"/>
            <w:tcBorders>
              <w:top w:val="single" w:sz="6" w:space="0" w:color="000000"/>
              <w:bottom w:val="thickThinSmallGap" w:sz="24" w:space="0" w:color="auto"/>
            </w:tcBorders>
            <w:vAlign w:val="center"/>
          </w:tcPr>
          <w:p w:rsidR="00000000" w:rsidRDefault="00216019">
            <w:pPr>
              <w:rPr>
                <w:b/>
                <w:sz w:val="18"/>
              </w:rPr>
            </w:pPr>
            <w:r>
              <w:rPr>
                <w:b/>
                <w:sz w:val="18"/>
              </w:rPr>
              <w:t>Unmet need for Behav/emot care</w:t>
            </w:r>
          </w:p>
        </w:tc>
        <w:tc>
          <w:tcPr>
            <w:tcW w:w="981" w:type="dxa"/>
            <w:tcBorders>
              <w:bottom w:val="thickThinSmallGap" w:sz="24" w:space="0" w:color="auto"/>
            </w:tcBorders>
          </w:tcPr>
          <w:p w:rsidR="00000000" w:rsidRDefault="00216019">
            <w:pPr>
              <w:jc w:val="center"/>
              <w:rPr>
                <w:sz w:val="20"/>
              </w:rPr>
            </w:pPr>
            <w:r>
              <w:rPr>
                <w:sz w:val="20"/>
              </w:rPr>
              <w:t>2% (n=14)</w:t>
            </w:r>
          </w:p>
        </w:tc>
        <w:tc>
          <w:tcPr>
            <w:tcW w:w="1069" w:type="dxa"/>
            <w:tcBorders>
              <w:bottom w:val="thickThinSmallGap" w:sz="24" w:space="0" w:color="auto"/>
            </w:tcBorders>
          </w:tcPr>
          <w:p w:rsidR="00000000" w:rsidRDefault="00216019">
            <w:pPr>
              <w:jc w:val="center"/>
              <w:rPr>
                <w:sz w:val="20"/>
              </w:rPr>
            </w:pPr>
            <w:r>
              <w:rPr>
                <w:sz w:val="20"/>
              </w:rPr>
              <w:t>2% (n=14)</w:t>
            </w:r>
          </w:p>
        </w:tc>
        <w:tc>
          <w:tcPr>
            <w:tcW w:w="981" w:type="dxa"/>
            <w:tcBorders>
              <w:bottom w:val="thickThinSmallGap" w:sz="24" w:space="0" w:color="auto"/>
            </w:tcBorders>
          </w:tcPr>
          <w:p w:rsidR="00000000" w:rsidRDefault="00216019">
            <w:pPr>
              <w:jc w:val="center"/>
              <w:rPr>
                <w:b/>
                <w:i/>
                <w:sz w:val="20"/>
              </w:rPr>
            </w:pPr>
            <w:r>
              <w:rPr>
                <w:b/>
                <w:i/>
                <w:sz w:val="20"/>
              </w:rPr>
              <w:t xml:space="preserve">7% </w:t>
            </w:r>
            <w:r>
              <w:rPr>
                <w:sz w:val="20"/>
              </w:rPr>
              <w:t>(n=45)</w:t>
            </w:r>
          </w:p>
        </w:tc>
        <w:tc>
          <w:tcPr>
            <w:tcW w:w="1069" w:type="dxa"/>
            <w:tcBorders>
              <w:bottom w:val="thickThinSmallGap" w:sz="24" w:space="0" w:color="auto"/>
            </w:tcBorders>
          </w:tcPr>
          <w:p w:rsidR="00000000" w:rsidRDefault="00216019">
            <w:pPr>
              <w:jc w:val="center"/>
              <w:rPr>
                <w:b/>
                <w:i/>
                <w:sz w:val="20"/>
              </w:rPr>
            </w:pPr>
            <w:r>
              <w:rPr>
                <w:b/>
                <w:i/>
                <w:sz w:val="20"/>
              </w:rPr>
              <w:t xml:space="preserve">1% </w:t>
            </w:r>
            <w:r>
              <w:rPr>
                <w:b/>
                <w:i/>
                <w:sz w:val="20"/>
              </w:rPr>
              <w:br/>
            </w:r>
            <w:r>
              <w:rPr>
                <w:sz w:val="20"/>
              </w:rPr>
              <w:t>(n=6)</w:t>
            </w:r>
          </w:p>
        </w:tc>
        <w:tc>
          <w:tcPr>
            <w:tcW w:w="981" w:type="dxa"/>
            <w:tcBorders>
              <w:bottom w:val="thickThinSmallGap" w:sz="24" w:space="0" w:color="auto"/>
            </w:tcBorders>
          </w:tcPr>
          <w:p w:rsidR="00000000" w:rsidRDefault="00216019">
            <w:pPr>
              <w:jc w:val="center"/>
              <w:rPr>
                <w:b/>
                <w:i/>
                <w:sz w:val="20"/>
              </w:rPr>
            </w:pPr>
            <w:r>
              <w:rPr>
                <w:b/>
                <w:i/>
                <w:sz w:val="20"/>
              </w:rPr>
              <w:t xml:space="preserve">9% </w:t>
            </w:r>
            <w:r>
              <w:rPr>
                <w:sz w:val="20"/>
              </w:rPr>
              <w:t>(n=49)</w:t>
            </w:r>
          </w:p>
        </w:tc>
        <w:tc>
          <w:tcPr>
            <w:tcW w:w="1069" w:type="dxa"/>
            <w:tcBorders>
              <w:bottom w:val="thickThinSmallGap" w:sz="24" w:space="0" w:color="auto"/>
            </w:tcBorders>
          </w:tcPr>
          <w:p w:rsidR="00000000" w:rsidRDefault="00216019">
            <w:pPr>
              <w:jc w:val="center"/>
              <w:rPr>
                <w:b/>
                <w:i/>
                <w:sz w:val="20"/>
              </w:rPr>
            </w:pPr>
            <w:r>
              <w:rPr>
                <w:b/>
                <w:i/>
                <w:sz w:val="20"/>
              </w:rPr>
              <w:t xml:space="preserve">2% </w:t>
            </w:r>
            <w:r>
              <w:rPr>
                <w:sz w:val="20"/>
              </w:rPr>
              <w:t>(n=11)</w:t>
            </w:r>
          </w:p>
        </w:tc>
        <w:tc>
          <w:tcPr>
            <w:tcW w:w="981" w:type="dxa"/>
            <w:tcBorders>
              <w:bottom w:val="thickThinSmallGap" w:sz="24" w:space="0" w:color="auto"/>
            </w:tcBorders>
          </w:tcPr>
          <w:p w:rsidR="00000000" w:rsidRDefault="00216019">
            <w:pPr>
              <w:jc w:val="center"/>
              <w:rPr>
                <w:b/>
                <w:i/>
                <w:sz w:val="20"/>
              </w:rPr>
            </w:pPr>
            <w:r>
              <w:rPr>
                <w:b/>
                <w:i/>
                <w:sz w:val="20"/>
              </w:rPr>
              <w:t xml:space="preserve">6% </w:t>
            </w:r>
            <w:r>
              <w:rPr>
                <w:sz w:val="20"/>
              </w:rPr>
              <w:t>(n=108)</w:t>
            </w:r>
          </w:p>
        </w:tc>
        <w:tc>
          <w:tcPr>
            <w:tcW w:w="1069" w:type="dxa"/>
            <w:tcBorders>
              <w:bottom w:val="thickThinSmallGap" w:sz="24" w:space="0" w:color="auto"/>
            </w:tcBorders>
          </w:tcPr>
          <w:p w:rsidR="00000000" w:rsidRDefault="00216019">
            <w:pPr>
              <w:jc w:val="center"/>
              <w:rPr>
                <w:b/>
                <w:i/>
                <w:sz w:val="20"/>
              </w:rPr>
            </w:pPr>
            <w:r>
              <w:rPr>
                <w:b/>
                <w:i/>
                <w:sz w:val="20"/>
              </w:rPr>
              <w:t xml:space="preserve">2% </w:t>
            </w:r>
            <w:r>
              <w:rPr>
                <w:sz w:val="20"/>
              </w:rPr>
              <w:t>(n=31)</w:t>
            </w:r>
          </w:p>
        </w:tc>
      </w:tr>
    </w:tbl>
    <w:p w:rsidR="00000000" w:rsidRDefault="00216019">
      <w:pPr>
        <w:rPr>
          <w:sz w:val="20"/>
        </w:rPr>
      </w:pPr>
      <w:r>
        <w:rPr>
          <w:b/>
          <w:i/>
          <w:sz w:val="20"/>
        </w:rPr>
        <w:t>Bold and Italic</w:t>
      </w:r>
      <w:r>
        <w:rPr>
          <w:sz w:val="20"/>
        </w:rPr>
        <w:t>=McNemar’s test significantly different, p&lt;0.05</w:t>
      </w:r>
    </w:p>
    <w:p w:rsidR="00000000" w:rsidRDefault="00216019"/>
    <w:p w:rsidR="00000000" w:rsidRDefault="00216019"/>
    <w:p w:rsidR="00000000" w:rsidRDefault="00216019">
      <w:pPr>
        <w:jc w:val="center"/>
        <w:rPr>
          <w:b/>
          <w:bCs/>
        </w:rPr>
      </w:pPr>
      <w:r>
        <w:rPr>
          <w:b/>
          <w:bCs/>
        </w:rPr>
        <w:t xml:space="preserve">Figure 4. Percent of children who </w:t>
      </w:r>
      <w:r>
        <w:rPr>
          <w:b/>
          <w:bCs/>
        </w:rPr>
        <w:t xml:space="preserve">needed behavioral or emotional health care services while enrolled in </w:t>
      </w:r>
      <w:r>
        <w:rPr>
          <w:b/>
          <w:bCs/>
          <w:i/>
        </w:rPr>
        <w:t>hawk-i</w:t>
      </w:r>
    </w:p>
    <w:p w:rsidR="00000000" w:rsidRDefault="00216019">
      <w:pPr>
        <w:ind w:left="720"/>
        <w:rPr>
          <w:noProof/>
          <w:color w:val="000000"/>
        </w:rPr>
      </w:pPr>
      <w:r>
        <w:rPr>
          <w:noProof/>
        </w:rPr>
        <w:drawing>
          <wp:inline distT="0" distB="0" distL="0" distR="0">
            <wp:extent cx="5492750" cy="2444750"/>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color w:val="000000"/>
        </w:rPr>
        <w:t xml:space="preserve"> </w:t>
      </w:r>
    </w:p>
    <w:p w:rsidR="00000000" w:rsidRDefault="00216019"/>
    <w:p w:rsidR="00000000" w:rsidRDefault="00216019"/>
    <w:p w:rsidR="00000000" w:rsidRDefault="00216019"/>
    <w:p w:rsidR="00000000" w:rsidRDefault="00216019">
      <w:pPr>
        <w:jc w:val="center"/>
        <w:rPr>
          <w:b/>
          <w:bCs/>
        </w:rPr>
      </w:pPr>
      <w:r>
        <w:rPr>
          <w:b/>
          <w:bCs/>
        </w:rPr>
        <w:t>Figure 5. Percent of children by age and gender with unmet need for behavioral or emotional health care services (baseline and follow-up)</w:t>
      </w:r>
    </w:p>
    <w:p w:rsidR="00000000" w:rsidRDefault="00216019">
      <w:pPr>
        <w:ind w:left="720"/>
      </w:pPr>
      <w:r>
        <w:rPr>
          <w:noProof/>
        </w:rPr>
        <w:drawing>
          <wp:inline distT="0" distB="0" distL="0" distR="0">
            <wp:extent cx="5492750" cy="2444750"/>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00000" w:rsidRDefault="00216019"/>
    <w:p w:rsidR="00000000" w:rsidRDefault="00216019">
      <w:pPr>
        <w:rPr>
          <w:b/>
          <w:bCs/>
          <w:i/>
          <w:iCs/>
          <w:sz w:val="28"/>
        </w:rPr>
      </w:pPr>
      <w:r>
        <w:rPr>
          <w:b/>
          <w:bCs/>
          <w:i/>
          <w:iCs/>
          <w:sz w:val="28"/>
        </w:rPr>
        <w:lastRenderedPageBreak/>
        <w:t>Comparison of the information regarding ADHD from the encounter data and the surveys</w:t>
      </w:r>
    </w:p>
    <w:p w:rsidR="00000000" w:rsidRDefault="00216019"/>
    <w:p w:rsidR="00000000" w:rsidRDefault="00216019">
      <w:r>
        <w:t>Overall, the percent of children with “attention problems” indicated on the survey is higher than the percent with ADHD in the claims data for all age g</w:t>
      </w:r>
      <w:r>
        <w:t>roups. It is difficult to determine why this rate might be higher. Perhaps parents are likely to report attention problems before children are diagnosed with this or parents with children who have attention problems or are health care utilizers may be more</w:t>
      </w:r>
      <w:r>
        <w:t xml:space="preserve"> likely to complete the survey.</w:t>
      </w:r>
    </w:p>
    <w:p w:rsidR="00000000" w:rsidRDefault="00216019"/>
    <w:p w:rsidR="00000000" w:rsidRDefault="00216019">
      <w:r>
        <w:t>To compare directly between those for whom we had both a survey and encounter data, results from the survey data were matched back to the encounter data resulting in 2,149 individuals with information for both data sources.</w:t>
      </w:r>
      <w:r>
        <w:t xml:space="preserve"> Of these, 62 had a diagnosis of ADHD in the encounter data and 200 were reported to have attention problems on the survey. Table 9 provides a summary of the comparison indicating the agreement rates between the survey and encounter data.</w:t>
      </w:r>
    </w:p>
    <w:p w:rsidR="00000000" w:rsidRDefault="00216019">
      <w:pPr>
        <w:jc w:val="center"/>
        <w:rPr>
          <w:b/>
          <w:bCs/>
        </w:rPr>
      </w:pPr>
    </w:p>
    <w:p w:rsidR="00000000" w:rsidRDefault="00216019">
      <w:pPr>
        <w:jc w:val="center"/>
      </w:pPr>
      <w:r>
        <w:rPr>
          <w:b/>
          <w:bCs/>
        </w:rPr>
        <w:t>Table 10. Survey</w:t>
      </w:r>
      <w:r>
        <w:rPr>
          <w:b/>
          <w:bCs/>
        </w:rPr>
        <w:t xml:space="preserve"> and encounter data rate of agreement</w:t>
      </w:r>
    </w:p>
    <w:tbl>
      <w:tblPr>
        <w:tblW w:w="0" w:type="auto"/>
        <w:tblInd w:w="720" w:type="dxa"/>
        <w:tblBorders>
          <w:top w:val="thinThickSmallGap" w:sz="24" w:space="0" w:color="auto"/>
          <w:bottom w:val="thickThinSmallGap" w:sz="24" w:space="0" w:color="auto"/>
          <w:insideH w:val="single" w:sz="4" w:space="0" w:color="auto"/>
        </w:tblBorders>
        <w:tblLook w:val="0000"/>
      </w:tblPr>
      <w:tblGrid>
        <w:gridCol w:w="2538"/>
        <w:gridCol w:w="2269"/>
        <w:gridCol w:w="2518"/>
        <w:gridCol w:w="1963"/>
      </w:tblGrid>
      <w:tr w:rsidR="00000000">
        <w:tblPrEx>
          <w:tblCellMar>
            <w:top w:w="0" w:type="dxa"/>
            <w:bottom w:w="0" w:type="dxa"/>
          </w:tblCellMar>
        </w:tblPrEx>
        <w:tc>
          <w:tcPr>
            <w:tcW w:w="2538" w:type="dxa"/>
          </w:tcPr>
          <w:p w:rsidR="00000000" w:rsidRDefault="00216019"/>
        </w:tc>
        <w:tc>
          <w:tcPr>
            <w:tcW w:w="2269" w:type="dxa"/>
          </w:tcPr>
          <w:p w:rsidR="00000000" w:rsidRDefault="00216019">
            <w:pPr>
              <w:jc w:val="center"/>
              <w:rPr>
                <w:sz w:val="18"/>
              </w:rPr>
            </w:pPr>
            <w:r>
              <w:rPr>
                <w:sz w:val="18"/>
              </w:rPr>
              <w:t xml:space="preserve">Problems with </w:t>
            </w:r>
            <w:r>
              <w:rPr>
                <w:sz w:val="18"/>
              </w:rPr>
              <w:br/>
              <w:t>attention reported on survey</w:t>
            </w:r>
          </w:p>
        </w:tc>
        <w:tc>
          <w:tcPr>
            <w:tcW w:w="2518" w:type="dxa"/>
          </w:tcPr>
          <w:p w:rsidR="00000000" w:rsidRDefault="00216019">
            <w:pPr>
              <w:jc w:val="center"/>
              <w:rPr>
                <w:sz w:val="18"/>
              </w:rPr>
            </w:pPr>
            <w:r>
              <w:rPr>
                <w:sz w:val="18"/>
              </w:rPr>
              <w:t xml:space="preserve">No problems with </w:t>
            </w:r>
            <w:r>
              <w:rPr>
                <w:sz w:val="18"/>
              </w:rPr>
              <w:br/>
              <w:t>attention reported on survey</w:t>
            </w:r>
          </w:p>
        </w:tc>
        <w:tc>
          <w:tcPr>
            <w:tcW w:w="1963" w:type="dxa"/>
          </w:tcPr>
          <w:p w:rsidR="00000000" w:rsidRDefault="00216019">
            <w:pPr>
              <w:jc w:val="center"/>
              <w:rPr>
                <w:sz w:val="18"/>
              </w:rPr>
            </w:pPr>
            <w:r>
              <w:rPr>
                <w:sz w:val="18"/>
              </w:rPr>
              <w:br/>
              <w:t>Total</w:t>
            </w:r>
          </w:p>
        </w:tc>
      </w:tr>
      <w:tr w:rsidR="00000000">
        <w:tblPrEx>
          <w:tblCellMar>
            <w:top w:w="0" w:type="dxa"/>
            <w:bottom w:w="0" w:type="dxa"/>
          </w:tblCellMar>
        </w:tblPrEx>
        <w:tc>
          <w:tcPr>
            <w:tcW w:w="2538" w:type="dxa"/>
          </w:tcPr>
          <w:p w:rsidR="00000000" w:rsidRDefault="00216019">
            <w:pPr>
              <w:rPr>
                <w:sz w:val="18"/>
              </w:rPr>
            </w:pPr>
            <w:r>
              <w:rPr>
                <w:sz w:val="18"/>
              </w:rPr>
              <w:t xml:space="preserve">ADHD diagnosis on encounter </w:t>
            </w:r>
          </w:p>
        </w:tc>
        <w:tc>
          <w:tcPr>
            <w:tcW w:w="2269" w:type="dxa"/>
          </w:tcPr>
          <w:p w:rsidR="00000000" w:rsidRDefault="00216019">
            <w:pPr>
              <w:jc w:val="center"/>
              <w:rPr>
                <w:sz w:val="20"/>
                <w:vertAlign w:val="superscript"/>
              </w:rPr>
            </w:pPr>
            <w:r>
              <w:rPr>
                <w:sz w:val="20"/>
              </w:rPr>
              <w:t>43 (72%)</w:t>
            </w:r>
            <w:r>
              <w:rPr>
                <w:sz w:val="20"/>
                <w:vertAlign w:val="superscript"/>
              </w:rPr>
              <w:t>a</w:t>
            </w:r>
          </w:p>
        </w:tc>
        <w:tc>
          <w:tcPr>
            <w:tcW w:w="2518" w:type="dxa"/>
          </w:tcPr>
          <w:p w:rsidR="00000000" w:rsidRDefault="00216019">
            <w:pPr>
              <w:jc w:val="center"/>
              <w:rPr>
                <w:sz w:val="20"/>
                <w:vertAlign w:val="superscript"/>
              </w:rPr>
            </w:pPr>
            <w:r>
              <w:rPr>
                <w:sz w:val="20"/>
              </w:rPr>
              <w:t>17 (28%)</w:t>
            </w:r>
            <w:r>
              <w:rPr>
                <w:sz w:val="20"/>
                <w:vertAlign w:val="superscript"/>
              </w:rPr>
              <w:t>b</w:t>
            </w:r>
          </w:p>
        </w:tc>
        <w:tc>
          <w:tcPr>
            <w:tcW w:w="1963" w:type="dxa"/>
          </w:tcPr>
          <w:p w:rsidR="00000000" w:rsidRDefault="00216019">
            <w:pPr>
              <w:jc w:val="center"/>
              <w:rPr>
                <w:sz w:val="20"/>
              </w:rPr>
            </w:pPr>
            <w:r>
              <w:rPr>
                <w:sz w:val="20"/>
              </w:rPr>
              <w:t>60 (100%)</w:t>
            </w:r>
          </w:p>
        </w:tc>
      </w:tr>
      <w:tr w:rsidR="00000000">
        <w:tblPrEx>
          <w:tblCellMar>
            <w:top w:w="0" w:type="dxa"/>
            <w:bottom w:w="0" w:type="dxa"/>
          </w:tblCellMar>
        </w:tblPrEx>
        <w:tc>
          <w:tcPr>
            <w:tcW w:w="2538" w:type="dxa"/>
          </w:tcPr>
          <w:p w:rsidR="00000000" w:rsidRDefault="00216019">
            <w:pPr>
              <w:rPr>
                <w:sz w:val="18"/>
              </w:rPr>
            </w:pPr>
            <w:r>
              <w:rPr>
                <w:sz w:val="18"/>
              </w:rPr>
              <w:t>No ADHD diagnosis on encounter</w:t>
            </w:r>
          </w:p>
        </w:tc>
        <w:tc>
          <w:tcPr>
            <w:tcW w:w="2269" w:type="dxa"/>
          </w:tcPr>
          <w:p w:rsidR="00000000" w:rsidRDefault="00216019">
            <w:pPr>
              <w:jc w:val="center"/>
              <w:rPr>
                <w:sz w:val="20"/>
                <w:vertAlign w:val="superscript"/>
              </w:rPr>
            </w:pPr>
            <w:r>
              <w:rPr>
                <w:sz w:val="20"/>
              </w:rPr>
              <w:t>157 (8%)</w:t>
            </w:r>
            <w:r>
              <w:rPr>
                <w:sz w:val="20"/>
                <w:vertAlign w:val="superscript"/>
              </w:rPr>
              <w:t>c</w:t>
            </w:r>
          </w:p>
        </w:tc>
        <w:tc>
          <w:tcPr>
            <w:tcW w:w="2518" w:type="dxa"/>
          </w:tcPr>
          <w:p w:rsidR="00000000" w:rsidRDefault="00216019">
            <w:pPr>
              <w:jc w:val="center"/>
              <w:rPr>
                <w:sz w:val="20"/>
                <w:vertAlign w:val="superscript"/>
              </w:rPr>
            </w:pPr>
            <w:r>
              <w:rPr>
                <w:sz w:val="20"/>
              </w:rPr>
              <w:t>1,930 (93%)</w:t>
            </w:r>
            <w:r>
              <w:rPr>
                <w:sz w:val="20"/>
                <w:vertAlign w:val="superscript"/>
              </w:rPr>
              <w:t>d</w:t>
            </w:r>
          </w:p>
        </w:tc>
        <w:tc>
          <w:tcPr>
            <w:tcW w:w="1963" w:type="dxa"/>
          </w:tcPr>
          <w:p w:rsidR="00000000" w:rsidRDefault="00216019">
            <w:pPr>
              <w:jc w:val="center"/>
              <w:rPr>
                <w:sz w:val="20"/>
              </w:rPr>
            </w:pPr>
            <w:r>
              <w:rPr>
                <w:sz w:val="20"/>
              </w:rPr>
              <w:t>2,08</w:t>
            </w:r>
            <w:r>
              <w:rPr>
                <w:sz w:val="20"/>
              </w:rPr>
              <w:t>7 (100%)</w:t>
            </w:r>
          </w:p>
        </w:tc>
      </w:tr>
    </w:tbl>
    <w:p w:rsidR="00000000" w:rsidRDefault="00216019"/>
    <w:p w:rsidR="00000000" w:rsidRDefault="00216019">
      <w:r>
        <w:t>Cells a and d in Table 10 indicate agreement between the survey and the encounter data. Ninety-three percent (n=1,930) of the time when there was no ADHD diagnosis in the encounter data parents also did not report any attention problems, while 7</w:t>
      </w:r>
      <w:r>
        <w:t>2% (n=43) of the time when there was an ADHD diagnosis in the encounter data parents did report attention problems. Cells b and c indicate areas of disagreement between the two data sources. Almost 30% of children (n=17) with an ADHD diagnosis in the encou</w:t>
      </w:r>
      <w:r>
        <w:t xml:space="preserve">nter data were not reported as having attention problems by their parents, while 8% of children (n=157) without an ADHD diagnosis within the encounter files were reported as having attention problems. </w:t>
      </w:r>
    </w:p>
    <w:p w:rsidR="00000000" w:rsidRDefault="00216019"/>
    <w:p w:rsidR="00000000" w:rsidRDefault="00216019">
      <w:r>
        <w:t>ADHD diagnosis is still a rare occurrence, despite th</w:t>
      </w:r>
      <w:r>
        <w:t>at fact that it occurs in up to 15% of the population. It is not difficult to imagine that parents may report attention problems prior to actually seeking a medical intervention for this problem. It could also be that parents are reticent to label their ch</w:t>
      </w:r>
      <w:r>
        <w:t>ildren as having attention problems There are also issues regarding differences in how the survey question was asked and how an encounter is coded that could have produced differences. For example, the survey question specifically asked if the child curren</w:t>
      </w:r>
      <w:r>
        <w:t>tly had a problem that lasted at least the past 3 months. Some parents may not have indicated that the child had a problem currently because their symptoms were being controlled by an intervention. Another hypothesis is that the timing of the survey result</w:t>
      </w:r>
      <w:r>
        <w:t>ed in parents being asked about attention problems before children were actually diagnosed. This is unlikely since the encounters for ADHD were within the year prior to the survey for over 97% of the encounters. Regardless, it is important to know that dif</w:t>
      </w:r>
      <w:r>
        <w:t>ferences in prevalence rates can occur when using encounter data compared to survey data.</w:t>
      </w:r>
    </w:p>
    <w:p w:rsidR="00000000" w:rsidRDefault="00216019"/>
    <w:p w:rsidR="00000000" w:rsidRDefault="00216019"/>
    <w:p w:rsidR="00000000" w:rsidRDefault="00216019">
      <w:pPr>
        <w:tabs>
          <w:tab w:val="left" w:pos="2032"/>
        </w:tabs>
      </w:pPr>
    </w:p>
    <w:p w:rsidR="00000000" w:rsidRDefault="00216019">
      <w:pPr>
        <w:ind w:left="720" w:hanging="720"/>
        <w:rPr>
          <w:iCs/>
          <w:sz w:val="36"/>
        </w:rPr>
      </w:pPr>
    </w:p>
    <w:p w:rsidR="00000000" w:rsidRDefault="00216019">
      <w:pPr>
        <w:ind w:left="720" w:hanging="720"/>
        <w:jc w:val="center"/>
        <w:rPr>
          <w:i/>
          <w:sz w:val="36"/>
        </w:rPr>
        <w:sectPr w:rsidR="00000000">
          <w:pgSz w:w="12240" w:h="15840" w:code="1"/>
          <w:pgMar w:top="720" w:right="720" w:bottom="720" w:left="720" w:header="720" w:footer="720" w:gutter="0"/>
          <w:pgNumType w:start="1"/>
          <w:cols w:space="720"/>
          <w:titlePg/>
        </w:sect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p>
    <w:p w:rsidR="00000000" w:rsidRDefault="00216019">
      <w:pPr>
        <w:ind w:left="720" w:hanging="720"/>
        <w:jc w:val="center"/>
        <w:rPr>
          <w:i/>
          <w:sz w:val="36"/>
        </w:rPr>
      </w:pPr>
      <w:r>
        <w:rPr>
          <w:i/>
          <w:sz w:val="36"/>
        </w:rPr>
        <w:t xml:space="preserve">Attachment 3:  Allotment Expenditure History, </w:t>
      </w:r>
    </w:p>
    <w:p w:rsidR="00000000" w:rsidRDefault="00216019">
      <w:pPr>
        <w:ind w:left="720" w:hanging="720"/>
        <w:jc w:val="center"/>
        <w:rPr>
          <w:i/>
          <w:sz w:val="36"/>
        </w:rPr>
      </w:pPr>
      <w:r>
        <w:rPr>
          <w:i/>
          <w:sz w:val="36"/>
        </w:rPr>
        <w:t>SFY ’03 Expenditure Report,</w:t>
      </w:r>
    </w:p>
    <w:p w:rsidR="00000000" w:rsidRDefault="00216019">
      <w:pPr>
        <w:ind w:left="720" w:hanging="720"/>
        <w:jc w:val="center"/>
        <w:rPr>
          <w:i/>
          <w:sz w:val="36"/>
        </w:rPr>
      </w:pPr>
      <w:r>
        <w:rPr>
          <w:i/>
          <w:sz w:val="36"/>
        </w:rPr>
        <w:t xml:space="preserve"> and SFY ’04 Budget</w:t>
      </w:r>
    </w:p>
    <w:p w:rsidR="00000000" w:rsidRDefault="00216019">
      <w:pPr>
        <w:jc w:val="center"/>
      </w:pPr>
      <w:r>
        <w:rPr>
          <w:i/>
          <w:sz w:val="36"/>
        </w:rPr>
        <w:t>***</w:t>
      </w:r>
    </w:p>
    <w:p w:rsidR="00000000" w:rsidRDefault="00216019"/>
    <w:p w:rsidR="00000000" w:rsidRDefault="00216019"/>
    <w:p w:rsidR="00000000" w:rsidRDefault="00216019"/>
    <w:p w:rsidR="00000000" w:rsidRDefault="00216019">
      <w:pPr>
        <w:jc w:val="center"/>
      </w:pPr>
    </w:p>
    <w:p w:rsidR="00000000" w:rsidRDefault="00216019"/>
    <w:p w:rsidR="00000000" w:rsidRDefault="00216019">
      <w:pPr>
        <w:sectPr w:rsidR="00000000">
          <w:pgSz w:w="12240" w:h="15840" w:code="1"/>
          <w:pgMar w:top="720" w:right="720" w:bottom="720" w:left="720" w:header="720" w:footer="720" w:gutter="0"/>
          <w:pgNumType w:start="1"/>
          <w:cols w:space="720"/>
          <w:titlePg/>
        </w:sectPr>
      </w:pPr>
    </w:p>
    <w:p w:rsidR="00000000" w:rsidRDefault="00216019">
      <w:pPr>
        <w:jc w:val="center"/>
        <w:rPr>
          <w:sz w:val="32"/>
        </w:rPr>
      </w:pPr>
      <w:r>
        <w:rPr>
          <w:sz w:val="32"/>
        </w:rPr>
        <w:lastRenderedPageBreak/>
        <w:t>IOWA’S  SCHIP ALLOTMENTS</w:t>
      </w:r>
    </w:p>
    <w:p w:rsidR="00000000" w:rsidRDefault="00216019">
      <w:pPr>
        <w:rPr>
          <w:rFonts w:cs="Arial"/>
          <w:sz w:val="16"/>
        </w:rPr>
      </w:pPr>
    </w:p>
    <w:p w:rsidR="00000000" w:rsidRDefault="00216019">
      <w:pPr>
        <w:jc w:val="center"/>
        <w:rPr>
          <w:rFonts w:cs="Arial"/>
          <w:b/>
          <w:sz w:val="16"/>
          <w:u w:val="singl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088"/>
        <w:gridCol w:w="2070"/>
        <w:gridCol w:w="2070"/>
        <w:gridCol w:w="2070"/>
        <w:gridCol w:w="2070"/>
        <w:gridCol w:w="1530"/>
        <w:gridCol w:w="1170"/>
      </w:tblGrid>
      <w:tr w:rsidR="00000000">
        <w:tblPrEx>
          <w:tblCellMar>
            <w:top w:w="0" w:type="dxa"/>
            <w:bottom w:w="0" w:type="dxa"/>
          </w:tblCellMar>
        </w:tblPrEx>
        <w:tc>
          <w:tcPr>
            <w:tcW w:w="1440" w:type="dxa"/>
          </w:tcPr>
          <w:p w:rsidR="00000000" w:rsidRDefault="00216019">
            <w:pPr>
              <w:jc w:val="center"/>
              <w:rPr>
                <w:rFonts w:ascii="Times New Roman" w:hAnsi="Times New Roman"/>
                <w:b/>
                <w:sz w:val="16"/>
              </w:rPr>
            </w:pPr>
          </w:p>
        </w:tc>
        <w:tc>
          <w:tcPr>
            <w:tcW w:w="2088" w:type="dxa"/>
          </w:tcPr>
          <w:p w:rsidR="00000000" w:rsidRDefault="00216019">
            <w:pPr>
              <w:pStyle w:val="Heading1"/>
              <w:jc w:val="center"/>
              <w:rPr>
                <w:b/>
                <w:bCs/>
                <w:sz w:val="16"/>
              </w:rPr>
            </w:pPr>
            <w:r>
              <w:rPr>
                <w:b/>
                <w:bCs/>
                <w:sz w:val="16"/>
              </w:rPr>
              <w:t>FFY 1998</w:t>
            </w:r>
          </w:p>
          <w:p w:rsidR="00000000" w:rsidRDefault="00216019">
            <w:pPr>
              <w:jc w:val="center"/>
              <w:rPr>
                <w:rFonts w:ascii="Times New Roman" w:hAnsi="Times New Roman"/>
                <w:sz w:val="16"/>
              </w:rPr>
            </w:pPr>
            <w:r>
              <w:rPr>
                <w:rFonts w:ascii="Times New Roman" w:hAnsi="Times New Roman"/>
                <w:sz w:val="16"/>
              </w:rPr>
              <w:t>(beg</w:t>
            </w:r>
            <w:r>
              <w:rPr>
                <w:rFonts w:ascii="Times New Roman" w:hAnsi="Times New Roman"/>
                <w:sz w:val="16"/>
              </w:rPr>
              <w:t>an October 1, 1997)</w:t>
            </w:r>
          </w:p>
        </w:tc>
        <w:tc>
          <w:tcPr>
            <w:tcW w:w="2070" w:type="dxa"/>
          </w:tcPr>
          <w:p w:rsidR="00000000" w:rsidRDefault="00216019">
            <w:pPr>
              <w:jc w:val="center"/>
              <w:rPr>
                <w:rFonts w:ascii="Times New Roman" w:hAnsi="Times New Roman"/>
                <w:b/>
                <w:sz w:val="16"/>
              </w:rPr>
            </w:pPr>
            <w:r>
              <w:rPr>
                <w:rFonts w:ascii="Times New Roman" w:hAnsi="Times New Roman"/>
                <w:b/>
                <w:sz w:val="16"/>
              </w:rPr>
              <w:t>FFY 1999</w:t>
            </w:r>
          </w:p>
          <w:p w:rsidR="00000000" w:rsidRDefault="00216019">
            <w:pPr>
              <w:jc w:val="center"/>
              <w:rPr>
                <w:rFonts w:ascii="Times New Roman" w:hAnsi="Times New Roman"/>
                <w:b/>
                <w:sz w:val="16"/>
              </w:rPr>
            </w:pPr>
            <w:r>
              <w:rPr>
                <w:rFonts w:ascii="Times New Roman" w:hAnsi="Times New Roman"/>
                <w:sz w:val="16"/>
              </w:rPr>
              <w:t>(began October 1, 1998)</w:t>
            </w:r>
          </w:p>
        </w:tc>
        <w:tc>
          <w:tcPr>
            <w:tcW w:w="2070" w:type="dxa"/>
          </w:tcPr>
          <w:p w:rsidR="00000000" w:rsidRDefault="00216019">
            <w:pPr>
              <w:jc w:val="center"/>
              <w:rPr>
                <w:rFonts w:ascii="Times New Roman" w:hAnsi="Times New Roman"/>
                <w:b/>
                <w:sz w:val="16"/>
              </w:rPr>
            </w:pPr>
            <w:r>
              <w:rPr>
                <w:rFonts w:ascii="Times New Roman" w:hAnsi="Times New Roman"/>
                <w:b/>
                <w:sz w:val="16"/>
              </w:rPr>
              <w:t>FFY 2000</w:t>
            </w:r>
          </w:p>
          <w:p w:rsidR="00000000" w:rsidRDefault="00216019">
            <w:pPr>
              <w:jc w:val="center"/>
              <w:rPr>
                <w:rFonts w:ascii="Times New Roman" w:hAnsi="Times New Roman"/>
                <w:b/>
                <w:sz w:val="16"/>
              </w:rPr>
            </w:pPr>
            <w:r>
              <w:rPr>
                <w:rFonts w:ascii="Times New Roman" w:hAnsi="Times New Roman"/>
                <w:sz w:val="16"/>
              </w:rPr>
              <w:t>(began October 1, 1999)</w:t>
            </w:r>
          </w:p>
        </w:tc>
        <w:tc>
          <w:tcPr>
            <w:tcW w:w="2070" w:type="dxa"/>
          </w:tcPr>
          <w:p w:rsidR="00000000" w:rsidRDefault="00216019">
            <w:pPr>
              <w:jc w:val="center"/>
              <w:rPr>
                <w:rFonts w:ascii="Times New Roman" w:hAnsi="Times New Roman"/>
                <w:b/>
                <w:sz w:val="16"/>
              </w:rPr>
            </w:pPr>
            <w:r>
              <w:rPr>
                <w:rFonts w:ascii="Times New Roman" w:hAnsi="Times New Roman"/>
                <w:b/>
                <w:sz w:val="16"/>
              </w:rPr>
              <w:t>FFY 2001</w:t>
            </w:r>
          </w:p>
          <w:p w:rsidR="00000000" w:rsidRDefault="00216019">
            <w:pPr>
              <w:jc w:val="center"/>
              <w:rPr>
                <w:rFonts w:ascii="Times New Roman" w:hAnsi="Times New Roman"/>
                <w:sz w:val="16"/>
              </w:rPr>
            </w:pPr>
            <w:r>
              <w:rPr>
                <w:rFonts w:ascii="Times New Roman" w:hAnsi="Times New Roman"/>
                <w:sz w:val="16"/>
              </w:rPr>
              <w:t>(began October 1, 2000)</w:t>
            </w:r>
          </w:p>
          <w:p w:rsidR="00000000" w:rsidRDefault="00216019">
            <w:pPr>
              <w:jc w:val="center"/>
              <w:rPr>
                <w:rFonts w:ascii="Times New Roman" w:hAnsi="Times New Roman"/>
                <w:b/>
                <w:sz w:val="16"/>
              </w:rPr>
            </w:pPr>
          </w:p>
        </w:tc>
        <w:tc>
          <w:tcPr>
            <w:tcW w:w="2070" w:type="dxa"/>
            <w:shd w:val="pct5" w:color="auto" w:fill="FFFFFF"/>
          </w:tcPr>
          <w:p w:rsidR="00000000" w:rsidRDefault="00216019">
            <w:pPr>
              <w:jc w:val="center"/>
              <w:rPr>
                <w:rFonts w:ascii="Times New Roman" w:hAnsi="Times New Roman"/>
                <w:b/>
                <w:sz w:val="16"/>
              </w:rPr>
            </w:pPr>
            <w:r>
              <w:rPr>
                <w:rFonts w:ascii="Times New Roman" w:hAnsi="Times New Roman"/>
                <w:b/>
                <w:sz w:val="16"/>
              </w:rPr>
              <w:t>FFY 2002</w:t>
            </w:r>
          </w:p>
          <w:p w:rsidR="00000000" w:rsidRDefault="00216019">
            <w:pPr>
              <w:jc w:val="center"/>
              <w:rPr>
                <w:rFonts w:ascii="Times New Roman" w:hAnsi="Times New Roman"/>
                <w:sz w:val="16"/>
              </w:rPr>
            </w:pPr>
            <w:r>
              <w:rPr>
                <w:rFonts w:ascii="Times New Roman" w:hAnsi="Times New Roman"/>
                <w:sz w:val="16"/>
              </w:rPr>
              <w:t>(began October 1, 2001)</w:t>
            </w:r>
          </w:p>
          <w:p w:rsidR="00000000" w:rsidRDefault="00216019">
            <w:pPr>
              <w:jc w:val="center"/>
              <w:rPr>
                <w:rFonts w:ascii="Times New Roman" w:hAnsi="Times New Roman"/>
                <w:b/>
                <w:sz w:val="16"/>
              </w:rPr>
            </w:pPr>
          </w:p>
        </w:tc>
        <w:tc>
          <w:tcPr>
            <w:tcW w:w="1530" w:type="dxa"/>
          </w:tcPr>
          <w:p w:rsidR="00000000" w:rsidRDefault="00216019">
            <w:pPr>
              <w:pStyle w:val="Heading2"/>
              <w:rPr>
                <w:b w:val="0"/>
                <w:sz w:val="16"/>
              </w:rPr>
            </w:pPr>
            <w:r>
              <w:rPr>
                <w:b w:val="0"/>
                <w:sz w:val="16"/>
              </w:rPr>
              <w:t>FFY03</w:t>
            </w:r>
          </w:p>
          <w:p w:rsidR="00000000" w:rsidRDefault="00216019">
            <w:pPr>
              <w:jc w:val="center"/>
              <w:rPr>
                <w:rFonts w:ascii="Times New Roman" w:hAnsi="Times New Roman"/>
                <w:sz w:val="16"/>
              </w:rPr>
            </w:pPr>
            <w:r>
              <w:rPr>
                <w:rFonts w:ascii="Times New Roman" w:hAnsi="Times New Roman"/>
                <w:sz w:val="16"/>
              </w:rPr>
              <w:t>(began October 1, 2002)</w:t>
            </w:r>
          </w:p>
          <w:p w:rsidR="00000000" w:rsidRDefault="00216019">
            <w:pPr>
              <w:rPr>
                <w:rFonts w:ascii="Times New Roman" w:hAnsi="Times New Roman"/>
                <w:sz w:val="16"/>
              </w:rPr>
            </w:pPr>
          </w:p>
        </w:tc>
        <w:tc>
          <w:tcPr>
            <w:tcW w:w="1170" w:type="dxa"/>
          </w:tcPr>
          <w:p w:rsidR="00000000" w:rsidRDefault="00216019">
            <w:pPr>
              <w:pStyle w:val="Heading2"/>
              <w:rPr>
                <w:b w:val="0"/>
                <w:sz w:val="16"/>
              </w:rPr>
            </w:pPr>
            <w:r>
              <w:rPr>
                <w:b w:val="0"/>
                <w:sz w:val="16"/>
              </w:rPr>
              <w:t>FFY 04</w:t>
            </w:r>
          </w:p>
          <w:p w:rsidR="00000000" w:rsidRDefault="00216019">
            <w:pPr>
              <w:jc w:val="center"/>
              <w:rPr>
                <w:rFonts w:ascii="Times New Roman" w:hAnsi="Times New Roman"/>
                <w:sz w:val="16"/>
              </w:rPr>
            </w:pPr>
            <w:r>
              <w:rPr>
                <w:rFonts w:ascii="Times New Roman" w:hAnsi="Times New Roman"/>
                <w:sz w:val="16"/>
              </w:rPr>
              <w:t>(began Oct. 1, 20003)</w:t>
            </w:r>
          </w:p>
        </w:tc>
      </w:tr>
      <w:tr w:rsidR="00000000">
        <w:tblPrEx>
          <w:tblCellMar>
            <w:top w:w="0" w:type="dxa"/>
            <w:bottom w:w="0" w:type="dxa"/>
          </w:tblCellMar>
        </w:tblPrEx>
        <w:tc>
          <w:tcPr>
            <w:tcW w:w="1440" w:type="dxa"/>
          </w:tcPr>
          <w:p w:rsidR="00000000" w:rsidRDefault="00216019">
            <w:pPr>
              <w:jc w:val="center"/>
              <w:rPr>
                <w:rFonts w:ascii="Times New Roman" w:hAnsi="Times New Roman"/>
                <w:sz w:val="16"/>
              </w:rPr>
            </w:pPr>
            <w:r>
              <w:rPr>
                <w:rFonts w:ascii="Times New Roman" w:hAnsi="Times New Roman"/>
                <w:sz w:val="16"/>
              </w:rPr>
              <w:t>Allotment*</w:t>
            </w:r>
          </w:p>
        </w:tc>
        <w:tc>
          <w:tcPr>
            <w:tcW w:w="2088" w:type="dxa"/>
          </w:tcPr>
          <w:p w:rsidR="00000000" w:rsidRDefault="00216019">
            <w:pPr>
              <w:jc w:val="center"/>
              <w:rPr>
                <w:rFonts w:ascii="Times New Roman" w:hAnsi="Times New Roman"/>
                <w:sz w:val="16"/>
              </w:rPr>
            </w:pPr>
            <w:r>
              <w:rPr>
                <w:rFonts w:ascii="Times New Roman" w:hAnsi="Times New Roman"/>
                <w:sz w:val="16"/>
              </w:rPr>
              <w:t>$32,460,463</w:t>
            </w:r>
          </w:p>
        </w:tc>
        <w:tc>
          <w:tcPr>
            <w:tcW w:w="2070" w:type="dxa"/>
          </w:tcPr>
          <w:p w:rsidR="00000000" w:rsidRDefault="00216019">
            <w:pPr>
              <w:jc w:val="center"/>
              <w:rPr>
                <w:rFonts w:ascii="Times New Roman" w:hAnsi="Times New Roman"/>
                <w:sz w:val="16"/>
              </w:rPr>
            </w:pPr>
            <w:r>
              <w:rPr>
                <w:rFonts w:ascii="Times New Roman" w:hAnsi="Times New Roman"/>
                <w:sz w:val="16"/>
              </w:rPr>
              <w:t>$32,307,161</w:t>
            </w:r>
          </w:p>
          <w:p w:rsidR="00000000" w:rsidRDefault="00216019">
            <w:pPr>
              <w:jc w:val="center"/>
              <w:rPr>
                <w:rFonts w:ascii="Times New Roman" w:hAnsi="Times New Roman"/>
                <w:sz w:val="16"/>
              </w:rPr>
            </w:pPr>
            <w:r>
              <w:rPr>
                <w:rFonts w:ascii="Times New Roman" w:hAnsi="Times New Roman"/>
                <w:sz w:val="16"/>
              </w:rPr>
              <w:t>+$3,95</w:t>
            </w:r>
            <w:r>
              <w:rPr>
                <w:rFonts w:ascii="Times New Roman" w:hAnsi="Times New Roman"/>
                <w:sz w:val="16"/>
              </w:rPr>
              <w:t>7,863 carryover from FFY 1998</w:t>
            </w:r>
          </w:p>
          <w:p w:rsidR="00000000" w:rsidRDefault="00216019">
            <w:pPr>
              <w:pStyle w:val="Heading3"/>
              <w:rPr>
                <w:sz w:val="16"/>
              </w:rPr>
            </w:pPr>
            <w:r>
              <w:rPr>
                <w:sz w:val="16"/>
              </w:rPr>
              <w:t>Total $36,265,024</w:t>
            </w:r>
          </w:p>
        </w:tc>
        <w:tc>
          <w:tcPr>
            <w:tcW w:w="2070" w:type="dxa"/>
          </w:tcPr>
          <w:p w:rsidR="00000000" w:rsidRDefault="00216019">
            <w:pPr>
              <w:jc w:val="center"/>
              <w:rPr>
                <w:rFonts w:ascii="Times New Roman" w:hAnsi="Times New Roman"/>
                <w:sz w:val="16"/>
              </w:rPr>
            </w:pPr>
            <w:r>
              <w:rPr>
                <w:rFonts w:ascii="Times New Roman" w:hAnsi="Times New Roman"/>
                <w:sz w:val="16"/>
              </w:rPr>
              <w:t>$32,382,884</w:t>
            </w:r>
          </w:p>
          <w:p w:rsidR="00000000" w:rsidRDefault="00216019">
            <w:pPr>
              <w:jc w:val="center"/>
              <w:rPr>
                <w:rFonts w:ascii="Times New Roman" w:hAnsi="Times New Roman"/>
                <w:sz w:val="16"/>
              </w:rPr>
            </w:pPr>
            <w:r>
              <w:rPr>
                <w:rFonts w:ascii="Times New Roman" w:hAnsi="Times New Roman"/>
                <w:sz w:val="16"/>
              </w:rPr>
              <w:t>+$4,787,171 carryover from FFY 1999</w:t>
            </w:r>
          </w:p>
          <w:p w:rsidR="00000000" w:rsidRDefault="00216019">
            <w:pPr>
              <w:pStyle w:val="Heading1"/>
              <w:rPr>
                <w:sz w:val="16"/>
              </w:rPr>
            </w:pPr>
            <w:r>
              <w:rPr>
                <w:sz w:val="16"/>
              </w:rPr>
              <w:t>Total $37,170,055</w:t>
            </w:r>
          </w:p>
        </w:tc>
        <w:tc>
          <w:tcPr>
            <w:tcW w:w="2070" w:type="dxa"/>
          </w:tcPr>
          <w:p w:rsidR="00000000" w:rsidRDefault="00216019">
            <w:pPr>
              <w:jc w:val="center"/>
              <w:rPr>
                <w:rFonts w:ascii="Times New Roman" w:hAnsi="Times New Roman"/>
                <w:sz w:val="16"/>
              </w:rPr>
            </w:pPr>
            <w:r>
              <w:rPr>
                <w:rFonts w:ascii="Times New Roman" w:hAnsi="Times New Roman"/>
                <w:sz w:val="16"/>
              </w:rPr>
              <w:t>$32,940,215</w:t>
            </w:r>
          </w:p>
          <w:p w:rsidR="00000000" w:rsidRDefault="00216019">
            <w:pPr>
              <w:jc w:val="center"/>
              <w:rPr>
                <w:rFonts w:ascii="Times New Roman" w:hAnsi="Times New Roman"/>
                <w:sz w:val="16"/>
              </w:rPr>
            </w:pPr>
            <w:r>
              <w:rPr>
                <w:rFonts w:ascii="Times New Roman" w:hAnsi="Times New Roman"/>
                <w:sz w:val="16"/>
              </w:rPr>
              <w:t>+$4,222,574 carryover from FFY 2000</w:t>
            </w:r>
          </w:p>
          <w:p w:rsidR="00000000" w:rsidRDefault="00216019">
            <w:pPr>
              <w:pStyle w:val="Heading1"/>
              <w:rPr>
                <w:sz w:val="16"/>
              </w:rPr>
            </w:pPr>
            <w:r>
              <w:rPr>
                <w:sz w:val="16"/>
              </w:rPr>
              <w:t>Total $37,162,789</w:t>
            </w:r>
          </w:p>
        </w:tc>
        <w:tc>
          <w:tcPr>
            <w:tcW w:w="2070" w:type="dxa"/>
            <w:shd w:val="pct5" w:color="auto" w:fill="FFFFFF"/>
          </w:tcPr>
          <w:p w:rsidR="00000000" w:rsidRDefault="00216019">
            <w:pPr>
              <w:jc w:val="center"/>
              <w:rPr>
                <w:rFonts w:ascii="Times New Roman" w:hAnsi="Times New Roman"/>
                <w:sz w:val="16"/>
              </w:rPr>
            </w:pPr>
            <w:r>
              <w:rPr>
                <w:rFonts w:ascii="Times New Roman" w:hAnsi="Times New Roman"/>
                <w:sz w:val="16"/>
              </w:rPr>
              <w:t>$22,411,236</w:t>
            </w:r>
          </w:p>
        </w:tc>
        <w:tc>
          <w:tcPr>
            <w:tcW w:w="1530" w:type="dxa"/>
          </w:tcPr>
          <w:p w:rsidR="00000000" w:rsidRDefault="00216019">
            <w:pPr>
              <w:jc w:val="center"/>
              <w:rPr>
                <w:rFonts w:ascii="Times New Roman" w:hAnsi="Times New Roman"/>
                <w:sz w:val="16"/>
              </w:rPr>
            </w:pPr>
            <w:r>
              <w:rPr>
                <w:rFonts w:ascii="Times New Roman" w:hAnsi="Times New Roman"/>
                <w:sz w:val="16"/>
              </w:rPr>
              <w:t>$21,368,268</w:t>
            </w:r>
          </w:p>
        </w:tc>
        <w:tc>
          <w:tcPr>
            <w:tcW w:w="1170" w:type="dxa"/>
          </w:tcPr>
          <w:p w:rsidR="00000000" w:rsidRDefault="00216019">
            <w:pPr>
              <w:jc w:val="center"/>
              <w:rPr>
                <w:rFonts w:ascii="Times New Roman" w:hAnsi="Times New Roman"/>
                <w:b/>
                <w:sz w:val="16"/>
              </w:rPr>
            </w:pPr>
            <w:r>
              <w:rPr>
                <w:rFonts w:ascii="Times New Roman" w:hAnsi="Times New Roman"/>
                <w:bCs/>
                <w:sz w:val="16"/>
              </w:rPr>
              <w:t>$19,703,000</w:t>
            </w:r>
          </w:p>
        </w:tc>
      </w:tr>
      <w:tr w:rsidR="00000000">
        <w:tblPrEx>
          <w:tblCellMar>
            <w:top w:w="0" w:type="dxa"/>
            <w:bottom w:w="0" w:type="dxa"/>
          </w:tblCellMar>
        </w:tblPrEx>
        <w:trPr>
          <w:trHeight w:val="323"/>
        </w:trPr>
        <w:tc>
          <w:tcPr>
            <w:tcW w:w="1440" w:type="dxa"/>
          </w:tcPr>
          <w:p w:rsidR="00000000" w:rsidRDefault="00216019">
            <w:pPr>
              <w:jc w:val="center"/>
              <w:rPr>
                <w:rFonts w:ascii="Times New Roman" w:hAnsi="Times New Roman"/>
                <w:sz w:val="16"/>
              </w:rPr>
            </w:pPr>
            <w:r>
              <w:rPr>
                <w:rFonts w:ascii="Times New Roman" w:hAnsi="Times New Roman"/>
                <w:sz w:val="16"/>
              </w:rPr>
              <w:t>Expenditures *</w:t>
            </w:r>
          </w:p>
        </w:tc>
        <w:tc>
          <w:tcPr>
            <w:tcW w:w="2088" w:type="dxa"/>
          </w:tcPr>
          <w:p w:rsidR="00000000" w:rsidRDefault="00216019">
            <w:pPr>
              <w:jc w:val="center"/>
              <w:rPr>
                <w:rFonts w:ascii="Times New Roman" w:hAnsi="Times New Roman"/>
                <w:sz w:val="16"/>
              </w:rPr>
            </w:pPr>
            <w:r>
              <w:rPr>
                <w:rFonts w:ascii="Times New Roman" w:hAnsi="Times New Roman"/>
                <w:sz w:val="16"/>
              </w:rPr>
              <w:t>$26.3</w:t>
            </w:r>
          </w:p>
        </w:tc>
        <w:tc>
          <w:tcPr>
            <w:tcW w:w="2070" w:type="dxa"/>
          </w:tcPr>
          <w:p w:rsidR="00000000" w:rsidRDefault="00216019">
            <w:pPr>
              <w:jc w:val="center"/>
              <w:rPr>
                <w:rFonts w:ascii="Times New Roman" w:hAnsi="Times New Roman"/>
                <w:sz w:val="16"/>
              </w:rPr>
            </w:pPr>
            <w:r>
              <w:rPr>
                <w:rFonts w:ascii="Times New Roman" w:hAnsi="Times New Roman"/>
                <w:sz w:val="16"/>
              </w:rPr>
              <w:t>$24,846,556</w:t>
            </w:r>
          </w:p>
        </w:tc>
        <w:tc>
          <w:tcPr>
            <w:tcW w:w="2070" w:type="dxa"/>
          </w:tcPr>
          <w:p w:rsidR="00000000" w:rsidRDefault="00216019">
            <w:pPr>
              <w:jc w:val="center"/>
              <w:rPr>
                <w:rFonts w:ascii="Times New Roman" w:hAnsi="Times New Roman"/>
                <w:sz w:val="16"/>
              </w:rPr>
            </w:pPr>
            <w:r>
              <w:rPr>
                <w:rFonts w:ascii="Times New Roman" w:hAnsi="Times New Roman"/>
                <w:sz w:val="16"/>
              </w:rPr>
              <w:t>$28,72</w:t>
            </w:r>
            <w:r>
              <w:rPr>
                <w:rFonts w:ascii="Times New Roman" w:hAnsi="Times New Roman"/>
                <w:sz w:val="16"/>
              </w:rPr>
              <w:t xml:space="preserve">4,249 </w:t>
            </w:r>
          </w:p>
        </w:tc>
        <w:tc>
          <w:tcPr>
            <w:tcW w:w="2070" w:type="dxa"/>
          </w:tcPr>
          <w:p w:rsidR="00000000" w:rsidRDefault="00216019">
            <w:pPr>
              <w:jc w:val="center"/>
              <w:rPr>
                <w:rFonts w:ascii="Times New Roman" w:hAnsi="Times New Roman"/>
                <w:sz w:val="16"/>
              </w:rPr>
            </w:pPr>
            <w:r>
              <w:rPr>
                <w:rFonts w:ascii="Times New Roman" w:hAnsi="Times New Roman"/>
                <w:sz w:val="16"/>
              </w:rPr>
              <w:t>$32,885,307</w:t>
            </w:r>
          </w:p>
        </w:tc>
        <w:tc>
          <w:tcPr>
            <w:tcW w:w="2070" w:type="dxa"/>
            <w:shd w:val="pct5" w:color="auto" w:fill="FFFFFF"/>
          </w:tcPr>
          <w:p w:rsidR="00000000" w:rsidRDefault="00216019">
            <w:pPr>
              <w:jc w:val="center"/>
              <w:rPr>
                <w:rFonts w:ascii="Times New Roman" w:hAnsi="Times New Roman"/>
                <w:sz w:val="16"/>
              </w:rPr>
            </w:pPr>
            <w:r>
              <w:rPr>
                <w:rFonts w:ascii="Times New Roman" w:hAnsi="Times New Roman"/>
                <w:sz w:val="16"/>
              </w:rPr>
              <w:t>$43,968,839</w:t>
            </w:r>
          </w:p>
          <w:p w:rsidR="00000000" w:rsidRDefault="00216019">
            <w:pPr>
              <w:jc w:val="center"/>
              <w:rPr>
                <w:rFonts w:ascii="Times New Roman" w:hAnsi="Times New Roman"/>
                <w:sz w:val="16"/>
              </w:rPr>
            </w:pPr>
            <w:r>
              <w:rPr>
                <w:rFonts w:ascii="Times New Roman" w:hAnsi="Times New Roman"/>
                <w:sz w:val="16"/>
              </w:rPr>
              <w:t>(estimated)</w:t>
            </w:r>
          </w:p>
        </w:tc>
        <w:tc>
          <w:tcPr>
            <w:tcW w:w="1530" w:type="dxa"/>
          </w:tcPr>
          <w:p w:rsidR="00000000" w:rsidRDefault="00216019">
            <w:pPr>
              <w:jc w:val="center"/>
              <w:rPr>
                <w:rFonts w:ascii="Times New Roman" w:hAnsi="Times New Roman"/>
                <w:b/>
                <w:sz w:val="16"/>
              </w:rPr>
            </w:pPr>
            <w:r>
              <w:rPr>
                <w:rFonts w:ascii="Times New Roman" w:hAnsi="Times New Roman"/>
                <w:b/>
                <w:sz w:val="16"/>
              </w:rPr>
              <w:t>$</w:t>
            </w:r>
          </w:p>
        </w:tc>
        <w:tc>
          <w:tcPr>
            <w:tcW w:w="1170" w:type="dxa"/>
          </w:tcPr>
          <w:p w:rsidR="00000000" w:rsidRDefault="00216019">
            <w:pPr>
              <w:jc w:val="center"/>
              <w:rPr>
                <w:rFonts w:ascii="Times New Roman" w:hAnsi="Times New Roman"/>
                <w:b/>
                <w:sz w:val="16"/>
              </w:rPr>
            </w:pPr>
          </w:p>
        </w:tc>
      </w:tr>
      <w:tr w:rsidR="00000000">
        <w:tblPrEx>
          <w:tblCellMar>
            <w:top w:w="0" w:type="dxa"/>
            <w:bottom w:w="0" w:type="dxa"/>
          </w:tblCellMar>
        </w:tblPrEx>
        <w:tc>
          <w:tcPr>
            <w:tcW w:w="1440" w:type="dxa"/>
          </w:tcPr>
          <w:p w:rsidR="00000000" w:rsidRDefault="00216019">
            <w:pPr>
              <w:jc w:val="center"/>
              <w:rPr>
                <w:rFonts w:ascii="Times New Roman" w:hAnsi="Times New Roman"/>
                <w:sz w:val="16"/>
              </w:rPr>
            </w:pPr>
            <w:r>
              <w:rPr>
                <w:rFonts w:ascii="Times New Roman" w:hAnsi="Times New Roman"/>
                <w:sz w:val="16"/>
              </w:rPr>
              <w:t>Unspent Funds*</w:t>
            </w:r>
          </w:p>
          <w:p w:rsidR="00000000" w:rsidRDefault="00216019">
            <w:pPr>
              <w:jc w:val="center"/>
              <w:rPr>
                <w:rFonts w:ascii="Times New Roman" w:hAnsi="Times New Roman"/>
                <w:sz w:val="16"/>
              </w:rPr>
            </w:pPr>
          </w:p>
        </w:tc>
        <w:tc>
          <w:tcPr>
            <w:tcW w:w="2088" w:type="dxa"/>
          </w:tcPr>
          <w:p w:rsidR="00000000" w:rsidRDefault="00216019">
            <w:pPr>
              <w:jc w:val="center"/>
              <w:rPr>
                <w:rFonts w:ascii="Times New Roman" w:hAnsi="Times New Roman"/>
                <w:strike/>
                <w:sz w:val="16"/>
              </w:rPr>
            </w:pPr>
            <w:r>
              <w:rPr>
                <w:rFonts w:ascii="Times New Roman" w:hAnsi="Times New Roman"/>
                <w:strike/>
                <w:sz w:val="16"/>
              </w:rPr>
              <w:t>$  6.1</w:t>
            </w:r>
          </w:p>
          <w:p w:rsidR="00000000" w:rsidRDefault="00216019">
            <w:pPr>
              <w:jc w:val="center"/>
              <w:rPr>
                <w:rFonts w:ascii="Times New Roman" w:hAnsi="Times New Roman"/>
                <w:b/>
                <w:color w:val="FF0000"/>
                <w:sz w:val="16"/>
              </w:rPr>
            </w:pPr>
            <w:r>
              <w:rPr>
                <w:rFonts w:ascii="Times New Roman" w:hAnsi="Times New Roman"/>
                <w:b/>
                <w:color w:val="FF0000"/>
                <w:sz w:val="16"/>
              </w:rPr>
              <w:t>($2.2) reverted</w:t>
            </w:r>
          </w:p>
          <w:p w:rsidR="00000000" w:rsidRDefault="00216019">
            <w:pPr>
              <w:jc w:val="center"/>
              <w:rPr>
                <w:rFonts w:ascii="Times New Roman" w:hAnsi="Times New Roman"/>
                <w:sz w:val="16"/>
              </w:rPr>
            </w:pPr>
            <w:r>
              <w:rPr>
                <w:rFonts w:ascii="Times New Roman" w:hAnsi="Times New Roman"/>
                <w:sz w:val="16"/>
              </w:rPr>
              <w:t xml:space="preserve">$3.96** carried over to </w:t>
            </w:r>
          </w:p>
          <w:p w:rsidR="00000000" w:rsidRDefault="00216019">
            <w:pPr>
              <w:jc w:val="center"/>
              <w:rPr>
                <w:rFonts w:ascii="Times New Roman" w:hAnsi="Times New Roman"/>
                <w:sz w:val="16"/>
              </w:rPr>
            </w:pPr>
            <w:r>
              <w:rPr>
                <w:rFonts w:ascii="Times New Roman" w:hAnsi="Times New Roman"/>
                <w:sz w:val="16"/>
              </w:rPr>
              <w:t>FFY 1999</w:t>
            </w:r>
          </w:p>
          <w:p w:rsidR="00000000" w:rsidRDefault="00216019">
            <w:pPr>
              <w:jc w:val="center"/>
              <w:rPr>
                <w:rFonts w:ascii="Times New Roman" w:hAnsi="Times New Roman"/>
                <w:sz w:val="16"/>
              </w:rPr>
            </w:pPr>
            <w:r>
              <w:rPr>
                <w:rFonts w:ascii="Times New Roman" w:hAnsi="Times New Roman"/>
                <w:sz w:val="16"/>
              </w:rPr>
              <w:t>$0</w:t>
            </w:r>
          </w:p>
        </w:tc>
        <w:tc>
          <w:tcPr>
            <w:tcW w:w="2070" w:type="dxa"/>
          </w:tcPr>
          <w:p w:rsidR="00000000" w:rsidRDefault="00216019">
            <w:pPr>
              <w:jc w:val="center"/>
              <w:rPr>
                <w:rFonts w:ascii="Times New Roman" w:hAnsi="Times New Roman"/>
                <w:strike/>
                <w:color w:val="000000"/>
                <w:sz w:val="16"/>
              </w:rPr>
            </w:pPr>
            <w:r>
              <w:rPr>
                <w:rFonts w:ascii="Times New Roman" w:hAnsi="Times New Roman"/>
                <w:strike/>
                <w:color w:val="000000"/>
                <w:sz w:val="16"/>
              </w:rPr>
              <w:t>$11,387,171</w:t>
            </w:r>
          </w:p>
          <w:p w:rsidR="00000000" w:rsidRDefault="00216019">
            <w:pPr>
              <w:jc w:val="center"/>
              <w:rPr>
                <w:rFonts w:ascii="Times New Roman" w:hAnsi="Times New Roman"/>
                <w:b/>
                <w:color w:val="FF0000"/>
                <w:sz w:val="16"/>
              </w:rPr>
            </w:pPr>
            <w:r>
              <w:rPr>
                <w:rFonts w:ascii="Times New Roman" w:hAnsi="Times New Roman"/>
                <w:b/>
                <w:color w:val="FF0000"/>
                <w:sz w:val="16"/>
              </w:rPr>
              <w:t>($6.6) reverted</w:t>
            </w:r>
          </w:p>
          <w:p w:rsidR="00000000" w:rsidRDefault="00216019">
            <w:pPr>
              <w:jc w:val="center"/>
              <w:rPr>
                <w:rFonts w:ascii="Times New Roman" w:hAnsi="Times New Roman"/>
                <w:sz w:val="16"/>
              </w:rPr>
            </w:pPr>
            <w:r>
              <w:rPr>
                <w:rFonts w:ascii="Times New Roman" w:hAnsi="Times New Roman"/>
                <w:sz w:val="16"/>
              </w:rPr>
              <w:t xml:space="preserve">$4.8** carried over to </w:t>
            </w:r>
          </w:p>
          <w:p w:rsidR="00000000" w:rsidRDefault="00216019">
            <w:pPr>
              <w:jc w:val="center"/>
              <w:rPr>
                <w:rFonts w:ascii="Times New Roman" w:hAnsi="Times New Roman"/>
                <w:b/>
                <w:color w:val="FF0000"/>
                <w:sz w:val="16"/>
              </w:rPr>
            </w:pPr>
            <w:r>
              <w:rPr>
                <w:rFonts w:ascii="Times New Roman" w:hAnsi="Times New Roman"/>
                <w:sz w:val="16"/>
              </w:rPr>
              <w:t>FFY 2000</w:t>
            </w:r>
          </w:p>
          <w:p w:rsidR="00000000" w:rsidRDefault="00216019">
            <w:pPr>
              <w:jc w:val="center"/>
              <w:rPr>
                <w:rFonts w:ascii="Times New Roman" w:hAnsi="Times New Roman"/>
                <w:color w:val="000000"/>
                <w:sz w:val="16"/>
              </w:rPr>
            </w:pPr>
            <w:r>
              <w:rPr>
                <w:rFonts w:ascii="Times New Roman" w:hAnsi="Times New Roman"/>
                <w:color w:val="000000"/>
                <w:sz w:val="16"/>
              </w:rPr>
              <w:t>$0</w:t>
            </w:r>
          </w:p>
        </w:tc>
        <w:tc>
          <w:tcPr>
            <w:tcW w:w="2070" w:type="dxa"/>
          </w:tcPr>
          <w:p w:rsidR="00000000" w:rsidRDefault="00216019">
            <w:pPr>
              <w:jc w:val="center"/>
              <w:rPr>
                <w:rFonts w:ascii="Times New Roman" w:hAnsi="Times New Roman"/>
                <w:b/>
                <w:strike/>
                <w:color w:val="000000"/>
                <w:sz w:val="16"/>
              </w:rPr>
            </w:pPr>
            <w:r>
              <w:rPr>
                <w:rFonts w:ascii="Times New Roman" w:hAnsi="Times New Roman"/>
                <w:b/>
                <w:strike/>
                <w:color w:val="000000"/>
                <w:sz w:val="16"/>
              </w:rPr>
              <w:t>$8.4 reverted</w:t>
            </w:r>
          </w:p>
          <w:p w:rsidR="00000000" w:rsidRDefault="00216019">
            <w:pPr>
              <w:jc w:val="center"/>
              <w:rPr>
                <w:rFonts w:ascii="Times New Roman" w:hAnsi="Times New Roman"/>
                <w:b/>
                <w:color w:val="FF0000"/>
                <w:sz w:val="16"/>
              </w:rPr>
            </w:pPr>
            <w:r>
              <w:rPr>
                <w:rFonts w:ascii="Times New Roman" w:hAnsi="Times New Roman"/>
                <w:b/>
                <w:color w:val="FF0000"/>
                <w:sz w:val="16"/>
              </w:rPr>
              <w:t>($4.2) reverted</w:t>
            </w:r>
          </w:p>
          <w:p w:rsidR="00000000" w:rsidRDefault="00216019">
            <w:pPr>
              <w:jc w:val="center"/>
              <w:rPr>
                <w:rFonts w:ascii="Times New Roman" w:hAnsi="Times New Roman"/>
                <w:sz w:val="16"/>
              </w:rPr>
            </w:pPr>
            <w:r>
              <w:rPr>
                <w:rFonts w:ascii="Times New Roman" w:hAnsi="Times New Roman"/>
                <w:sz w:val="16"/>
              </w:rPr>
              <w:t xml:space="preserve">$4.2 *** carried over to </w:t>
            </w:r>
          </w:p>
          <w:p w:rsidR="00000000" w:rsidRDefault="00216019">
            <w:pPr>
              <w:jc w:val="center"/>
              <w:rPr>
                <w:rFonts w:ascii="Times New Roman" w:hAnsi="Times New Roman"/>
                <w:sz w:val="16"/>
              </w:rPr>
            </w:pPr>
            <w:r>
              <w:rPr>
                <w:rFonts w:ascii="Times New Roman" w:hAnsi="Times New Roman"/>
                <w:sz w:val="16"/>
              </w:rPr>
              <w:t>FFY 2001</w:t>
            </w:r>
          </w:p>
          <w:p w:rsidR="00000000" w:rsidRDefault="00216019">
            <w:pPr>
              <w:jc w:val="center"/>
              <w:rPr>
                <w:rFonts w:ascii="Times New Roman" w:hAnsi="Times New Roman"/>
                <w:sz w:val="16"/>
              </w:rPr>
            </w:pPr>
            <w:r>
              <w:rPr>
                <w:rFonts w:ascii="Times New Roman" w:hAnsi="Times New Roman"/>
                <w:sz w:val="16"/>
              </w:rPr>
              <w:t>$0</w:t>
            </w:r>
          </w:p>
        </w:tc>
        <w:tc>
          <w:tcPr>
            <w:tcW w:w="2070" w:type="dxa"/>
          </w:tcPr>
          <w:p w:rsidR="00000000" w:rsidRDefault="00216019">
            <w:pPr>
              <w:jc w:val="center"/>
              <w:rPr>
                <w:rFonts w:ascii="Times New Roman" w:hAnsi="Times New Roman"/>
                <w:sz w:val="16"/>
              </w:rPr>
            </w:pPr>
            <w:r>
              <w:rPr>
                <w:rFonts w:ascii="Times New Roman" w:hAnsi="Times New Roman"/>
                <w:sz w:val="16"/>
              </w:rPr>
              <w:t>$</w:t>
            </w:r>
            <w:r>
              <w:rPr>
                <w:rFonts w:ascii="Times New Roman" w:hAnsi="Times New Roman"/>
                <w:sz w:val="16"/>
              </w:rPr>
              <w:t>3.2 estimated)</w:t>
            </w:r>
          </w:p>
        </w:tc>
        <w:tc>
          <w:tcPr>
            <w:tcW w:w="2070" w:type="dxa"/>
            <w:shd w:val="pct5" w:color="auto" w:fill="FFFFFF"/>
          </w:tcPr>
          <w:p w:rsidR="00000000" w:rsidRDefault="00216019">
            <w:pPr>
              <w:jc w:val="center"/>
              <w:rPr>
                <w:rFonts w:ascii="Times New Roman" w:hAnsi="Times New Roman"/>
                <w:sz w:val="16"/>
              </w:rPr>
            </w:pPr>
            <w:r>
              <w:rPr>
                <w:rFonts w:ascii="Times New Roman" w:hAnsi="Times New Roman"/>
                <w:sz w:val="16"/>
              </w:rPr>
              <w:t>$</w:t>
            </w:r>
          </w:p>
        </w:tc>
        <w:tc>
          <w:tcPr>
            <w:tcW w:w="1530" w:type="dxa"/>
          </w:tcPr>
          <w:p w:rsidR="00000000" w:rsidRDefault="00216019">
            <w:pPr>
              <w:jc w:val="center"/>
              <w:rPr>
                <w:rFonts w:ascii="Times New Roman" w:hAnsi="Times New Roman"/>
                <w:b/>
                <w:sz w:val="16"/>
              </w:rPr>
            </w:pPr>
            <w:r>
              <w:rPr>
                <w:rFonts w:ascii="Times New Roman" w:hAnsi="Times New Roman"/>
                <w:b/>
                <w:sz w:val="16"/>
              </w:rPr>
              <w:t>$</w:t>
            </w:r>
          </w:p>
        </w:tc>
        <w:tc>
          <w:tcPr>
            <w:tcW w:w="1170" w:type="dxa"/>
          </w:tcPr>
          <w:p w:rsidR="00000000" w:rsidRDefault="00216019">
            <w:pPr>
              <w:jc w:val="center"/>
              <w:rPr>
                <w:rFonts w:ascii="Times New Roman" w:hAnsi="Times New Roman"/>
                <w:b/>
                <w:sz w:val="16"/>
              </w:rPr>
            </w:pPr>
          </w:p>
        </w:tc>
      </w:tr>
      <w:tr w:rsidR="00000000">
        <w:tblPrEx>
          <w:tblCellMar>
            <w:top w:w="0" w:type="dxa"/>
            <w:bottom w:w="0" w:type="dxa"/>
          </w:tblCellMar>
        </w:tblPrEx>
        <w:tc>
          <w:tcPr>
            <w:tcW w:w="1440" w:type="dxa"/>
          </w:tcPr>
          <w:p w:rsidR="00000000" w:rsidRDefault="00216019">
            <w:pPr>
              <w:rPr>
                <w:rFonts w:ascii="Times New Roman" w:hAnsi="Times New Roman"/>
                <w:sz w:val="16"/>
              </w:rPr>
            </w:pPr>
            <w:r>
              <w:rPr>
                <w:rFonts w:ascii="Times New Roman" w:hAnsi="Times New Roman"/>
                <w:sz w:val="16"/>
              </w:rPr>
              <w:t>Months of Federal Fiscal Year</w:t>
            </w:r>
          </w:p>
        </w:tc>
        <w:tc>
          <w:tcPr>
            <w:tcW w:w="2088" w:type="dxa"/>
          </w:tcPr>
          <w:p w:rsidR="00000000" w:rsidRDefault="00216019">
            <w:pPr>
              <w:rPr>
                <w:rFonts w:ascii="Times New Roman" w:hAnsi="Times New Roman"/>
                <w:sz w:val="16"/>
              </w:rPr>
            </w:pPr>
            <w:r>
              <w:rPr>
                <w:rFonts w:ascii="Times New Roman" w:hAnsi="Times New Roman"/>
                <w:noProof/>
                <w:sz w:val="16"/>
              </w:rPr>
              <w:pict>
                <v:line id="_x0000_s1999" style="position:absolute;z-index:251533312;mso-position-horizontal-relative:text;mso-position-vertical-relative:text" from="58.05pt,17.3pt" to="58.05pt,31.7pt" strokecolor="red">
                  <v:stroke dashstyle="1 1" endcap="round"/>
                </v:line>
              </w:pict>
            </w:r>
            <w:r>
              <w:rPr>
                <w:rFonts w:ascii="Times New Roman" w:hAnsi="Times New Roman"/>
                <w:noProof/>
                <w:sz w:val="16"/>
              </w:rPr>
              <w:pict>
                <v:line id="_x0000_s1994" style="position:absolute;z-index:251528192;mso-position-horizontal-relative:text;mso-position-vertical-relative:text" from="76.05pt,8.3pt" to="76.05pt,116.3pt" strokecolor="#36f">
                  <v:stroke endarrow="block"/>
                </v:line>
              </w:pict>
            </w:r>
            <w:r>
              <w:rPr>
                <w:rFonts w:ascii="Times New Roman" w:hAnsi="Times New Roman"/>
                <w:noProof/>
                <w:sz w:val="16"/>
              </w:rPr>
              <w:pict>
                <v:line id="_x0000_s1974" style="position:absolute;flip:y;z-index:251507712;mso-position-horizontal-relative:text;mso-position-vertical-relative:text" from="4.05pt,17.65pt" to="4.05pt,43.05pt" strokecolor="#36f" strokeweight="1pt">
                  <v:stroke startarrow="block"/>
                </v:line>
              </w:pict>
            </w:r>
            <w:r>
              <w:rPr>
                <w:rFonts w:ascii="Times New Roman" w:hAnsi="Times New Roman"/>
                <w:noProof/>
                <w:sz w:val="16"/>
              </w:rPr>
              <w:pict>
                <v:line id="_x0000_s1998" style="position:absolute;z-index:251532288;mso-position-horizontal-relative:text;mso-position-vertical-relative:text" from="34.65pt,12.3pt" to="34.65pt,33.9pt" strokecolor="red">
                  <v:stroke dashstyle="1 1"/>
                </v:line>
              </w:pict>
            </w:r>
            <w:r>
              <w:rPr>
                <w:rFonts w:ascii="Times New Roman" w:hAnsi="Times New Roman"/>
                <w:sz w:val="16"/>
              </w:rPr>
              <w:t>10-11-12-1-2-3-4-5-6-7-8-9</w:t>
            </w:r>
          </w:p>
        </w:tc>
        <w:tc>
          <w:tcPr>
            <w:tcW w:w="2070" w:type="dxa"/>
          </w:tcPr>
          <w:p w:rsidR="00000000" w:rsidRDefault="00216019">
            <w:pPr>
              <w:rPr>
                <w:rFonts w:ascii="Times New Roman" w:hAnsi="Times New Roman"/>
                <w:sz w:val="16"/>
              </w:rPr>
            </w:pPr>
            <w:r>
              <w:rPr>
                <w:rFonts w:ascii="Times New Roman" w:hAnsi="Times New Roman"/>
                <w:noProof/>
                <w:sz w:val="16"/>
              </w:rPr>
              <w:pict>
                <v:line id="_x0000_s1995" style="position:absolute;flip:x;z-index:251529216;mso-position-horizontal-relative:text;mso-position-vertical-relative:text" from="34.65pt,16.85pt" to="35.3pt,116.3pt" strokecolor="#36f">
                  <v:stroke endarrow="block"/>
                </v:line>
              </w:pict>
            </w:r>
            <w:r>
              <w:rPr>
                <w:rFonts w:ascii="Times New Roman" w:hAnsi="Times New Roman"/>
                <w:noProof/>
                <w:sz w:val="16"/>
              </w:rPr>
              <w:pict>
                <v:line id="_x0000_s1991" style="position:absolute;z-index:251525120;mso-position-horizontal-relative:text;mso-position-vertical-relative:text" from="7.65pt,12.3pt" to="7.65pt,41.1pt" strokecolor="#36f">
                  <v:stroke endarrow="block"/>
                </v:line>
              </w:pict>
            </w:r>
            <w:r>
              <w:rPr>
                <w:rFonts w:ascii="Times New Roman" w:hAnsi="Times New Roman"/>
                <w:sz w:val="16"/>
              </w:rPr>
              <w:t>10-11-12-1-2-3-4-5-6-7-8-9</w:t>
            </w:r>
          </w:p>
        </w:tc>
        <w:tc>
          <w:tcPr>
            <w:tcW w:w="2070" w:type="dxa"/>
          </w:tcPr>
          <w:p w:rsidR="00000000" w:rsidRDefault="00216019">
            <w:pPr>
              <w:rPr>
                <w:rFonts w:ascii="Times New Roman" w:hAnsi="Times New Roman"/>
                <w:sz w:val="16"/>
              </w:rPr>
            </w:pPr>
            <w:r>
              <w:rPr>
                <w:rFonts w:ascii="Times New Roman" w:hAnsi="Times New Roman"/>
                <w:noProof/>
                <w:sz w:val="16"/>
              </w:rPr>
              <w:pict>
                <v:line id="_x0000_s1996" style="position:absolute;flip:x;z-index:251530240;mso-position-horizontal-relative:text;mso-position-vertical-relative:text" from="75.15pt,16.85pt" to="75.2pt,116.3pt" strokecolor="#36f">
                  <v:stroke endarrow="block"/>
                </v:line>
              </w:pict>
            </w:r>
            <w:r>
              <w:rPr>
                <w:rFonts w:ascii="Times New Roman" w:hAnsi="Times New Roman"/>
                <w:noProof/>
                <w:sz w:val="16"/>
              </w:rPr>
              <w:pict>
                <v:line id="_x0000_s1997" style="position:absolute;z-index:251531264;mso-position-horizontal-relative:text;mso-position-vertical-relative:text" from="92.5pt,11.85pt" to="92.5pt,206.25pt" strokecolor="red">
                  <v:stroke dashstyle="1 1" endarrow="block"/>
                </v:line>
              </w:pict>
            </w:r>
            <w:r>
              <w:rPr>
                <w:rFonts w:ascii="Times New Roman" w:hAnsi="Times New Roman"/>
                <w:noProof/>
                <w:sz w:val="16"/>
              </w:rPr>
              <w:pict>
                <v:line id="_x0000_s1992" style="position:absolute;z-index:251526144;mso-position-horizontal-relative:text;mso-position-vertical-relative:text" from="2.5pt,11.85pt" to="2.5pt,40.65pt" strokecolor="#36f">
                  <v:stroke endarrow="block"/>
                </v:line>
              </w:pict>
            </w:r>
            <w:r>
              <w:rPr>
                <w:rFonts w:ascii="Times New Roman" w:hAnsi="Times New Roman"/>
                <w:sz w:val="16"/>
              </w:rPr>
              <w:t>10-11-12-1-2-3-4-5-6-7-8-9</w:t>
            </w:r>
          </w:p>
        </w:tc>
        <w:tc>
          <w:tcPr>
            <w:tcW w:w="2070" w:type="dxa"/>
          </w:tcPr>
          <w:p w:rsidR="00000000" w:rsidRDefault="00216019">
            <w:pPr>
              <w:rPr>
                <w:rFonts w:ascii="Times New Roman" w:hAnsi="Times New Roman"/>
                <w:sz w:val="16"/>
              </w:rPr>
            </w:pPr>
            <w:r>
              <w:rPr>
                <w:rFonts w:ascii="Times New Roman" w:hAnsi="Times New Roman"/>
                <w:noProof/>
                <w:sz w:val="16"/>
              </w:rPr>
              <w:pict>
                <v:line id="_x0000_s2001" style="position:absolute;z-index:251535360;mso-position-horizontal-relative:text;mso-position-vertical-relative:text" from="88.65pt,17.3pt" to="88.65pt,107.3pt" strokecolor="red">
                  <v:stroke dashstyle="1 1"/>
                </v:line>
              </w:pict>
            </w:r>
            <w:r>
              <w:rPr>
                <w:rFonts w:ascii="Times New Roman" w:hAnsi="Times New Roman"/>
                <w:noProof/>
                <w:sz w:val="16"/>
              </w:rPr>
              <w:pict>
                <v:line id="_x0000_s1993" style="position:absolute;z-index:251527168;mso-position-horizontal-relative:text;mso-position-vertical-relative:text" from="2.5pt,11.85pt" to="2.5pt,40.65pt" strokecolor="#36f">
                  <v:stroke endarrow="block"/>
                </v:line>
              </w:pict>
            </w:r>
            <w:r>
              <w:rPr>
                <w:rFonts w:ascii="Times New Roman" w:hAnsi="Times New Roman"/>
                <w:sz w:val="16"/>
              </w:rPr>
              <w:t>10-11-12-1-2-3-4-5-6-7-8-9</w:t>
            </w:r>
          </w:p>
        </w:tc>
        <w:tc>
          <w:tcPr>
            <w:tcW w:w="2070" w:type="dxa"/>
            <w:shd w:val="pct5" w:color="auto" w:fill="FFFFFF"/>
          </w:tcPr>
          <w:p w:rsidR="00000000" w:rsidRDefault="00216019">
            <w:pPr>
              <w:rPr>
                <w:rFonts w:ascii="Times New Roman" w:hAnsi="Times New Roman"/>
                <w:sz w:val="16"/>
              </w:rPr>
            </w:pPr>
            <w:r>
              <w:rPr>
                <w:rFonts w:ascii="Times New Roman" w:hAnsi="Times New Roman"/>
                <w:noProof/>
                <w:sz w:val="16"/>
              </w:rPr>
              <w:pict>
                <v:line id="_x0000_s1989" style="position:absolute;z-index:251523072;mso-position-horizontal-relative:text;mso-position-vertical-relative:text" from="92.5pt,21.6pt" to="92.5pt,156.05pt" strokecolor="red">
                  <v:stroke dashstyle="1 1" endarrow="block"/>
                </v:line>
              </w:pict>
            </w:r>
            <w:r>
              <w:rPr>
                <w:rFonts w:ascii="Times New Roman" w:hAnsi="Times New Roman"/>
                <w:noProof/>
                <w:sz w:val="16"/>
              </w:rPr>
              <w:pict>
                <v:line id="_x0000_s2000" style="position:absolute;z-index:251534336;mso-position-horizontal-relative:text;mso-position-vertical-relative:text" from="7.65pt,12.3pt" to="7.65pt,41.1pt" strokecolor="#36f">
                  <v:stroke endarrow="block"/>
                </v:line>
              </w:pict>
            </w:r>
            <w:r>
              <w:rPr>
                <w:rFonts w:ascii="Times New Roman" w:hAnsi="Times New Roman"/>
                <w:sz w:val="16"/>
              </w:rPr>
              <w:t>10-11-12-1-2-3-4-5-6-7-8-9</w:t>
            </w:r>
          </w:p>
        </w:tc>
        <w:tc>
          <w:tcPr>
            <w:tcW w:w="1530" w:type="dxa"/>
          </w:tcPr>
          <w:p w:rsidR="00000000" w:rsidRDefault="00216019">
            <w:pPr>
              <w:rPr>
                <w:rFonts w:ascii="Times New Roman" w:hAnsi="Times New Roman"/>
                <w:b/>
                <w:sz w:val="16"/>
              </w:rPr>
            </w:pPr>
          </w:p>
        </w:tc>
        <w:tc>
          <w:tcPr>
            <w:tcW w:w="1170" w:type="dxa"/>
          </w:tcPr>
          <w:p w:rsidR="00000000" w:rsidRDefault="00216019">
            <w:pPr>
              <w:rPr>
                <w:rFonts w:ascii="Times New Roman" w:hAnsi="Times New Roman"/>
                <w:b/>
                <w:sz w:val="16"/>
              </w:rPr>
            </w:pPr>
          </w:p>
        </w:tc>
      </w:tr>
    </w:tbl>
    <w:p w:rsidR="00000000" w:rsidRDefault="00216019">
      <w:pPr>
        <w:rPr>
          <w:rFonts w:ascii="Times New Roman" w:hAnsi="Times New Roman"/>
          <w:sz w:val="16"/>
        </w:rPr>
      </w:pPr>
      <w:r>
        <w:rPr>
          <w:rFonts w:ascii="Times New Roman" w:hAnsi="Times New Roman"/>
          <w:noProof/>
          <w:sz w:val="16"/>
        </w:rPr>
        <w:pict>
          <v:line id="_x0000_s1990" style="position:absolute;z-index:251524096;mso-position-horizontal-relative:text;mso-position-vertical-relative:text" from="409.05pt,7.4pt" to="409.05pt,86.4pt" strokecolor="red">
            <v:stroke dashstyle="1 1" endarrow="block" endcap="round"/>
          </v:line>
        </w:pict>
      </w:r>
    </w:p>
    <w:p w:rsidR="00000000" w:rsidRDefault="00216019">
      <w:pPr>
        <w:rPr>
          <w:rFonts w:ascii="Times New Roman" w:hAnsi="Times New Roman"/>
          <w:sz w:val="16"/>
        </w:rPr>
      </w:pPr>
      <w:r>
        <w:rPr>
          <w:rFonts w:ascii="Times New Roman" w:hAnsi="Times New Roman"/>
          <w:noProof/>
          <w:sz w:val="16"/>
        </w:rPr>
        <w:pict>
          <v:shape id="_x0000_s1987" type="#_x0000_t202" style="position:absolute;margin-left:598.05pt;margin-top:34.2pt;width:108pt;height:81pt;z-index:251521024">
            <v:textbox style="mso-next-textbox:#_x0000_s1987">
              <w:txbxContent>
                <w:p w:rsidR="00000000" w:rsidRDefault="00216019">
                  <w:pPr>
                    <w:rPr>
                      <w:b/>
                      <w:sz w:val="20"/>
                    </w:rPr>
                  </w:pPr>
                  <w:r>
                    <w:rPr>
                      <w:b/>
                      <w:sz w:val="20"/>
                    </w:rPr>
                    <w:t>Note:  Beginning 10/1/02, all SCHIP expenditure</w:t>
                  </w:r>
                  <w:r>
                    <w:rPr>
                      <w:b/>
                      <w:sz w:val="20"/>
                    </w:rPr>
                    <w:t>s are being applied to the FFY 2001 allotment</w:t>
                  </w:r>
                </w:p>
              </w:txbxContent>
            </v:textbox>
          </v:shape>
        </w:pict>
      </w:r>
      <w:r>
        <w:rPr>
          <w:rFonts w:ascii="Times New Roman" w:hAnsi="Times New Roman"/>
          <w:noProof/>
          <w:sz w:val="16"/>
        </w:rPr>
        <w:pict>
          <v:shape id="_x0000_s1988" type="#_x0000_t202" style="position:absolute;margin-left:526.05pt;margin-top:133.2pt;width:158.4pt;height:86.4pt;z-index:251522048" fillcolor="#ff9" strokecolor="red" strokeweight="3pt">
            <v:stroke dashstyle="1 1" endcap="round"/>
            <v:textbox style="mso-next-textbox:#_x0000_s1988">
              <w:txbxContent>
                <w:p w:rsidR="00000000" w:rsidRDefault="00216019">
                  <w:pPr>
                    <w:jc w:val="center"/>
                    <w:rPr>
                      <w:rFonts w:ascii="Times New Roman" w:hAnsi="Times New Roman"/>
                      <w:color w:val="FF0000"/>
                      <w:sz w:val="18"/>
                    </w:rPr>
                  </w:pPr>
                  <w:r>
                    <w:rPr>
                      <w:rFonts w:ascii="Times New Roman" w:hAnsi="Times New Roman"/>
                      <w:color w:val="FF0000"/>
                      <w:sz w:val="18"/>
                    </w:rPr>
                    <w:t>9/30/02</w:t>
                  </w:r>
                </w:p>
                <w:p w:rsidR="00000000" w:rsidRDefault="00216019">
                  <w:pPr>
                    <w:jc w:val="center"/>
                    <w:rPr>
                      <w:rFonts w:ascii="Times New Roman" w:hAnsi="Times New Roman"/>
                      <w:color w:val="FF0000"/>
                      <w:sz w:val="18"/>
                    </w:rPr>
                  </w:pPr>
                  <w:r>
                    <w:rPr>
                      <w:rFonts w:ascii="Times New Roman" w:hAnsi="Times New Roman"/>
                      <w:color w:val="FF0000"/>
                      <w:sz w:val="18"/>
                    </w:rPr>
                    <w:t>End of 3-year-period to spend FFY 2000 allotment</w:t>
                  </w:r>
                  <w:r>
                    <w:rPr>
                      <w:rFonts w:ascii="Times New Roman" w:hAnsi="Times New Roman"/>
                      <w:color w:val="FF0000"/>
                      <w:sz w:val="18"/>
                      <w:highlight w:val="yellow"/>
                    </w:rPr>
                    <w:t>.</w:t>
                  </w:r>
                  <w:r>
                    <w:rPr>
                      <w:rFonts w:ascii="Times New Roman" w:hAnsi="Times New Roman"/>
                      <w:color w:val="FF0000"/>
                      <w:sz w:val="18"/>
                    </w:rPr>
                    <w:t xml:space="preserve"> BIPA does not apply.</w:t>
                  </w:r>
                </w:p>
                <w:p w:rsidR="00000000" w:rsidRDefault="00216019">
                  <w:pPr>
                    <w:jc w:val="center"/>
                    <w:rPr>
                      <w:rFonts w:ascii="Times New Roman" w:hAnsi="Times New Roman"/>
                      <w:color w:val="FF0000"/>
                      <w:sz w:val="18"/>
                    </w:rPr>
                  </w:pPr>
                </w:p>
                <w:p w:rsidR="00000000" w:rsidRDefault="00216019">
                  <w:pPr>
                    <w:rPr>
                      <w:rFonts w:ascii="Times New Roman" w:hAnsi="Times New Roman"/>
                      <w:color w:val="FF0000"/>
                      <w:sz w:val="18"/>
                    </w:rPr>
                  </w:pPr>
                  <w:r>
                    <w:rPr>
                      <w:rFonts w:ascii="Times New Roman" w:hAnsi="Times New Roman"/>
                      <w:b/>
                      <w:color w:val="FF0000"/>
                      <w:sz w:val="18"/>
                    </w:rPr>
                    <w:t>*** 7/31/03 S 312 &amp; HR 531 sent to President for signature.  Restores 50% of FFY 2000 funds to states</w:t>
                  </w:r>
                  <w:r>
                    <w:rPr>
                      <w:rFonts w:ascii="Times New Roman" w:hAnsi="Times New Roman"/>
                      <w:color w:val="FF0000"/>
                      <w:sz w:val="18"/>
                    </w:rPr>
                    <w:t>.</w:t>
                  </w:r>
                </w:p>
              </w:txbxContent>
            </v:textbox>
          </v:shape>
        </w:pict>
      </w:r>
      <w:r>
        <w:rPr>
          <w:rFonts w:ascii="Times New Roman" w:hAnsi="Times New Roman"/>
          <w:noProof/>
          <w:sz w:val="16"/>
        </w:rPr>
        <w:pict>
          <v:shape id="_x0000_s1978" type="#_x0000_t202" style="position:absolute;margin-left:274.05pt;margin-top:196.2pt;width:122.4pt;height:45pt;z-index:251511808" strokecolor="red" strokeweight="3pt">
            <v:stroke dashstyle="1 1" endcap="round"/>
            <v:textbox style="mso-next-textbox:#_x0000_s1978">
              <w:txbxContent>
                <w:p w:rsidR="00000000" w:rsidRDefault="00216019">
                  <w:pPr>
                    <w:jc w:val="center"/>
                    <w:rPr>
                      <w:rFonts w:ascii="Times New Roman" w:hAnsi="Times New Roman"/>
                      <w:color w:val="FF0000"/>
                      <w:sz w:val="18"/>
                    </w:rPr>
                  </w:pPr>
                  <w:r>
                    <w:rPr>
                      <w:rFonts w:ascii="Times New Roman" w:hAnsi="Times New Roman"/>
                      <w:color w:val="FF0000"/>
                      <w:sz w:val="18"/>
                    </w:rPr>
                    <w:t>9/30/00</w:t>
                  </w:r>
                </w:p>
                <w:p w:rsidR="00000000" w:rsidRDefault="00216019">
                  <w:pPr>
                    <w:jc w:val="center"/>
                    <w:rPr>
                      <w:color w:val="FF0000"/>
                      <w:sz w:val="18"/>
                    </w:rPr>
                  </w:pPr>
                  <w:r>
                    <w:rPr>
                      <w:rFonts w:ascii="Times New Roman" w:hAnsi="Times New Roman"/>
                      <w:color w:val="FF0000"/>
                      <w:sz w:val="18"/>
                    </w:rPr>
                    <w:t>End of 3-year-period to spend FFY 1998</w:t>
                  </w:r>
                  <w:r>
                    <w:rPr>
                      <w:color w:val="FF0000"/>
                      <w:sz w:val="18"/>
                    </w:rPr>
                    <w:t xml:space="preserve"> allotment.</w:t>
                  </w:r>
                </w:p>
              </w:txbxContent>
            </v:textbox>
          </v:shape>
        </w:pict>
      </w:r>
      <w:r>
        <w:rPr>
          <w:rFonts w:ascii="Times New Roman" w:hAnsi="Times New Roman"/>
          <w:noProof/>
          <w:sz w:val="16"/>
        </w:rPr>
        <w:pict>
          <v:shape id="_x0000_s1985" type="#_x0000_t202" style="position:absolute;margin-left:400.05pt;margin-top:196.2pt;width:122.4pt;height:45pt;z-index:251518976" strokecolor="red" strokeweight="3pt">
            <v:stroke dashstyle="1 1" endcap="round"/>
            <v:textbox style="mso-next-textbox:#_x0000_s1985">
              <w:txbxContent>
                <w:p w:rsidR="00000000" w:rsidRDefault="00216019">
                  <w:pPr>
                    <w:jc w:val="center"/>
                    <w:rPr>
                      <w:rFonts w:ascii="Times New Roman" w:hAnsi="Times New Roman"/>
                      <w:color w:val="FF0000"/>
                      <w:sz w:val="18"/>
                    </w:rPr>
                  </w:pPr>
                  <w:r>
                    <w:rPr>
                      <w:rFonts w:ascii="Times New Roman" w:hAnsi="Times New Roman"/>
                      <w:color w:val="FF0000"/>
                      <w:sz w:val="18"/>
                    </w:rPr>
                    <w:t>9/30/01</w:t>
                  </w:r>
                </w:p>
                <w:p w:rsidR="00000000" w:rsidRDefault="00216019">
                  <w:pPr>
                    <w:jc w:val="center"/>
                    <w:rPr>
                      <w:color w:val="FF0000"/>
                      <w:sz w:val="18"/>
                    </w:rPr>
                  </w:pPr>
                  <w:r>
                    <w:rPr>
                      <w:rFonts w:ascii="Times New Roman" w:hAnsi="Times New Roman"/>
                      <w:color w:val="FF0000"/>
                      <w:sz w:val="18"/>
                    </w:rPr>
                    <w:t>End of 3-year-period to spend FFY 1999 allotment.</w:t>
                  </w:r>
                </w:p>
              </w:txbxContent>
            </v:textbox>
          </v:shape>
        </w:pict>
      </w:r>
      <w:r>
        <w:rPr>
          <w:rFonts w:ascii="Times New Roman" w:hAnsi="Times New Roman"/>
          <w:noProof/>
          <w:sz w:val="16"/>
        </w:rPr>
        <w:pict>
          <v:line id="_x0000_s1986" style="position:absolute;z-index:251520000" from="481.05pt,169.2pt" to="481.05pt,190.8pt" strokecolor="red">
            <v:stroke dashstyle="1 1" endarrow="block"/>
          </v:line>
        </w:pict>
      </w:r>
      <w:r>
        <w:rPr>
          <w:rFonts w:ascii="Times New Roman" w:hAnsi="Times New Roman"/>
          <w:noProof/>
          <w:sz w:val="16"/>
        </w:rPr>
        <w:pict>
          <v:shape id="_x0000_s1984" type="#_x0000_t202" style="position:absolute;margin-left:481.05pt;margin-top:25.2pt;width:50.4pt;height:36pt;z-index:251517952" strokecolor="#36f" strokeweight="2.25pt">
            <v:textbox style="mso-next-textbox:#_x0000_s1984">
              <w:txbxContent>
                <w:p w:rsidR="00000000" w:rsidRDefault="00216019">
                  <w:pPr>
                    <w:jc w:val="center"/>
                    <w:rPr>
                      <w:rFonts w:ascii="Times New Roman" w:hAnsi="Times New Roman"/>
                      <w:sz w:val="16"/>
                    </w:rPr>
                  </w:pPr>
                  <w:r>
                    <w:rPr>
                      <w:rFonts w:ascii="Times New Roman" w:hAnsi="Times New Roman"/>
                      <w:sz w:val="16"/>
                    </w:rPr>
                    <w:t>10/1/01</w:t>
                  </w:r>
                </w:p>
                <w:p w:rsidR="00000000" w:rsidRDefault="00216019">
                  <w:pPr>
                    <w:jc w:val="center"/>
                    <w:rPr>
                      <w:rFonts w:ascii="Times New Roman" w:hAnsi="Times New Roman"/>
                      <w:sz w:val="16"/>
                    </w:rPr>
                  </w:pPr>
                  <w:r>
                    <w:rPr>
                      <w:rFonts w:ascii="Times New Roman" w:hAnsi="Times New Roman"/>
                      <w:sz w:val="16"/>
                    </w:rPr>
                    <w:t>Funding Available</w:t>
                  </w:r>
                </w:p>
              </w:txbxContent>
            </v:textbox>
          </v:shape>
        </w:pict>
      </w:r>
      <w:r>
        <w:rPr>
          <w:rFonts w:ascii="Times New Roman" w:hAnsi="Times New Roman"/>
          <w:noProof/>
          <w:sz w:val="16"/>
        </w:rPr>
        <w:pict>
          <v:shape id="_x0000_s1977" type="#_x0000_t202" style="position:absolute;margin-left:382.05pt;margin-top:79.2pt;width:122.4pt;height:94.15pt;z-index:251510784" filled="f" fillcolor="#ff9" strokecolor="red">
            <v:stroke dashstyle="1 1"/>
            <v:textbox style="mso-next-textbox:#_x0000_s1977">
              <w:txbxContent>
                <w:p w:rsidR="00000000" w:rsidRDefault="00216019">
                  <w:pPr>
                    <w:jc w:val="center"/>
                    <w:rPr>
                      <w:rFonts w:ascii="Times New Roman" w:hAnsi="Times New Roman"/>
                      <w:color w:val="FF0000"/>
                      <w:sz w:val="18"/>
                    </w:rPr>
                  </w:pPr>
                  <w:r>
                    <w:rPr>
                      <w:rFonts w:ascii="Times New Roman" w:hAnsi="Times New Roman"/>
                      <w:color w:val="FF0000"/>
                      <w:sz w:val="18"/>
                    </w:rPr>
                    <w:t>** 12/18/00</w:t>
                  </w:r>
                </w:p>
                <w:p w:rsidR="00000000" w:rsidRDefault="00216019">
                  <w:pPr>
                    <w:jc w:val="center"/>
                    <w:rPr>
                      <w:rFonts w:ascii="Times New Roman" w:hAnsi="Times New Roman"/>
                      <w:color w:val="FF0000"/>
                      <w:sz w:val="18"/>
                    </w:rPr>
                  </w:pPr>
                  <w:r>
                    <w:rPr>
                      <w:rFonts w:ascii="Times New Roman" w:hAnsi="Times New Roman"/>
                      <w:color w:val="FF0000"/>
                      <w:sz w:val="18"/>
                    </w:rPr>
                    <w:t>Beneficiary Improvement &amp; Protection Act (BIPA) passed.  States keep 60% of 1998 &amp; 1999 funds scheduled for reversion.</w:t>
                  </w:r>
                </w:p>
                <w:p w:rsidR="00000000" w:rsidRDefault="00216019">
                  <w:pPr>
                    <w:jc w:val="center"/>
                    <w:rPr>
                      <w:rFonts w:ascii="Times New Roman" w:hAnsi="Times New Roman"/>
                      <w:color w:val="FF0000"/>
                      <w:sz w:val="18"/>
                    </w:rPr>
                  </w:pPr>
                </w:p>
                <w:p w:rsidR="00000000" w:rsidRDefault="00216019">
                  <w:pPr>
                    <w:jc w:val="center"/>
                    <w:rPr>
                      <w:rFonts w:ascii="Times New Roman" w:hAnsi="Times New Roman"/>
                      <w:color w:val="FF0000"/>
                      <w:sz w:val="18"/>
                    </w:rPr>
                  </w:pPr>
                  <w:r>
                    <w:rPr>
                      <w:rFonts w:ascii="Times New Roman" w:hAnsi="Times New Roman"/>
                      <w:color w:val="FF0000"/>
                      <w:sz w:val="18"/>
                    </w:rPr>
                    <w:t>Must be spent within 1 year.</w:t>
                  </w:r>
                </w:p>
              </w:txbxContent>
            </v:textbox>
          </v:shape>
        </w:pict>
      </w:r>
      <w:r>
        <w:rPr>
          <w:rFonts w:ascii="Times New Roman" w:hAnsi="Times New Roman"/>
          <w:noProof/>
          <w:sz w:val="16"/>
        </w:rPr>
        <w:pict>
          <v:shape id="_x0000_s1981" type="#_x0000_t202" style="position:absolute;margin-left:382.05pt;margin-top:25.2pt;width:50.4pt;height:36pt;z-index:251514880" strokecolor="#36f" strokeweight="2.25pt">
            <v:textbox style="mso-next-textbox:#_x0000_s1981">
              <w:txbxContent>
                <w:p w:rsidR="00000000" w:rsidRDefault="00216019">
                  <w:pPr>
                    <w:jc w:val="center"/>
                    <w:rPr>
                      <w:rFonts w:ascii="Times New Roman" w:hAnsi="Times New Roman"/>
                      <w:sz w:val="16"/>
                    </w:rPr>
                  </w:pPr>
                  <w:r>
                    <w:rPr>
                      <w:rFonts w:ascii="Times New Roman" w:hAnsi="Times New Roman"/>
                      <w:sz w:val="16"/>
                    </w:rPr>
                    <w:t>10/1/00</w:t>
                  </w:r>
                </w:p>
                <w:p w:rsidR="00000000" w:rsidRDefault="00216019">
                  <w:pPr>
                    <w:jc w:val="center"/>
                    <w:rPr>
                      <w:sz w:val="16"/>
                    </w:rPr>
                  </w:pPr>
                  <w:r>
                    <w:rPr>
                      <w:rFonts w:ascii="Times New Roman" w:hAnsi="Times New Roman"/>
                      <w:sz w:val="16"/>
                    </w:rPr>
                    <w:t>Funding Available</w:t>
                  </w:r>
                </w:p>
              </w:txbxContent>
            </v:textbox>
          </v:shape>
        </w:pict>
      </w:r>
      <w:r>
        <w:rPr>
          <w:rFonts w:ascii="Times New Roman" w:hAnsi="Times New Roman"/>
          <w:noProof/>
          <w:sz w:val="16"/>
        </w:rPr>
        <w:pict>
          <v:shape id="_x0000_s1976" type="#_x0000_t202" style="position:absolute;margin-left:286.65pt;margin-top:97.2pt;width:1in;height:63pt;z-index:251509760" strokecolor="#36f" strokeweight="2.25pt">
            <v:textbox style="mso-next-textbox:#_x0000_s1976">
              <w:txbxContent>
                <w:p w:rsidR="00000000" w:rsidRDefault="00216019">
                  <w:pPr>
                    <w:jc w:val="center"/>
                    <w:rPr>
                      <w:rFonts w:ascii="Times New Roman" w:hAnsi="Times New Roman"/>
                      <w:color w:val="000000"/>
                      <w:sz w:val="16"/>
                    </w:rPr>
                  </w:pPr>
                  <w:r>
                    <w:rPr>
                      <w:rFonts w:ascii="Times New Roman" w:hAnsi="Times New Roman"/>
                      <w:color w:val="000000"/>
                      <w:sz w:val="16"/>
                    </w:rPr>
                    <w:t>7/1/00</w:t>
                  </w:r>
                </w:p>
                <w:p w:rsidR="00000000" w:rsidRDefault="00216019">
                  <w:pPr>
                    <w:jc w:val="center"/>
                    <w:rPr>
                      <w:rFonts w:ascii="Times New Roman" w:hAnsi="Times New Roman"/>
                      <w:color w:val="000000"/>
                      <w:sz w:val="16"/>
                    </w:rPr>
                  </w:pPr>
                  <w:r>
                    <w:rPr>
                      <w:rFonts w:ascii="Times New Roman" w:hAnsi="Times New Roman"/>
                      <w:b/>
                      <w:i/>
                      <w:color w:val="000000"/>
                      <w:sz w:val="16"/>
                    </w:rPr>
                    <w:t>hawk-i</w:t>
                  </w:r>
                  <w:r>
                    <w:rPr>
                      <w:rFonts w:ascii="Times New Roman" w:hAnsi="Times New Roman"/>
                      <w:color w:val="000000"/>
                      <w:sz w:val="16"/>
                    </w:rPr>
                    <w:t xml:space="preserve"> income limit increased to</w:t>
                  </w:r>
                  <w:r>
                    <w:rPr>
                      <w:rFonts w:ascii="Times New Roman" w:hAnsi="Times New Roman"/>
                      <w:color w:val="000000"/>
                    </w:rPr>
                    <w:t xml:space="preserve"> </w:t>
                  </w:r>
                  <w:r>
                    <w:rPr>
                      <w:rFonts w:ascii="Times New Roman" w:hAnsi="Times New Roman"/>
                      <w:color w:val="000000"/>
                      <w:sz w:val="16"/>
                    </w:rPr>
                    <w:t>200%</w:t>
                  </w:r>
                  <w:r>
                    <w:rPr>
                      <w:rFonts w:ascii="Times New Roman" w:hAnsi="Times New Roman"/>
                      <w:color w:val="000000"/>
                    </w:rPr>
                    <w:t xml:space="preserve"> of </w:t>
                  </w:r>
                  <w:r>
                    <w:rPr>
                      <w:rFonts w:ascii="Times New Roman" w:hAnsi="Times New Roman"/>
                      <w:color w:val="000000"/>
                      <w:sz w:val="16"/>
                    </w:rPr>
                    <w:t>FPL</w:t>
                  </w:r>
                </w:p>
              </w:txbxContent>
            </v:textbox>
          </v:shape>
        </w:pict>
      </w:r>
      <w:r>
        <w:rPr>
          <w:rFonts w:ascii="Times New Roman" w:hAnsi="Times New Roman"/>
          <w:noProof/>
          <w:sz w:val="16"/>
        </w:rPr>
        <w:pict>
          <v:line id="_x0000_s1983" style="position:absolute;z-index:251516928" from="103.05pt,7.2pt" to="133.65pt,7.2pt" strokecolor="red">
            <v:stroke dashstyle="1 1" endcap="round"/>
          </v:line>
        </w:pict>
      </w:r>
      <w:r>
        <w:rPr>
          <w:rFonts w:ascii="Times New Roman" w:hAnsi="Times New Roman"/>
          <w:noProof/>
          <w:sz w:val="16"/>
        </w:rPr>
        <w:pict>
          <v:shape id="_x0000_s1972" type="#_x0000_t202" style="position:absolute;margin-left:202.05pt;margin-top:97.2pt;width:1in;height:63pt;z-index:251505664" strokecolor="#36f" strokeweight="2.25pt">
            <v:textbox style="mso-next-textbox:#_x0000_s1972">
              <w:txbxContent>
                <w:p w:rsidR="00000000" w:rsidRDefault="00216019">
                  <w:pPr>
                    <w:pStyle w:val="BodyText2"/>
                    <w:jc w:val="center"/>
                    <w:rPr>
                      <w:sz w:val="16"/>
                    </w:rPr>
                  </w:pPr>
                  <w:r>
                    <w:rPr>
                      <w:sz w:val="16"/>
                    </w:rPr>
                    <w:t>1/1/99</w:t>
                  </w:r>
                </w:p>
                <w:p w:rsidR="00000000" w:rsidRDefault="00216019">
                  <w:pPr>
                    <w:pStyle w:val="BodyText2"/>
                    <w:jc w:val="center"/>
                    <w:rPr>
                      <w:sz w:val="16"/>
                    </w:rPr>
                  </w:pPr>
                  <w:r>
                    <w:rPr>
                      <w:b/>
                      <w:i/>
                      <w:sz w:val="16"/>
                    </w:rPr>
                    <w:t xml:space="preserve">hawk-i </w:t>
                  </w:r>
                  <w:r>
                    <w:rPr>
                      <w:sz w:val="16"/>
                    </w:rPr>
                    <w:t xml:space="preserve">program </w:t>
                  </w:r>
                  <w:r>
                    <w:rPr>
                      <w:sz w:val="16"/>
                    </w:rPr>
                    <w:t xml:space="preserve">to 185% of FPL implemented </w:t>
                  </w:r>
                </w:p>
              </w:txbxContent>
            </v:textbox>
          </v:shape>
        </w:pict>
      </w:r>
      <w:r>
        <w:rPr>
          <w:rFonts w:ascii="Times New Roman" w:hAnsi="Times New Roman"/>
          <w:noProof/>
          <w:sz w:val="16"/>
        </w:rPr>
        <w:pict>
          <v:shape id="_x0000_s1979" type="#_x0000_t202" style="position:absolute;margin-left:157.05pt;margin-top:16.2pt;width:50.4pt;height:38.4pt;z-index:251512832" strokecolor="#36f" strokeweight="2.25pt">
            <v:textbox style="mso-next-textbox:#_x0000_s1979">
              <w:txbxContent>
                <w:p w:rsidR="00000000" w:rsidRDefault="00216019">
                  <w:pPr>
                    <w:jc w:val="center"/>
                    <w:rPr>
                      <w:rFonts w:ascii="Times New Roman" w:hAnsi="Times New Roman"/>
                      <w:sz w:val="16"/>
                    </w:rPr>
                  </w:pPr>
                  <w:r>
                    <w:rPr>
                      <w:rFonts w:ascii="Times New Roman" w:hAnsi="Times New Roman"/>
                      <w:sz w:val="16"/>
                    </w:rPr>
                    <w:t>10/1/98</w:t>
                  </w:r>
                </w:p>
                <w:p w:rsidR="00000000" w:rsidRDefault="00216019">
                  <w:pPr>
                    <w:jc w:val="center"/>
                    <w:rPr>
                      <w:rFonts w:ascii="Times New Roman" w:hAnsi="Times New Roman"/>
                      <w:sz w:val="16"/>
                    </w:rPr>
                  </w:pPr>
                  <w:r>
                    <w:rPr>
                      <w:rFonts w:ascii="Times New Roman" w:hAnsi="Times New Roman"/>
                      <w:sz w:val="16"/>
                    </w:rPr>
                    <w:t>Funding Available</w:t>
                  </w:r>
                </w:p>
              </w:txbxContent>
            </v:textbox>
          </v:shape>
        </w:pict>
      </w:r>
      <w:r>
        <w:rPr>
          <w:rFonts w:ascii="Times New Roman" w:hAnsi="Times New Roman"/>
          <w:noProof/>
          <w:sz w:val="16"/>
        </w:rPr>
        <w:pict>
          <v:line id="_x0000_s1982" style="position:absolute;flip:x;z-index:251515904" from="130.05pt,7.2pt" to="130.05pt,166.7pt" strokecolor="red">
            <v:stroke dashstyle="1 1" endarrow="block"/>
          </v:line>
        </w:pict>
      </w:r>
      <w:r>
        <w:rPr>
          <w:rFonts w:ascii="Times New Roman" w:hAnsi="Times New Roman"/>
          <w:noProof/>
          <w:sz w:val="16"/>
        </w:rPr>
        <w:pict>
          <v:shape id="_x0000_s1971" type="#_x0000_t202" style="position:absolute;margin-left:112.05pt;margin-top:97.2pt;width:81pt;height:63pt;z-index:251504640" strokecolor="#36f" strokeweight="2.25pt">
            <v:textbox>
              <w:txbxContent>
                <w:p w:rsidR="00000000" w:rsidRDefault="00216019">
                  <w:pPr>
                    <w:pStyle w:val="BodyText"/>
                    <w:jc w:val="center"/>
                    <w:rPr>
                      <w:i w:val="0"/>
                      <w:iCs/>
                      <w:color w:val="000000"/>
                      <w:sz w:val="18"/>
                    </w:rPr>
                  </w:pPr>
                  <w:r>
                    <w:rPr>
                      <w:i w:val="0"/>
                      <w:iCs/>
                      <w:color w:val="000000"/>
                      <w:sz w:val="18"/>
                    </w:rPr>
                    <w:t>7/1/98</w:t>
                  </w:r>
                </w:p>
                <w:p w:rsidR="00000000" w:rsidRDefault="00216019">
                  <w:pPr>
                    <w:pStyle w:val="BodyText"/>
                    <w:jc w:val="center"/>
                    <w:rPr>
                      <w:color w:val="000000"/>
                    </w:rPr>
                  </w:pPr>
                  <w:r>
                    <w:rPr>
                      <w:i w:val="0"/>
                      <w:iCs/>
                      <w:color w:val="000000"/>
                      <w:sz w:val="18"/>
                    </w:rPr>
                    <w:t xml:space="preserve">Medicaid expansion to 133% of </w:t>
                  </w:r>
                  <w:r>
                    <w:rPr>
                      <w:color w:val="000000"/>
                      <w:sz w:val="18"/>
                    </w:rPr>
                    <w:t>FPL</w:t>
                  </w:r>
                  <w:r>
                    <w:rPr>
                      <w:color w:val="000000"/>
                    </w:rPr>
                    <w:t xml:space="preserve"> </w:t>
                  </w:r>
                  <w:r>
                    <w:rPr>
                      <w:i w:val="0"/>
                      <w:iCs/>
                      <w:color w:val="000000"/>
                      <w:sz w:val="18"/>
                    </w:rPr>
                    <w:t>implemented</w:t>
                  </w:r>
                </w:p>
              </w:txbxContent>
            </v:textbox>
          </v:shape>
        </w:pict>
      </w:r>
      <w:r>
        <w:rPr>
          <w:rFonts w:ascii="Times New Roman" w:hAnsi="Times New Roman"/>
          <w:noProof/>
          <w:sz w:val="16"/>
        </w:rPr>
        <w:pict>
          <v:shape id="_x0000_s1975" type="#_x0000_t202" style="position:absolute;margin-left:49.05pt;margin-top:178.2pt;width:90pt;height:50pt;z-index:251508736" strokecolor="red" strokeweight="2.25pt">
            <v:stroke dashstyle="1 1" endcap="round"/>
            <v:textbox>
              <w:txbxContent>
                <w:p w:rsidR="00000000" w:rsidRDefault="00216019">
                  <w:pPr>
                    <w:pStyle w:val="BodyText3"/>
                  </w:pPr>
                  <w:r>
                    <w:t>1/98 – 4/98</w:t>
                  </w:r>
                </w:p>
                <w:p w:rsidR="00000000" w:rsidRDefault="00216019">
                  <w:pPr>
                    <w:pStyle w:val="BodyText3"/>
                  </w:pPr>
                  <w:r>
                    <w:t>LEGISLATIVE SESSION</w:t>
                  </w:r>
                </w:p>
              </w:txbxContent>
            </v:textbox>
          </v:shape>
        </w:pict>
      </w:r>
      <w:r>
        <w:rPr>
          <w:rFonts w:ascii="Times New Roman" w:hAnsi="Times New Roman"/>
          <w:noProof/>
          <w:sz w:val="16"/>
        </w:rPr>
        <w:pict>
          <v:shape id="_x0000_s1973" type="#_x0000_t202" style="position:absolute;margin-left:49.05pt;margin-top:16.2pt;width:50.4pt;height:36pt;z-index:251506688" strokecolor="#36f" strokeweight="2.25pt">
            <v:textbox>
              <w:txbxContent>
                <w:p w:rsidR="00000000" w:rsidRDefault="00216019">
                  <w:pPr>
                    <w:jc w:val="center"/>
                    <w:rPr>
                      <w:rFonts w:ascii="Times New Roman" w:hAnsi="Times New Roman"/>
                      <w:sz w:val="16"/>
                    </w:rPr>
                  </w:pPr>
                  <w:r>
                    <w:rPr>
                      <w:rFonts w:ascii="Times New Roman" w:hAnsi="Times New Roman"/>
                      <w:sz w:val="16"/>
                    </w:rPr>
                    <w:t>10/1/97</w:t>
                  </w:r>
                </w:p>
                <w:p w:rsidR="00000000" w:rsidRDefault="00216019">
                  <w:pPr>
                    <w:jc w:val="center"/>
                    <w:rPr>
                      <w:rFonts w:ascii="Times New Roman" w:hAnsi="Times New Roman"/>
                      <w:sz w:val="16"/>
                    </w:rPr>
                  </w:pPr>
                  <w:r>
                    <w:rPr>
                      <w:rFonts w:ascii="Times New Roman" w:hAnsi="Times New Roman"/>
                      <w:sz w:val="16"/>
                    </w:rPr>
                    <w:t>Funding Available</w:t>
                  </w:r>
                </w:p>
              </w:txbxContent>
            </v:textbox>
          </v:shape>
        </w:pict>
      </w:r>
      <w:r>
        <w:rPr>
          <w:rFonts w:ascii="Times New Roman" w:hAnsi="Times New Roman"/>
          <w:noProof/>
          <w:sz w:val="16"/>
        </w:rPr>
        <w:pict>
          <v:shape id="_x0000_s1980" type="#_x0000_t202" style="position:absolute;margin-left:268.65pt;margin-top:19.6pt;width:50.4pt;height:36pt;z-index:251513856" strokecolor="#36f" strokeweight="2.25pt">
            <v:textbox>
              <w:txbxContent>
                <w:p w:rsidR="00000000" w:rsidRDefault="00216019">
                  <w:pPr>
                    <w:jc w:val="center"/>
                    <w:rPr>
                      <w:rFonts w:ascii="Times New Roman" w:hAnsi="Times New Roman"/>
                      <w:sz w:val="16"/>
                    </w:rPr>
                  </w:pPr>
                  <w:r>
                    <w:rPr>
                      <w:rFonts w:ascii="Times New Roman" w:hAnsi="Times New Roman"/>
                      <w:sz w:val="16"/>
                    </w:rPr>
                    <w:t>10/1/99</w:t>
                  </w:r>
                </w:p>
                <w:p w:rsidR="00000000" w:rsidRDefault="00216019">
                  <w:pPr>
                    <w:jc w:val="center"/>
                    <w:rPr>
                      <w:rFonts w:ascii="Times New Roman" w:hAnsi="Times New Roman"/>
                      <w:sz w:val="16"/>
                    </w:rPr>
                  </w:pPr>
                  <w:r>
                    <w:rPr>
                      <w:rFonts w:ascii="Times New Roman" w:hAnsi="Times New Roman"/>
                      <w:sz w:val="16"/>
                    </w:rPr>
                    <w:t xml:space="preserve">Funding </w:t>
                  </w:r>
                  <w:r>
                    <w:rPr>
                      <w:rFonts w:ascii="Times New Roman" w:hAnsi="Times New Roman"/>
                      <w:sz w:val="16"/>
                    </w:rPr>
                    <w:t>Available</w:t>
                  </w:r>
                </w:p>
              </w:txbxContent>
            </v:textbox>
          </v:shape>
        </w:pict>
      </w:r>
      <w:r>
        <w:rPr>
          <w:rFonts w:ascii="Times New Roman" w:hAnsi="Times New Roman"/>
          <w:sz w:val="16"/>
        </w:rPr>
        <w:t>* In Millions</w:t>
      </w:r>
    </w:p>
    <w:p w:rsidR="00000000" w:rsidRDefault="00216019">
      <w:pPr>
        <w:tabs>
          <w:tab w:val="left" w:pos="630"/>
        </w:tabs>
        <w:rPr>
          <w:iCs/>
          <w:sz w:val="36"/>
        </w:rPr>
        <w:sectPr w:rsidR="00000000">
          <w:type w:val="oddPage"/>
          <w:pgSz w:w="15840" w:h="12240" w:orient="landscape" w:code="1"/>
          <w:pgMar w:top="1152" w:right="720" w:bottom="720" w:left="720" w:header="720" w:footer="720" w:gutter="0"/>
          <w:pgNumType w:start="14"/>
          <w:cols w:space="720"/>
          <w:titlePg/>
        </w:sectPr>
      </w:pPr>
    </w:p>
    <w:p w:rsidR="00000000" w:rsidRDefault="00216019"/>
    <w:tbl>
      <w:tblPr>
        <w:tblW w:w="8868" w:type="dxa"/>
        <w:tblLayout w:type="fixed"/>
        <w:tblCellMar>
          <w:left w:w="0" w:type="dxa"/>
          <w:right w:w="0" w:type="dxa"/>
        </w:tblCellMar>
        <w:tblLook w:val="0000"/>
      </w:tblPr>
      <w:tblGrid>
        <w:gridCol w:w="5760"/>
        <w:gridCol w:w="1584"/>
        <w:gridCol w:w="1524"/>
      </w:tblGrid>
      <w:tr w:rsidR="00000000">
        <w:trPr>
          <w:trHeight w:val="300"/>
        </w:trPr>
        <w:tc>
          <w:tcPr>
            <w:tcW w:w="5760" w:type="dxa"/>
            <w:tcBorders>
              <w:top w:val="nil"/>
              <w:left w:val="nil"/>
              <w:bottom w:val="nil"/>
              <w:right w:val="nil"/>
            </w:tcBorders>
            <w:noWrap/>
            <w:vAlign w:val="bottom"/>
          </w:tcPr>
          <w:p w:rsidR="00000000" w:rsidRDefault="00216019">
            <w:pPr>
              <w:jc w:val="center"/>
              <w:rPr>
                <w:rFonts w:cs="Arial"/>
                <w:szCs w:val="24"/>
              </w:rPr>
            </w:pPr>
            <w:r>
              <w:rPr>
                <w:rFonts w:cs="Arial"/>
              </w:rPr>
              <w:t>CHIP Budget</w:t>
            </w:r>
          </w:p>
        </w:tc>
        <w:tc>
          <w:tcPr>
            <w:tcW w:w="1584" w:type="dxa"/>
            <w:tcBorders>
              <w:top w:val="nil"/>
              <w:left w:val="nil"/>
              <w:bottom w:val="nil"/>
              <w:right w:val="nil"/>
            </w:tcBorders>
            <w:noWrap/>
            <w:vAlign w:val="bottom"/>
          </w:tcPr>
          <w:p w:rsidR="00000000" w:rsidRDefault="00216019">
            <w:pPr>
              <w:jc w:val="center"/>
              <w:rPr>
                <w:rFonts w:cs="Arial"/>
                <w:szCs w:val="24"/>
              </w:rPr>
            </w:pPr>
          </w:p>
        </w:tc>
        <w:tc>
          <w:tcPr>
            <w:tcW w:w="1524" w:type="dxa"/>
            <w:tcBorders>
              <w:top w:val="nil"/>
              <w:left w:val="nil"/>
              <w:bottom w:val="nil"/>
              <w:right w:val="nil"/>
            </w:tcBorders>
            <w:noWrap/>
            <w:vAlign w:val="bottom"/>
          </w:tcPr>
          <w:p w:rsidR="00000000" w:rsidRDefault="00216019">
            <w:pPr>
              <w:jc w:val="center"/>
              <w:rPr>
                <w:rFonts w:cs="Arial"/>
                <w:szCs w:val="24"/>
              </w:rPr>
            </w:pPr>
          </w:p>
        </w:tc>
      </w:tr>
      <w:tr w:rsidR="00000000">
        <w:trPr>
          <w:trHeight w:val="300"/>
        </w:trPr>
        <w:tc>
          <w:tcPr>
            <w:tcW w:w="5760" w:type="dxa"/>
            <w:tcBorders>
              <w:top w:val="nil"/>
              <w:left w:val="nil"/>
              <w:bottom w:val="nil"/>
              <w:right w:val="nil"/>
            </w:tcBorders>
            <w:noWrap/>
            <w:vAlign w:val="bottom"/>
          </w:tcPr>
          <w:p w:rsidR="00000000" w:rsidRDefault="00216019">
            <w:pPr>
              <w:jc w:val="center"/>
              <w:rPr>
                <w:rFonts w:cs="Arial"/>
                <w:szCs w:val="24"/>
              </w:rPr>
            </w:pPr>
            <w:r>
              <w:rPr>
                <w:rFonts w:cs="Arial"/>
              </w:rPr>
              <w:t xml:space="preserve">SFY </w:t>
            </w:r>
            <w:r>
              <w:rPr>
                <w:rFonts w:cs="Arial"/>
              </w:rPr>
              <w:t>2003</w:t>
            </w:r>
          </w:p>
        </w:tc>
        <w:tc>
          <w:tcPr>
            <w:tcW w:w="1584" w:type="dxa"/>
            <w:tcBorders>
              <w:top w:val="nil"/>
              <w:left w:val="nil"/>
              <w:bottom w:val="nil"/>
              <w:right w:val="nil"/>
            </w:tcBorders>
            <w:noWrap/>
            <w:vAlign w:val="bottom"/>
          </w:tcPr>
          <w:p w:rsidR="00000000" w:rsidRDefault="00216019">
            <w:pPr>
              <w:jc w:val="center"/>
              <w:rPr>
                <w:rFonts w:cs="Arial"/>
                <w:szCs w:val="24"/>
              </w:rPr>
            </w:pPr>
          </w:p>
        </w:tc>
        <w:tc>
          <w:tcPr>
            <w:tcW w:w="1524" w:type="dxa"/>
            <w:tcBorders>
              <w:top w:val="nil"/>
              <w:left w:val="nil"/>
              <w:bottom w:val="nil"/>
              <w:right w:val="nil"/>
            </w:tcBorders>
            <w:noWrap/>
            <w:vAlign w:val="bottom"/>
          </w:tcPr>
          <w:p w:rsidR="00000000" w:rsidRDefault="00216019">
            <w:pPr>
              <w:jc w:val="center"/>
              <w:rPr>
                <w:rFonts w:cs="Arial"/>
                <w:szCs w:val="24"/>
              </w:rPr>
            </w:pPr>
          </w:p>
        </w:tc>
      </w:tr>
      <w:tr w:rsidR="00000000">
        <w:trPr>
          <w:trHeight w:val="300"/>
        </w:trPr>
        <w:tc>
          <w:tcPr>
            <w:tcW w:w="5760" w:type="dxa"/>
            <w:tcBorders>
              <w:top w:val="nil"/>
              <w:left w:val="nil"/>
              <w:bottom w:val="nil"/>
              <w:right w:val="nil"/>
            </w:tcBorders>
            <w:shd w:val="clear" w:color="auto" w:fill="C0C0C0"/>
            <w:noWrap/>
            <w:vAlign w:val="bottom"/>
          </w:tcPr>
          <w:p w:rsidR="00000000" w:rsidRDefault="00216019">
            <w:pPr>
              <w:jc w:val="center"/>
              <w:rPr>
                <w:rFonts w:cs="Arial"/>
                <w:szCs w:val="24"/>
              </w:rPr>
            </w:pPr>
            <w:r>
              <w:rPr>
                <w:rFonts w:cs="Arial"/>
              </w:rPr>
              <w:t xml:space="preserve">Sept 03 - FINAL FY 03 </w:t>
            </w:r>
          </w:p>
        </w:tc>
        <w:tc>
          <w:tcPr>
            <w:tcW w:w="1584" w:type="dxa"/>
            <w:tcBorders>
              <w:top w:val="nil"/>
              <w:left w:val="nil"/>
              <w:bottom w:val="nil"/>
              <w:right w:val="nil"/>
            </w:tcBorders>
            <w:noWrap/>
            <w:vAlign w:val="bottom"/>
          </w:tcPr>
          <w:p w:rsidR="00000000" w:rsidRDefault="00216019">
            <w:pPr>
              <w:rPr>
                <w:rFonts w:cs="Arial"/>
                <w:sz w:val="20"/>
              </w:rPr>
            </w:pP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300"/>
        </w:trPr>
        <w:tc>
          <w:tcPr>
            <w:tcW w:w="5760" w:type="dxa"/>
            <w:tcBorders>
              <w:top w:val="nil"/>
              <w:left w:val="nil"/>
              <w:bottom w:val="nil"/>
              <w:right w:val="nil"/>
            </w:tcBorders>
            <w:noWrap/>
            <w:vAlign w:val="bottom"/>
          </w:tcPr>
          <w:p w:rsidR="00000000" w:rsidRDefault="00216019">
            <w:pPr>
              <w:rPr>
                <w:rFonts w:cs="Arial"/>
                <w:szCs w:val="24"/>
              </w:rPr>
            </w:pPr>
          </w:p>
        </w:tc>
        <w:tc>
          <w:tcPr>
            <w:tcW w:w="1584" w:type="dxa"/>
            <w:tcBorders>
              <w:top w:val="nil"/>
              <w:left w:val="nil"/>
              <w:bottom w:val="nil"/>
              <w:right w:val="nil"/>
            </w:tcBorders>
            <w:noWrap/>
            <w:vAlign w:val="bottom"/>
          </w:tcPr>
          <w:p w:rsidR="00000000" w:rsidRDefault="00216019">
            <w:pPr>
              <w:rPr>
                <w:rFonts w:cs="Arial"/>
                <w:sz w:val="20"/>
              </w:rPr>
            </w:pP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jc w:val="right"/>
              <w:rPr>
                <w:rFonts w:cs="Arial"/>
                <w:sz w:val="20"/>
              </w:rPr>
            </w:pPr>
            <w:r>
              <w:rPr>
                <w:rFonts w:cs="Arial"/>
                <w:sz w:val="20"/>
              </w:rPr>
              <w:t xml:space="preserve">FY 2003 Appropriation  </w:t>
            </w:r>
          </w:p>
        </w:tc>
        <w:tc>
          <w:tcPr>
            <w:tcW w:w="1584" w:type="dxa"/>
            <w:tcBorders>
              <w:top w:val="nil"/>
              <w:left w:val="nil"/>
              <w:bottom w:val="nil"/>
              <w:right w:val="nil"/>
            </w:tcBorders>
            <w:noWrap/>
            <w:vAlign w:val="bottom"/>
          </w:tcPr>
          <w:p w:rsidR="00000000" w:rsidRDefault="00216019">
            <w:pPr>
              <w:rPr>
                <w:rFonts w:cs="Arial"/>
                <w:sz w:val="20"/>
              </w:rPr>
            </w:pPr>
            <w:r>
              <w:rPr>
                <w:rFonts w:cs="Arial"/>
                <w:sz w:val="20"/>
              </w:rPr>
              <w:t xml:space="preserve"> $   11,458,412 </w:t>
            </w: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jc w:val="right"/>
              <w:rPr>
                <w:rFonts w:cs="Arial"/>
                <w:sz w:val="20"/>
              </w:rPr>
            </w:pPr>
            <w:r>
              <w:rPr>
                <w:rFonts w:cs="Arial"/>
                <w:sz w:val="20"/>
              </w:rPr>
              <w:t xml:space="preserve">Amount of HAWK-I Trust Fund dollars added to appropriation  </w:t>
            </w:r>
          </w:p>
        </w:tc>
        <w:tc>
          <w:tcPr>
            <w:tcW w:w="1584" w:type="dxa"/>
            <w:tcBorders>
              <w:top w:val="nil"/>
              <w:left w:val="nil"/>
              <w:bottom w:val="nil"/>
              <w:right w:val="nil"/>
            </w:tcBorders>
            <w:noWrap/>
            <w:vAlign w:val="bottom"/>
          </w:tcPr>
          <w:p w:rsidR="00000000" w:rsidRDefault="00216019">
            <w:pPr>
              <w:rPr>
                <w:rFonts w:cs="Arial"/>
                <w:color w:val="FF0000"/>
                <w:sz w:val="20"/>
              </w:rPr>
            </w:pPr>
            <w:r>
              <w:rPr>
                <w:rFonts w:cs="Arial"/>
                <w:color w:val="FF0000"/>
                <w:sz w:val="20"/>
              </w:rPr>
              <w:t xml:space="preserve"> $     2,823,670 </w:t>
            </w: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jc w:val="right"/>
              <w:rPr>
                <w:rFonts w:cs="Arial"/>
                <w:sz w:val="20"/>
              </w:rPr>
            </w:pPr>
            <w:r>
              <w:rPr>
                <w:rFonts w:cs="Arial"/>
                <w:sz w:val="20"/>
              </w:rPr>
              <w:t xml:space="preserve">Amount funded by Tobacco Trust Fund </w:t>
            </w:r>
          </w:p>
        </w:tc>
        <w:tc>
          <w:tcPr>
            <w:tcW w:w="1584" w:type="dxa"/>
            <w:tcBorders>
              <w:top w:val="nil"/>
              <w:left w:val="nil"/>
              <w:bottom w:val="nil"/>
              <w:right w:val="nil"/>
            </w:tcBorders>
            <w:noWrap/>
            <w:vAlign w:val="bottom"/>
          </w:tcPr>
          <w:p w:rsidR="00000000" w:rsidRDefault="00216019">
            <w:pPr>
              <w:rPr>
                <w:rFonts w:cs="Arial"/>
                <w:sz w:val="20"/>
              </w:rPr>
            </w:pPr>
            <w:r>
              <w:rPr>
                <w:rFonts w:cs="Arial"/>
                <w:sz w:val="20"/>
              </w:rPr>
              <w:t xml:space="preserve"> $        200,000 </w:t>
            </w: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jc w:val="right"/>
              <w:rPr>
                <w:rFonts w:cs="Arial"/>
                <w:sz w:val="20"/>
              </w:rPr>
            </w:pPr>
            <w:r>
              <w:rPr>
                <w:rFonts w:cs="Arial"/>
                <w:sz w:val="20"/>
              </w:rPr>
              <w:t>Total state appropriation for FY 200</w:t>
            </w:r>
            <w:r>
              <w:rPr>
                <w:rFonts w:cs="Arial"/>
                <w:sz w:val="20"/>
              </w:rPr>
              <w:t xml:space="preserve">3  </w:t>
            </w:r>
          </w:p>
        </w:tc>
        <w:tc>
          <w:tcPr>
            <w:tcW w:w="1584" w:type="dxa"/>
            <w:tcBorders>
              <w:top w:val="single" w:sz="4" w:space="0" w:color="auto"/>
              <w:left w:val="nil"/>
              <w:bottom w:val="single" w:sz="4" w:space="0" w:color="auto"/>
              <w:right w:val="nil"/>
            </w:tcBorders>
            <w:noWrap/>
            <w:vAlign w:val="bottom"/>
          </w:tcPr>
          <w:p w:rsidR="00000000" w:rsidRDefault="00216019">
            <w:pPr>
              <w:rPr>
                <w:rFonts w:cs="Arial"/>
                <w:sz w:val="20"/>
              </w:rPr>
            </w:pPr>
            <w:r>
              <w:rPr>
                <w:rFonts w:cs="Arial"/>
                <w:sz w:val="20"/>
              </w:rPr>
              <w:t xml:space="preserve"> $   14,482,082 </w:t>
            </w: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jc w:val="right"/>
              <w:rPr>
                <w:rFonts w:cs="Arial"/>
                <w:sz w:val="20"/>
              </w:rPr>
            </w:pPr>
            <w:r>
              <w:rPr>
                <w:rFonts w:cs="Arial"/>
                <w:sz w:val="20"/>
              </w:rPr>
              <w:t>donations</w:t>
            </w:r>
          </w:p>
        </w:tc>
        <w:tc>
          <w:tcPr>
            <w:tcW w:w="1584" w:type="dxa"/>
            <w:tcBorders>
              <w:top w:val="nil"/>
              <w:left w:val="nil"/>
              <w:bottom w:val="nil"/>
              <w:right w:val="nil"/>
            </w:tcBorders>
            <w:noWrap/>
            <w:vAlign w:val="bottom"/>
          </w:tcPr>
          <w:p w:rsidR="00000000" w:rsidRDefault="00216019">
            <w:pPr>
              <w:rPr>
                <w:rFonts w:cs="Arial"/>
                <w:sz w:val="20"/>
              </w:rPr>
            </w:pPr>
            <w:r>
              <w:rPr>
                <w:rFonts w:cs="Arial"/>
                <w:sz w:val="20"/>
              </w:rPr>
              <w:t xml:space="preserve"> $                  - </w:t>
            </w: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jc w:val="right"/>
              <w:rPr>
                <w:rFonts w:cs="Arial"/>
                <w:sz w:val="20"/>
              </w:rPr>
            </w:pPr>
            <w:r>
              <w:rPr>
                <w:rFonts w:cs="Arial"/>
                <w:sz w:val="20"/>
              </w:rPr>
              <w:t xml:space="preserve">total </w:t>
            </w:r>
          </w:p>
        </w:tc>
        <w:tc>
          <w:tcPr>
            <w:tcW w:w="1584" w:type="dxa"/>
            <w:tcBorders>
              <w:top w:val="nil"/>
              <w:left w:val="nil"/>
              <w:bottom w:val="nil"/>
              <w:right w:val="nil"/>
            </w:tcBorders>
            <w:noWrap/>
            <w:vAlign w:val="bottom"/>
          </w:tcPr>
          <w:p w:rsidR="00000000" w:rsidRDefault="00216019">
            <w:pPr>
              <w:rPr>
                <w:rFonts w:cs="Arial"/>
                <w:sz w:val="20"/>
              </w:rPr>
            </w:pPr>
            <w:r>
              <w:rPr>
                <w:rFonts w:cs="Arial"/>
                <w:sz w:val="20"/>
              </w:rPr>
              <w:t xml:space="preserve"> $   14,482,082 </w:t>
            </w: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p>
        </w:tc>
        <w:tc>
          <w:tcPr>
            <w:tcW w:w="1584" w:type="dxa"/>
            <w:tcBorders>
              <w:top w:val="nil"/>
              <w:left w:val="nil"/>
              <w:bottom w:val="nil"/>
              <w:right w:val="nil"/>
            </w:tcBorders>
            <w:noWrap/>
            <w:vAlign w:val="bottom"/>
          </w:tcPr>
          <w:p w:rsidR="00000000" w:rsidRDefault="00216019">
            <w:pPr>
              <w:rPr>
                <w:rFonts w:cs="Arial"/>
                <w:sz w:val="20"/>
              </w:rPr>
            </w:pP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300"/>
        </w:trPr>
        <w:tc>
          <w:tcPr>
            <w:tcW w:w="5760" w:type="dxa"/>
            <w:tcBorders>
              <w:top w:val="nil"/>
              <w:left w:val="nil"/>
              <w:bottom w:val="nil"/>
              <w:right w:val="nil"/>
            </w:tcBorders>
            <w:noWrap/>
            <w:vAlign w:val="bottom"/>
          </w:tcPr>
          <w:p w:rsidR="00000000" w:rsidRDefault="00216019">
            <w:pPr>
              <w:rPr>
                <w:rFonts w:cs="Arial"/>
                <w:sz w:val="20"/>
              </w:rPr>
            </w:pPr>
          </w:p>
        </w:tc>
        <w:tc>
          <w:tcPr>
            <w:tcW w:w="1584" w:type="dxa"/>
            <w:tcBorders>
              <w:top w:val="single" w:sz="4" w:space="0" w:color="auto"/>
              <w:left w:val="single" w:sz="4" w:space="0" w:color="auto"/>
              <w:bottom w:val="single" w:sz="4" w:space="0" w:color="auto"/>
              <w:right w:val="nil"/>
            </w:tcBorders>
            <w:noWrap/>
            <w:vAlign w:val="bottom"/>
          </w:tcPr>
          <w:p w:rsidR="00000000" w:rsidRDefault="00216019">
            <w:pPr>
              <w:jc w:val="center"/>
              <w:rPr>
                <w:rFonts w:cs="Arial"/>
                <w:b/>
                <w:bCs/>
                <w:sz w:val="22"/>
                <w:szCs w:val="22"/>
              </w:rPr>
            </w:pPr>
            <w:r>
              <w:rPr>
                <w:rFonts w:cs="Arial"/>
                <w:b/>
                <w:bCs/>
                <w:sz w:val="22"/>
                <w:szCs w:val="22"/>
              </w:rPr>
              <w:t>State Dollars</w:t>
            </w:r>
          </w:p>
        </w:tc>
        <w:tc>
          <w:tcPr>
            <w:tcW w:w="1524" w:type="dxa"/>
            <w:tcBorders>
              <w:top w:val="single" w:sz="4" w:space="0" w:color="auto"/>
              <w:left w:val="nil"/>
              <w:bottom w:val="single" w:sz="4" w:space="0" w:color="auto"/>
              <w:right w:val="single" w:sz="4" w:space="0" w:color="auto"/>
            </w:tcBorders>
            <w:noWrap/>
            <w:vAlign w:val="bottom"/>
          </w:tcPr>
          <w:p w:rsidR="00000000" w:rsidRDefault="00216019">
            <w:pPr>
              <w:jc w:val="center"/>
              <w:rPr>
                <w:rFonts w:cs="Arial"/>
                <w:b/>
                <w:bCs/>
                <w:sz w:val="22"/>
                <w:szCs w:val="22"/>
              </w:rPr>
            </w:pPr>
            <w:r>
              <w:rPr>
                <w:rFonts w:cs="Arial"/>
                <w:b/>
                <w:bCs/>
                <w:sz w:val="22"/>
                <w:szCs w:val="22"/>
              </w:rPr>
              <w:t> </w:t>
            </w: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p>
        </w:tc>
        <w:tc>
          <w:tcPr>
            <w:tcW w:w="1584" w:type="dxa"/>
            <w:tcBorders>
              <w:top w:val="nil"/>
              <w:left w:val="nil"/>
              <w:bottom w:val="nil"/>
              <w:right w:val="nil"/>
            </w:tcBorders>
            <w:noWrap/>
            <w:vAlign w:val="bottom"/>
          </w:tcPr>
          <w:p w:rsidR="00000000" w:rsidRDefault="00216019">
            <w:pPr>
              <w:jc w:val="center"/>
              <w:rPr>
                <w:rFonts w:cs="Arial"/>
                <w:sz w:val="20"/>
              </w:rPr>
            </w:pPr>
          </w:p>
        </w:tc>
        <w:tc>
          <w:tcPr>
            <w:tcW w:w="1524" w:type="dxa"/>
            <w:tcBorders>
              <w:top w:val="nil"/>
              <w:left w:val="nil"/>
              <w:bottom w:val="nil"/>
              <w:right w:val="nil"/>
            </w:tcBorders>
            <w:noWrap/>
            <w:vAlign w:val="bottom"/>
          </w:tcPr>
          <w:p w:rsidR="00000000" w:rsidRDefault="00216019">
            <w:pPr>
              <w:jc w:val="cente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p>
        </w:tc>
        <w:tc>
          <w:tcPr>
            <w:tcW w:w="1584" w:type="dxa"/>
            <w:tcBorders>
              <w:top w:val="nil"/>
              <w:left w:val="nil"/>
              <w:bottom w:val="nil"/>
              <w:right w:val="nil"/>
            </w:tcBorders>
            <w:noWrap/>
            <w:vAlign w:val="bottom"/>
          </w:tcPr>
          <w:p w:rsidR="00000000" w:rsidRDefault="00216019">
            <w:pPr>
              <w:jc w:val="center"/>
              <w:rPr>
                <w:rFonts w:cs="Arial"/>
                <w:sz w:val="20"/>
              </w:rPr>
            </w:pPr>
            <w:r>
              <w:rPr>
                <w:rFonts w:cs="Arial"/>
                <w:sz w:val="20"/>
              </w:rPr>
              <w:t xml:space="preserve">Projected </w:t>
            </w:r>
          </w:p>
        </w:tc>
        <w:tc>
          <w:tcPr>
            <w:tcW w:w="1524" w:type="dxa"/>
            <w:tcBorders>
              <w:top w:val="nil"/>
              <w:left w:val="nil"/>
              <w:bottom w:val="nil"/>
              <w:right w:val="nil"/>
            </w:tcBorders>
            <w:noWrap/>
            <w:vAlign w:val="bottom"/>
          </w:tcPr>
          <w:p w:rsidR="00000000" w:rsidRDefault="00216019">
            <w:pPr>
              <w:jc w:val="center"/>
              <w:rPr>
                <w:rFonts w:cs="Arial"/>
                <w:sz w:val="20"/>
              </w:rPr>
            </w:pPr>
            <w:r>
              <w:rPr>
                <w:rFonts w:cs="Arial"/>
                <w:sz w:val="20"/>
              </w:rPr>
              <w:t xml:space="preserve">YTD  </w:t>
            </w:r>
          </w:p>
        </w:tc>
      </w:tr>
      <w:tr w:rsidR="00000000">
        <w:trPr>
          <w:trHeight w:val="255"/>
        </w:trPr>
        <w:tc>
          <w:tcPr>
            <w:tcW w:w="5760" w:type="dxa"/>
            <w:tcBorders>
              <w:top w:val="nil"/>
              <w:left w:val="nil"/>
              <w:bottom w:val="single" w:sz="4" w:space="0" w:color="auto"/>
              <w:right w:val="nil"/>
            </w:tcBorders>
            <w:noWrap/>
            <w:vAlign w:val="bottom"/>
          </w:tcPr>
          <w:p w:rsidR="00000000" w:rsidRDefault="00216019">
            <w:pPr>
              <w:jc w:val="center"/>
              <w:rPr>
                <w:rFonts w:cs="Arial"/>
                <w:sz w:val="20"/>
              </w:rPr>
            </w:pPr>
            <w:r>
              <w:rPr>
                <w:rFonts w:cs="Arial"/>
                <w:sz w:val="20"/>
              </w:rPr>
              <w:t>Budget Category</w:t>
            </w:r>
          </w:p>
        </w:tc>
        <w:tc>
          <w:tcPr>
            <w:tcW w:w="1584" w:type="dxa"/>
            <w:tcBorders>
              <w:top w:val="nil"/>
              <w:left w:val="nil"/>
              <w:bottom w:val="single" w:sz="4" w:space="0" w:color="auto"/>
              <w:right w:val="nil"/>
            </w:tcBorders>
            <w:noWrap/>
            <w:vAlign w:val="bottom"/>
          </w:tcPr>
          <w:p w:rsidR="00000000" w:rsidRDefault="00216019">
            <w:pPr>
              <w:jc w:val="center"/>
              <w:rPr>
                <w:rFonts w:cs="Arial"/>
                <w:sz w:val="20"/>
              </w:rPr>
            </w:pPr>
            <w:r>
              <w:rPr>
                <w:rFonts w:cs="Arial"/>
                <w:sz w:val="20"/>
              </w:rPr>
              <w:t>Expenditures</w:t>
            </w:r>
          </w:p>
        </w:tc>
        <w:tc>
          <w:tcPr>
            <w:tcW w:w="1524" w:type="dxa"/>
            <w:tcBorders>
              <w:top w:val="nil"/>
              <w:left w:val="nil"/>
              <w:bottom w:val="single" w:sz="4" w:space="0" w:color="auto"/>
              <w:right w:val="nil"/>
            </w:tcBorders>
            <w:noWrap/>
            <w:vAlign w:val="bottom"/>
          </w:tcPr>
          <w:p w:rsidR="00000000" w:rsidRDefault="00216019">
            <w:pPr>
              <w:jc w:val="center"/>
              <w:rPr>
                <w:rFonts w:cs="Arial"/>
                <w:sz w:val="20"/>
              </w:rPr>
            </w:pPr>
            <w:r>
              <w:rPr>
                <w:rFonts w:cs="Arial"/>
                <w:sz w:val="20"/>
              </w:rPr>
              <w:t>Expenditures</w:t>
            </w: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p>
        </w:tc>
        <w:tc>
          <w:tcPr>
            <w:tcW w:w="1584" w:type="dxa"/>
            <w:tcBorders>
              <w:top w:val="nil"/>
              <w:left w:val="nil"/>
              <w:bottom w:val="nil"/>
              <w:right w:val="nil"/>
            </w:tcBorders>
            <w:noWrap/>
            <w:vAlign w:val="bottom"/>
          </w:tcPr>
          <w:p w:rsidR="00000000" w:rsidRDefault="00216019">
            <w:pPr>
              <w:rPr>
                <w:rFonts w:cs="Arial"/>
                <w:sz w:val="20"/>
              </w:rPr>
            </w:pP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r>
              <w:rPr>
                <w:rFonts w:cs="Arial"/>
                <w:sz w:val="20"/>
              </w:rPr>
              <w:t>Medicaid expansion</w:t>
            </w:r>
          </w:p>
        </w:tc>
        <w:tc>
          <w:tcPr>
            <w:tcW w:w="1584" w:type="dxa"/>
            <w:tcBorders>
              <w:top w:val="nil"/>
              <w:left w:val="nil"/>
              <w:bottom w:val="nil"/>
              <w:right w:val="nil"/>
            </w:tcBorders>
            <w:noWrap/>
            <w:vAlign w:val="bottom"/>
          </w:tcPr>
          <w:p w:rsidR="00000000" w:rsidRDefault="00216019">
            <w:pPr>
              <w:jc w:val="right"/>
              <w:rPr>
                <w:rFonts w:cs="Arial"/>
                <w:sz w:val="20"/>
              </w:rPr>
            </w:pPr>
            <w:r>
              <w:rPr>
                <w:rFonts w:cs="Arial"/>
                <w:sz w:val="20"/>
              </w:rPr>
              <w:t>$5,054,939</w:t>
            </w:r>
          </w:p>
        </w:tc>
        <w:tc>
          <w:tcPr>
            <w:tcW w:w="1524" w:type="dxa"/>
            <w:tcBorders>
              <w:top w:val="nil"/>
              <w:left w:val="nil"/>
              <w:bottom w:val="nil"/>
              <w:right w:val="nil"/>
            </w:tcBorders>
            <w:noWrap/>
            <w:vAlign w:val="bottom"/>
          </w:tcPr>
          <w:p w:rsidR="00000000" w:rsidRDefault="00216019">
            <w:pPr>
              <w:jc w:val="right"/>
              <w:rPr>
                <w:rFonts w:cs="Arial"/>
                <w:sz w:val="20"/>
              </w:rPr>
            </w:pPr>
            <w:r>
              <w:rPr>
                <w:rFonts w:cs="Arial"/>
                <w:sz w:val="20"/>
              </w:rPr>
              <w:t>$4,208,550</w:t>
            </w: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p>
        </w:tc>
        <w:tc>
          <w:tcPr>
            <w:tcW w:w="1584" w:type="dxa"/>
            <w:tcBorders>
              <w:top w:val="nil"/>
              <w:left w:val="nil"/>
              <w:bottom w:val="nil"/>
              <w:right w:val="nil"/>
            </w:tcBorders>
            <w:noWrap/>
            <w:vAlign w:val="bottom"/>
          </w:tcPr>
          <w:p w:rsidR="00000000" w:rsidRDefault="00216019">
            <w:pPr>
              <w:rPr>
                <w:rFonts w:cs="Arial"/>
                <w:sz w:val="20"/>
              </w:rPr>
            </w:pP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r>
              <w:rPr>
                <w:rFonts w:cs="Arial"/>
                <w:sz w:val="20"/>
              </w:rPr>
              <w:t>HAWK-I premiums</w:t>
            </w:r>
          </w:p>
        </w:tc>
        <w:tc>
          <w:tcPr>
            <w:tcW w:w="1584" w:type="dxa"/>
            <w:tcBorders>
              <w:top w:val="nil"/>
              <w:left w:val="nil"/>
              <w:bottom w:val="nil"/>
              <w:right w:val="nil"/>
            </w:tcBorders>
            <w:noWrap/>
            <w:vAlign w:val="bottom"/>
          </w:tcPr>
          <w:p w:rsidR="00000000" w:rsidRDefault="00216019">
            <w:pPr>
              <w:jc w:val="right"/>
              <w:rPr>
                <w:rFonts w:cs="Arial"/>
                <w:sz w:val="20"/>
              </w:rPr>
            </w:pPr>
            <w:r>
              <w:rPr>
                <w:rFonts w:cs="Arial"/>
                <w:sz w:val="20"/>
              </w:rPr>
              <w:t>$6,547,081</w:t>
            </w:r>
          </w:p>
        </w:tc>
        <w:tc>
          <w:tcPr>
            <w:tcW w:w="1524" w:type="dxa"/>
            <w:tcBorders>
              <w:top w:val="nil"/>
              <w:left w:val="nil"/>
              <w:bottom w:val="nil"/>
              <w:right w:val="nil"/>
            </w:tcBorders>
            <w:noWrap/>
            <w:vAlign w:val="bottom"/>
          </w:tcPr>
          <w:p w:rsidR="00000000" w:rsidRDefault="00216019">
            <w:pPr>
              <w:jc w:val="right"/>
              <w:rPr>
                <w:rFonts w:cs="Arial"/>
                <w:sz w:val="20"/>
              </w:rPr>
            </w:pPr>
            <w:r>
              <w:rPr>
                <w:rFonts w:cs="Arial"/>
                <w:sz w:val="20"/>
              </w:rPr>
              <w:t>$5,394,</w:t>
            </w:r>
            <w:r>
              <w:rPr>
                <w:rFonts w:cs="Arial"/>
                <w:sz w:val="20"/>
              </w:rPr>
              <w:t>582</w:t>
            </w: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p>
        </w:tc>
        <w:tc>
          <w:tcPr>
            <w:tcW w:w="1584" w:type="dxa"/>
            <w:tcBorders>
              <w:top w:val="nil"/>
              <w:left w:val="nil"/>
              <w:bottom w:val="nil"/>
              <w:right w:val="nil"/>
            </w:tcBorders>
            <w:noWrap/>
            <w:vAlign w:val="bottom"/>
          </w:tcPr>
          <w:p w:rsidR="00000000" w:rsidRDefault="00216019">
            <w:pPr>
              <w:rPr>
                <w:rFonts w:cs="Arial"/>
                <w:color w:val="FF0000"/>
                <w:sz w:val="20"/>
              </w:rPr>
            </w:pP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r>
              <w:rPr>
                <w:rFonts w:cs="Arial"/>
                <w:sz w:val="20"/>
              </w:rPr>
              <w:t xml:space="preserve">Fiscal agent costs of processing Medicaid claims </w:t>
            </w:r>
          </w:p>
        </w:tc>
        <w:tc>
          <w:tcPr>
            <w:tcW w:w="1584" w:type="dxa"/>
            <w:tcBorders>
              <w:top w:val="nil"/>
              <w:left w:val="nil"/>
              <w:bottom w:val="nil"/>
              <w:right w:val="nil"/>
            </w:tcBorders>
            <w:noWrap/>
            <w:vAlign w:val="bottom"/>
          </w:tcPr>
          <w:p w:rsidR="00000000" w:rsidRDefault="00216019">
            <w:pPr>
              <w:jc w:val="right"/>
              <w:rPr>
                <w:rFonts w:cs="Arial"/>
                <w:sz w:val="20"/>
              </w:rPr>
            </w:pPr>
            <w:r>
              <w:rPr>
                <w:rFonts w:cs="Arial"/>
                <w:sz w:val="20"/>
              </w:rPr>
              <w:t>$101,033</w:t>
            </w:r>
          </w:p>
        </w:tc>
        <w:tc>
          <w:tcPr>
            <w:tcW w:w="1524" w:type="dxa"/>
            <w:tcBorders>
              <w:top w:val="nil"/>
              <w:left w:val="nil"/>
              <w:bottom w:val="nil"/>
              <w:right w:val="nil"/>
            </w:tcBorders>
            <w:noWrap/>
            <w:vAlign w:val="bottom"/>
          </w:tcPr>
          <w:p w:rsidR="00000000" w:rsidRDefault="00216019">
            <w:pPr>
              <w:jc w:val="right"/>
              <w:rPr>
                <w:rFonts w:cs="Arial"/>
                <w:sz w:val="20"/>
              </w:rPr>
            </w:pPr>
            <w:r>
              <w:rPr>
                <w:rFonts w:cs="Arial"/>
                <w:sz w:val="20"/>
              </w:rPr>
              <w:t>$87,527</w:t>
            </w: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p>
        </w:tc>
        <w:tc>
          <w:tcPr>
            <w:tcW w:w="1584" w:type="dxa"/>
            <w:tcBorders>
              <w:top w:val="nil"/>
              <w:left w:val="nil"/>
              <w:bottom w:val="nil"/>
              <w:right w:val="nil"/>
            </w:tcBorders>
            <w:noWrap/>
            <w:vAlign w:val="bottom"/>
          </w:tcPr>
          <w:p w:rsidR="00000000" w:rsidRDefault="00216019">
            <w:pPr>
              <w:rPr>
                <w:rFonts w:cs="Arial"/>
                <w:color w:val="FF0000"/>
                <w:sz w:val="20"/>
              </w:rPr>
            </w:pP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r>
              <w:rPr>
                <w:rFonts w:cs="Arial"/>
                <w:sz w:val="20"/>
              </w:rPr>
              <w:t xml:space="preserve">Outreach </w:t>
            </w:r>
          </w:p>
        </w:tc>
        <w:tc>
          <w:tcPr>
            <w:tcW w:w="1584" w:type="dxa"/>
            <w:tcBorders>
              <w:top w:val="nil"/>
              <w:left w:val="nil"/>
              <w:bottom w:val="nil"/>
              <w:right w:val="nil"/>
            </w:tcBorders>
            <w:noWrap/>
            <w:vAlign w:val="bottom"/>
          </w:tcPr>
          <w:p w:rsidR="00000000" w:rsidRDefault="00216019">
            <w:pPr>
              <w:jc w:val="right"/>
              <w:rPr>
                <w:rFonts w:cs="Arial"/>
                <w:sz w:val="20"/>
              </w:rPr>
            </w:pPr>
            <w:r>
              <w:rPr>
                <w:rFonts w:cs="Arial"/>
                <w:sz w:val="20"/>
              </w:rPr>
              <w:t>$127,750</w:t>
            </w:r>
          </w:p>
        </w:tc>
        <w:tc>
          <w:tcPr>
            <w:tcW w:w="1524" w:type="dxa"/>
            <w:tcBorders>
              <w:top w:val="nil"/>
              <w:left w:val="nil"/>
              <w:bottom w:val="nil"/>
              <w:right w:val="nil"/>
            </w:tcBorders>
            <w:noWrap/>
            <w:vAlign w:val="bottom"/>
          </w:tcPr>
          <w:p w:rsidR="00000000" w:rsidRDefault="00216019">
            <w:pPr>
              <w:jc w:val="right"/>
              <w:rPr>
                <w:rFonts w:cs="Arial"/>
                <w:sz w:val="20"/>
              </w:rPr>
            </w:pPr>
            <w:r>
              <w:rPr>
                <w:rFonts w:cs="Arial"/>
                <w:sz w:val="20"/>
              </w:rPr>
              <w:t>$110,280</w:t>
            </w: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p>
        </w:tc>
        <w:tc>
          <w:tcPr>
            <w:tcW w:w="1584" w:type="dxa"/>
            <w:tcBorders>
              <w:top w:val="nil"/>
              <w:left w:val="nil"/>
              <w:bottom w:val="nil"/>
              <w:right w:val="nil"/>
            </w:tcBorders>
            <w:noWrap/>
            <w:vAlign w:val="bottom"/>
          </w:tcPr>
          <w:p w:rsidR="00000000" w:rsidRDefault="00216019">
            <w:pPr>
              <w:rPr>
                <w:rFonts w:cs="Arial"/>
                <w:color w:val="FF0000"/>
                <w:sz w:val="20"/>
              </w:rPr>
            </w:pP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r>
              <w:rPr>
                <w:rFonts w:cs="Arial"/>
                <w:sz w:val="20"/>
              </w:rPr>
              <w:t>HAWK-I administration</w:t>
            </w:r>
          </w:p>
        </w:tc>
        <w:tc>
          <w:tcPr>
            <w:tcW w:w="1584" w:type="dxa"/>
            <w:tcBorders>
              <w:top w:val="nil"/>
              <w:left w:val="nil"/>
              <w:bottom w:val="nil"/>
              <w:right w:val="nil"/>
            </w:tcBorders>
            <w:noWrap/>
            <w:vAlign w:val="bottom"/>
          </w:tcPr>
          <w:p w:rsidR="00000000" w:rsidRDefault="00216019">
            <w:pPr>
              <w:jc w:val="right"/>
              <w:rPr>
                <w:rFonts w:cs="Arial"/>
                <w:sz w:val="20"/>
              </w:rPr>
            </w:pPr>
            <w:r>
              <w:rPr>
                <w:rFonts w:cs="Arial"/>
                <w:sz w:val="20"/>
              </w:rPr>
              <w:t>$484,396</w:t>
            </w:r>
          </w:p>
        </w:tc>
        <w:tc>
          <w:tcPr>
            <w:tcW w:w="1524" w:type="dxa"/>
            <w:tcBorders>
              <w:top w:val="nil"/>
              <w:left w:val="nil"/>
              <w:bottom w:val="nil"/>
              <w:right w:val="nil"/>
            </w:tcBorders>
            <w:noWrap/>
            <w:vAlign w:val="bottom"/>
          </w:tcPr>
          <w:p w:rsidR="00000000" w:rsidRDefault="00216019">
            <w:pPr>
              <w:jc w:val="right"/>
              <w:rPr>
                <w:rFonts w:cs="Arial"/>
                <w:sz w:val="20"/>
              </w:rPr>
            </w:pPr>
            <w:r>
              <w:rPr>
                <w:rFonts w:cs="Arial"/>
                <w:sz w:val="20"/>
              </w:rPr>
              <w:t>$437,642</w:t>
            </w: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p>
        </w:tc>
        <w:tc>
          <w:tcPr>
            <w:tcW w:w="1584" w:type="dxa"/>
            <w:tcBorders>
              <w:top w:val="nil"/>
              <w:left w:val="nil"/>
              <w:bottom w:val="nil"/>
              <w:right w:val="nil"/>
            </w:tcBorders>
            <w:noWrap/>
            <w:vAlign w:val="bottom"/>
          </w:tcPr>
          <w:p w:rsidR="00000000" w:rsidRDefault="00216019">
            <w:pPr>
              <w:rPr>
                <w:rFonts w:cs="Arial"/>
                <w:color w:val="FF0000"/>
                <w:sz w:val="20"/>
              </w:rPr>
            </w:pP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r>
              <w:rPr>
                <w:rFonts w:cs="Arial"/>
                <w:sz w:val="20"/>
              </w:rPr>
              <w:t>Earned interest from HAWK-I fund</w:t>
            </w:r>
          </w:p>
        </w:tc>
        <w:tc>
          <w:tcPr>
            <w:tcW w:w="1584" w:type="dxa"/>
            <w:tcBorders>
              <w:top w:val="nil"/>
              <w:left w:val="nil"/>
              <w:bottom w:val="nil"/>
              <w:right w:val="nil"/>
            </w:tcBorders>
            <w:noWrap/>
            <w:vAlign w:val="bottom"/>
          </w:tcPr>
          <w:p w:rsidR="00000000" w:rsidRDefault="00216019">
            <w:pPr>
              <w:rPr>
                <w:rFonts w:cs="Arial"/>
                <w:sz w:val="20"/>
              </w:rPr>
            </w:pPr>
            <w:r>
              <w:rPr>
                <w:rFonts w:cs="Arial"/>
                <w:sz w:val="20"/>
              </w:rPr>
              <w:t xml:space="preserve"> $                  - </w:t>
            </w:r>
          </w:p>
        </w:tc>
        <w:tc>
          <w:tcPr>
            <w:tcW w:w="1524" w:type="dxa"/>
            <w:tcBorders>
              <w:top w:val="nil"/>
              <w:left w:val="nil"/>
              <w:bottom w:val="nil"/>
              <w:right w:val="nil"/>
            </w:tcBorders>
            <w:noWrap/>
            <w:vAlign w:val="bottom"/>
          </w:tcPr>
          <w:p w:rsidR="00000000" w:rsidRDefault="00216019">
            <w:pPr>
              <w:jc w:val="right"/>
              <w:rPr>
                <w:rFonts w:cs="Arial"/>
                <w:sz w:val="20"/>
              </w:rPr>
            </w:pPr>
            <w:r>
              <w:rPr>
                <w:rFonts w:cs="Arial"/>
                <w:sz w:val="20"/>
              </w:rPr>
              <w:t>-$159,097</w:t>
            </w: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p>
        </w:tc>
        <w:tc>
          <w:tcPr>
            <w:tcW w:w="1584" w:type="dxa"/>
            <w:tcBorders>
              <w:top w:val="nil"/>
              <w:left w:val="nil"/>
              <w:bottom w:val="nil"/>
              <w:right w:val="nil"/>
            </w:tcBorders>
            <w:noWrap/>
            <w:vAlign w:val="bottom"/>
          </w:tcPr>
          <w:p w:rsidR="00000000" w:rsidRDefault="00216019">
            <w:pPr>
              <w:rPr>
                <w:rFonts w:cs="Arial"/>
                <w:color w:val="FF0000"/>
                <w:sz w:val="20"/>
              </w:rPr>
            </w:pPr>
          </w:p>
        </w:tc>
        <w:tc>
          <w:tcPr>
            <w:tcW w:w="1524" w:type="dxa"/>
            <w:tcBorders>
              <w:top w:val="nil"/>
              <w:left w:val="nil"/>
              <w:bottom w:val="nil"/>
              <w:right w:val="nil"/>
            </w:tcBorders>
            <w:noWrap/>
            <w:vAlign w:val="bottom"/>
          </w:tcPr>
          <w:p w:rsidR="00000000" w:rsidRDefault="00216019">
            <w:pPr>
              <w:rPr>
                <w:rFonts w:cs="Arial"/>
                <w:color w:val="FF0000"/>
                <w:sz w:val="20"/>
              </w:rPr>
            </w:pPr>
          </w:p>
        </w:tc>
      </w:tr>
      <w:tr w:rsidR="00000000">
        <w:trPr>
          <w:trHeight w:val="270"/>
        </w:trPr>
        <w:tc>
          <w:tcPr>
            <w:tcW w:w="5760" w:type="dxa"/>
            <w:tcBorders>
              <w:top w:val="nil"/>
              <w:left w:val="nil"/>
              <w:bottom w:val="nil"/>
              <w:right w:val="nil"/>
            </w:tcBorders>
            <w:noWrap/>
            <w:vAlign w:val="bottom"/>
          </w:tcPr>
          <w:p w:rsidR="00000000" w:rsidRDefault="00216019">
            <w:pPr>
              <w:rPr>
                <w:rFonts w:cs="Arial"/>
                <w:sz w:val="20"/>
              </w:rPr>
            </w:pPr>
            <w:r>
              <w:rPr>
                <w:rFonts w:cs="Arial"/>
                <w:sz w:val="20"/>
              </w:rPr>
              <w:t>Totals</w:t>
            </w:r>
          </w:p>
        </w:tc>
        <w:tc>
          <w:tcPr>
            <w:tcW w:w="1584" w:type="dxa"/>
            <w:tcBorders>
              <w:top w:val="single" w:sz="4" w:space="0" w:color="auto"/>
              <w:left w:val="nil"/>
              <w:bottom w:val="double" w:sz="6" w:space="0" w:color="auto"/>
              <w:right w:val="nil"/>
            </w:tcBorders>
            <w:noWrap/>
            <w:vAlign w:val="bottom"/>
          </w:tcPr>
          <w:p w:rsidR="00000000" w:rsidRDefault="00216019">
            <w:pPr>
              <w:rPr>
                <w:rFonts w:cs="Arial"/>
                <w:sz w:val="20"/>
              </w:rPr>
            </w:pPr>
            <w:r>
              <w:rPr>
                <w:rFonts w:cs="Arial"/>
                <w:sz w:val="20"/>
              </w:rPr>
              <w:t xml:space="preserve"> $   12,315,200 </w:t>
            </w:r>
          </w:p>
        </w:tc>
        <w:tc>
          <w:tcPr>
            <w:tcW w:w="1524" w:type="dxa"/>
            <w:tcBorders>
              <w:top w:val="single" w:sz="4" w:space="0" w:color="auto"/>
              <w:left w:val="nil"/>
              <w:bottom w:val="double" w:sz="6" w:space="0" w:color="auto"/>
              <w:right w:val="nil"/>
            </w:tcBorders>
            <w:noWrap/>
            <w:vAlign w:val="bottom"/>
          </w:tcPr>
          <w:p w:rsidR="00000000" w:rsidRDefault="00216019">
            <w:pPr>
              <w:rPr>
                <w:rFonts w:cs="Arial"/>
                <w:sz w:val="20"/>
              </w:rPr>
            </w:pPr>
            <w:r>
              <w:rPr>
                <w:rFonts w:cs="Arial"/>
                <w:sz w:val="20"/>
              </w:rPr>
              <w:t xml:space="preserve"> $</w:t>
            </w:r>
            <w:r>
              <w:rPr>
                <w:rFonts w:cs="Arial"/>
                <w:sz w:val="20"/>
              </w:rPr>
              <w:t xml:space="preserve">10,079,484 </w:t>
            </w:r>
          </w:p>
        </w:tc>
      </w:tr>
      <w:tr w:rsidR="00000000">
        <w:trPr>
          <w:trHeight w:val="270"/>
        </w:trPr>
        <w:tc>
          <w:tcPr>
            <w:tcW w:w="5760" w:type="dxa"/>
            <w:tcBorders>
              <w:top w:val="nil"/>
              <w:left w:val="nil"/>
              <w:bottom w:val="nil"/>
              <w:right w:val="nil"/>
            </w:tcBorders>
            <w:noWrap/>
            <w:vAlign w:val="bottom"/>
          </w:tcPr>
          <w:p w:rsidR="00000000" w:rsidRDefault="00216019">
            <w:pPr>
              <w:rPr>
                <w:rFonts w:cs="Arial"/>
                <w:sz w:val="20"/>
              </w:rPr>
            </w:pPr>
          </w:p>
        </w:tc>
        <w:tc>
          <w:tcPr>
            <w:tcW w:w="1584" w:type="dxa"/>
            <w:tcBorders>
              <w:top w:val="nil"/>
              <w:left w:val="nil"/>
              <w:bottom w:val="nil"/>
              <w:right w:val="nil"/>
            </w:tcBorders>
            <w:noWrap/>
            <w:vAlign w:val="bottom"/>
          </w:tcPr>
          <w:p w:rsidR="00000000" w:rsidRDefault="00216019">
            <w:pPr>
              <w:rPr>
                <w:rFonts w:cs="Arial"/>
                <w:sz w:val="20"/>
              </w:rPr>
            </w:pP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nil"/>
              <w:left w:val="nil"/>
              <w:bottom w:val="nil"/>
              <w:right w:val="nil"/>
            </w:tcBorders>
            <w:noWrap/>
            <w:vAlign w:val="bottom"/>
          </w:tcPr>
          <w:p w:rsidR="00000000" w:rsidRDefault="00216019">
            <w:pPr>
              <w:rPr>
                <w:rFonts w:cs="Arial"/>
                <w:sz w:val="20"/>
              </w:rPr>
            </w:pPr>
          </w:p>
        </w:tc>
        <w:tc>
          <w:tcPr>
            <w:tcW w:w="1584" w:type="dxa"/>
            <w:tcBorders>
              <w:top w:val="nil"/>
              <w:left w:val="nil"/>
              <w:bottom w:val="nil"/>
              <w:right w:val="nil"/>
            </w:tcBorders>
            <w:noWrap/>
            <w:vAlign w:val="bottom"/>
          </w:tcPr>
          <w:p w:rsidR="00000000" w:rsidRDefault="00216019">
            <w:pPr>
              <w:rPr>
                <w:rFonts w:cs="Arial"/>
                <w:sz w:val="20"/>
              </w:rPr>
            </w:pPr>
          </w:p>
        </w:tc>
        <w:tc>
          <w:tcPr>
            <w:tcW w:w="1524" w:type="dxa"/>
            <w:tcBorders>
              <w:top w:val="nil"/>
              <w:left w:val="nil"/>
              <w:bottom w:val="nil"/>
              <w:right w:val="nil"/>
            </w:tcBorders>
            <w:noWrap/>
            <w:vAlign w:val="bottom"/>
          </w:tcPr>
          <w:p w:rsidR="00000000" w:rsidRDefault="00216019">
            <w:pPr>
              <w:rPr>
                <w:rFonts w:cs="Arial"/>
                <w:sz w:val="20"/>
              </w:rPr>
            </w:pPr>
          </w:p>
        </w:tc>
      </w:tr>
      <w:tr w:rsidR="00000000">
        <w:trPr>
          <w:trHeight w:val="255"/>
        </w:trPr>
        <w:tc>
          <w:tcPr>
            <w:tcW w:w="5760" w:type="dxa"/>
            <w:tcBorders>
              <w:top w:val="single" w:sz="4" w:space="0" w:color="auto"/>
              <w:left w:val="single" w:sz="4" w:space="0" w:color="auto"/>
              <w:bottom w:val="single" w:sz="4" w:space="0" w:color="auto"/>
              <w:right w:val="nil"/>
            </w:tcBorders>
            <w:noWrap/>
            <w:vAlign w:val="bottom"/>
          </w:tcPr>
          <w:p w:rsidR="00000000" w:rsidRDefault="00216019">
            <w:pPr>
              <w:jc w:val="center"/>
              <w:rPr>
                <w:rFonts w:cs="Arial"/>
                <w:sz w:val="20"/>
              </w:rPr>
            </w:pPr>
            <w:r>
              <w:rPr>
                <w:rFonts w:cs="Arial"/>
                <w:sz w:val="20"/>
              </w:rPr>
              <w:t>HAWK-I Trust Fund Balance (In State Dollars)</w:t>
            </w:r>
          </w:p>
        </w:tc>
        <w:tc>
          <w:tcPr>
            <w:tcW w:w="1584" w:type="dxa"/>
            <w:tcBorders>
              <w:top w:val="single" w:sz="4" w:space="0" w:color="auto"/>
              <w:left w:val="nil"/>
              <w:bottom w:val="single" w:sz="4" w:space="0" w:color="auto"/>
              <w:right w:val="nil"/>
            </w:tcBorders>
            <w:noWrap/>
            <w:vAlign w:val="bottom"/>
          </w:tcPr>
          <w:p w:rsidR="00000000" w:rsidRDefault="00216019">
            <w:pPr>
              <w:jc w:val="center"/>
              <w:rPr>
                <w:rFonts w:cs="Arial"/>
                <w:sz w:val="20"/>
              </w:rPr>
            </w:pPr>
            <w:r>
              <w:rPr>
                <w:rFonts w:cs="Arial"/>
                <w:sz w:val="20"/>
              </w:rPr>
              <w:t> </w:t>
            </w:r>
          </w:p>
        </w:tc>
        <w:tc>
          <w:tcPr>
            <w:tcW w:w="1524" w:type="dxa"/>
            <w:tcBorders>
              <w:top w:val="single" w:sz="4" w:space="0" w:color="auto"/>
              <w:left w:val="nil"/>
              <w:bottom w:val="single" w:sz="4" w:space="0" w:color="auto"/>
              <w:right w:val="single" w:sz="4" w:space="0" w:color="auto"/>
            </w:tcBorders>
            <w:noWrap/>
            <w:vAlign w:val="bottom"/>
          </w:tcPr>
          <w:p w:rsidR="00000000" w:rsidRDefault="00216019">
            <w:pPr>
              <w:jc w:val="center"/>
              <w:rPr>
                <w:rFonts w:cs="Arial"/>
                <w:sz w:val="20"/>
              </w:rPr>
            </w:pPr>
            <w:r>
              <w:rPr>
                <w:rFonts w:cs="Arial"/>
                <w:sz w:val="20"/>
              </w:rPr>
              <w:t> </w:t>
            </w:r>
          </w:p>
        </w:tc>
      </w:tr>
      <w:tr w:rsidR="00000000">
        <w:trPr>
          <w:trHeight w:val="255"/>
        </w:trPr>
        <w:tc>
          <w:tcPr>
            <w:tcW w:w="5760" w:type="dxa"/>
            <w:tcBorders>
              <w:top w:val="nil"/>
              <w:left w:val="nil"/>
              <w:bottom w:val="nil"/>
              <w:right w:val="nil"/>
            </w:tcBorders>
            <w:noWrap/>
            <w:vAlign w:val="bottom"/>
          </w:tcPr>
          <w:p w:rsidR="00000000" w:rsidRDefault="00216019">
            <w:pPr>
              <w:jc w:val="right"/>
              <w:rPr>
                <w:rFonts w:cs="Arial"/>
                <w:sz w:val="20"/>
              </w:rPr>
            </w:pPr>
            <w:r>
              <w:rPr>
                <w:rFonts w:cs="Arial"/>
                <w:sz w:val="20"/>
              </w:rPr>
              <w:t xml:space="preserve">Amount in HAWK-I Trust Fund held in reserve at FY 02 year end  </w:t>
            </w:r>
          </w:p>
        </w:tc>
        <w:tc>
          <w:tcPr>
            <w:tcW w:w="1584" w:type="dxa"/>
            <w:tcBorders>
              <w:top w:val="nil"/>
              <w:left w:val="nil"/>
              <w:bottom w:val="nil"/>
              <w:right w:val="nil"/>
            </w:tcBorders>
            <w:noWrap/>
            <w:vAlign w:val="bottom"/>
          </w:tcPr>
          <w:p w:rsidR="00000000" w:rsidRDefault="00216019">
            <w:pPr>
              <w:jc w:val="right"/>
              <w:rPr>
                <w:rFonts w:cs="Arial"/>
                <w:sz w:val="20"/>
              </w:rPr>
            </w:pPr>
            <w:r>
              <w:rPr>
                <w:rFonts w:cs="Arial"/>
                <w:sz w:val="20"/>
              </w:rPr>
              <w:t> </w:t>
            </w:r>
          </w:p>
        </w:tc>
        <w:tc>
          <w:tcPr>
            <w:tcW w:w="1524" w:type="dxa"/>
            <w:tcBorders>
              <w:top w:val="nil"/>
              <w:left w:val="nil"/>
              <w:bottom w:val="nil"/>
              <w:right w:val="nil"/>
            </w:tcBorders>
            <w:noWrap/>
            <w:vAlign w:val="bottom"/>
          </w:tcPr>
          <w:p w:rsidR="00000000" w:rsidRDefault="00216019">
            <w:pPr>
              <w:rPr>
                <w:rFonts w:cs="Arial"/>
                <w:color w:val="FF0000"/>
                <w:sz w:val="20"/>
              </w:rPr>
            </w:pPr>
            <w:r>
              <w:rPr>
                <w:rFonts w:cs="Arial"/>
                <w:color w:val="FF0000"/>
                <w:sz w:val="20"/>
              </w:rPr>
              <w:t xml:space="preserve"> $  2,823,670 </w:t>
            </w:r>
          </w:p>
        </w:tc>
      </w:tr>
    </w:tbl>
    <w:p w:rsidR="00000000" w:rsidRDefault="00216019">
      <w:pPr>
        <w:sectPr w:rsidR="00000000">
          <w:pgSz w:w="12240" w:h="15840" w:code="1"/>
          <w:pgMar w:top="1440" w:right="1440" w:bottom="1440" w:left="1440" w:header="720" w:footer="720" w:gutter="0"/>
          <w:pgNumType w:start="14"/>
          <w:cols w:space="720"/>
          <w:titlePg/>
        </w:sectPr>
      </w:pPr>
    </w:p>
    <w:p w:rsidR="00000000" w:rsidRDefault="00216019">
      <w:pPr>
        <w:jc w:val="center"/>
      </w:pPr>
      <w:r>
        <w:lastRenderedPageBreak/>
        <w:t>DHS - Medical Assistance</w:t>
      </w:r>
    </w:p>
    <w:p w:rsidR="00000000" w:rsidRDefault="00216019">
      <w:pPr>
        <w:jc w:val="center"/>
      </w:pPr>
      <w:r>
        <w:t>CHIP BUDGET</w:t>
      </w:r>
    </w:p>
    <w:p w:rsidR="00000000" w:rsidRDefault="00216019">
      <w:pPr>
        <w:jc w:val="center"/>
      </w:pPr>
      <w:r>
        <w:t>SFY 2003</w:t>
      </w:r>
    </w:p>
    <w:p w:rsidR="00000000" w:rsidRDefault="00216019">
      <w:pPr>
        <w:jc w:val="center"/>
      </w:pPr>
      <w:r>
        <w:t>Jul - 02</w:t>
      </w:r>
    </w:p>
    <w:p w:rsidR="00000000" w:rsidRDefault="00216019"/>
    <w:p w:rsidR="00000000" w:rsidRDefault="00216019"/>
    <w:tbl>
      <w:tblPr>
        <w:tblW w:w="0" w:type="auto"/>
        <w:tblLayout w:type="fixed"/>
        <w:tblCellMar>
          <w:left w:w="54" w:type="dxa"/>
          <w:right w:w="54" w:type="dxa"/>
        </w:tblCellMar>
        <w:tblLook w:val="0000"/>
      </w:tblPr>
      <w:tblGrid>
        <w:gridCol w:w="6084"/>
        <w:gridCol w:w="1980"/>
        <w:gridCol w:w="2160"/>
      </w:tblGrid>
      <w:tr w:rsidR="00000000">
        <w:tblPrEx>
          <w:tblCellMar>
            <w:top w:w="0" w:type="dxa"/>
            <w:bottom w:w="0" w:type="dxa"/>
          </w:tblCellMar>
        </w:tblPrEx>
        <w:tc>
          <w:tcPr>
            <w:tcW w:w="6084" w:type="dxa"/>
          </w:tcPr>
          <w:p w:rsidR="00000000" w:rsidRDefault="00216019">
            <w:pPr>
              <w:widowControl w:val="0"/>
              <w:jc w:val="right"/>
              <w:rPr>
                <w:snapToGrid w:val="0"/>
                <w:sz w:val="22"/>
              </w:rPr>
            </w:pPr>
            <w:r>
              <w:rPr>
                <w:snapToGrid w:val="0"/>
                <w:sz w:val="22"/>
              </w:rPr>
              <w:t xml:space="preserve">FY 2003 Appropriation  </w:t>
            </w:r>
          </w:p>
        </w:tc>
        <w:tc>
          <w:tcPr>
            <w:tcW w:w="1980" w:type="dxa"/>
          </w:tcPr>
          <w:p w:rsidR="00000000" w:rsidRDefault="00216019">
            <w:pPr>
              <w:widowControl w:val="0"/>
              <w:jc w:val="right"/>
              <w:rPr>
                <w:snapToGrid w:val="0"/>
              </w:rPr>
            </w:pPr>
            <w:r>
              <w:rPr>
                <w:snapToGrid w:val="0"/>
              </w:rPr>
              <w:t>$11,458,412</w:t>
            </w:r>
          </w:p>
        </w:tc>
        <w:tc>
          <w:tcPr>
            <w:tcW w:w="2160" w:type="dxa"/>
          </w:tcPr>
          <w:p w:rsidR="00000000" w:rsidRDefault="00216019">
            <w:pPr>
              <w:widowControl w:val="0"/>
              <w:rPr>
                <w:snapToGrid w:val="0"/>
              </w:rPr>
            </w:pPr>
          </w:p>
        </w:tc>
      </w:tr>
      <w:tr w:rsidR="00000000">
        <w:tblPrEx>
          <w:tblCellMar>
            <w:top w:w="0" w:type="dxa"/>
            <w:bottom w:w="0" w:type="dxa"/>
          </w:tblCellMar>
        </w:tblPrEx>
        <w:tc>
          <w:tcPr>
            <w:tcW w:w="6084" w:type="dxa"/>
          </w:tcPr>
          <w:p w:rsidR="00000000" w:rsidRDefault="00216019">
            <w:pPr>
              <w:widowControl w:val="0"/>
              <w:rPr>
                <w:snapToGrid w:val="0"/>
                <w:sz w:val="22"/>
              </w:rPr>
            </w:pPr>
            <w:r>
              <w:rPr>
                <w:snapToGrid w:val="0"/>
                <w:sz w:val="22"/>
              </w:rPr>
              <w:t xml:space="preserve">Amount </w:t>
            </w:r>
            <w:r>
              <w:rPr>
                <w:snapToGrid w:val="0"/>
                <w:sz w:val="22"/>
              </w:rPr>
              <w:t xml:space="preserve">of HAWK-I Trust Fund dollars added to appropriation  </w:t>
            </w:r>
          </w:p>
        </w:tc>
        <w:tc>
          <w:tcPr>
            <w:tcW w:w="1980" w:type="dxa"/>
          </w:tcPr>
          <w:p w:rsidR="00000000" w:rsidRDefault="00216019">
            <w:pPr>
              <w:widowControl w:val="0"/>
              <w:jc w:val="right"/>
              <w:rPr>
                <w:snapToGrid w:val="0"/>
              </w:rPr>
            </w:pPr>
            <w:r>
              <w:rPr>
                <w:snapToGrid w:val="0"/>
              </w:rPr>
              <w:t>$2,823,670</w:t>
            </w:r>
          </w:p>
        </w:tc>
        <w:tc>
          <w:tcPr>
            <w:tcW w:w="2160" w:type="dxa"/>
          </w:tcPr>
          <w:p w:rsidR="00000000" w:rsidRDefault="00216019">
            <w:pPr>
              <w:widowControl w:val="0"/>
              <w:jc w:val="right"/>
              <w:rPr>
                <w:snapToGrid w:val="0"/>
                <w:sz w:val="20"/>
              </w:rPr>
            </w:pPr>
          </w:p>
        </w:tc>
      </w:tr>
      <w:tr w:rsidR="00000000">
        <w:tblPrEx>
          <w:tblCellMar>
            <w:top w:w="0" w:type="dxa"/>
            <w:bottom w:w="0" w:type="dxa"/>
          </w:tblCellMar>
        </w:tblPrEx>
        <w:tc>
          <w:tcPr>
            <w:tcW w:w="6084" w:type="dxa"/>
          </w:tcPr>
          <w:p w:rsidR="00000000" w:rsidRDefault="00216019">
            <w:pPr>
              <w:widowControl w:val="0"/>
              <w:jc w:val="right"/>
              <w:rPr>
                <w:snapToGrid w:val="0"/>
                <w:sz w:val="22"/>
              </w:rPr>
            </w:pPr>
            <w:r>
              <w:rPr>
                <w:snapToGrid w:val="0"/>
                <w:sz w:val="22"/>
              </w:rPr>
              <w:t xml:space="preserve">Amount funded by Tobacco Trust Fund </w:t>
            </w:r>
          </w:p>
        </w:tc>
        <w:tc>
          <w:tcPr>
            <w:tcW w:w="1980" w:type="dxa"/>
          </w:tcPr>
          <w:p w:rsidR="00000000" w:rsidRDefault="00216019">
            <w:pPr>
              <w:widowControl w:val="0"/>
              <w:jc w:val="right"/>
              <w:rPr>
                <w:snapToGrid w:val="0"/>
              </w:rPr>
            </w:pPr>
            <w:r>
              <w:rPr>
                <w:snapToGrid w:val="0"/>
              </w:rPr>
              <w:t xml:space="preserve"> $200,000 </w:t>
            </w:r>
          </w:p>
        </w:tc>
        <w:tc>
          <w:tcPr>
            <w:tcW w:w="2160" w:type="dxa"/>
          </w:tcPr>
          <w:p w:rsidR="00000000" w:rsidRDefault="00216019">
            <w:pPr>
              <w:widowControl w:val="0"/>
              <w:rPr>
                <w:snapToGrid w:val="0"/>
              </w:rPr>
            </w:pPr>
          </w:p>
        </w:tc>
      </w:tr>
      <w:tr w:rsidR="00000000">
        <w:tblPrEx>
          <w:tblCellMar>
            <w:top w:w="0" w:type="dxa"/>
            <w:bottom w:w="0" w:type="dxa"/>
          </w:tblCellMar>
        </w:tblPrEx>
        <w:tc>
          <w:tcPr>
            <w:tcW w:w="6084" w:type="dxa"/>
          </w:tcPr>
          <w:p w:rsidR="00000000" w:rsidRDefault="00216019">
            <w:pPr>
              <w:widowControl w:val="0"/>
              <w:jc w:val="right"/>
              <w:rPr>
                <w:snapToGrid w:val="0"/>
                <w:sz w:val="22"/>
              </w:rPr>
            </w:pPr>
            <w:r>
              <w:rPr>
                <w:snapToGrid w:val="0"/>
                <w:sz w:val="22"/>
              </w:rPr>
              <w:t xml:space="preserve">Total state appropriation for FY 2003  </w:t>
            </w:r>
          </w:p>
        </w:tc>
        <w:tc>
          <w:tcPr>
            <w:tcW w:w="1980" w:type="dxa"/>
            <w:tcBorders>
              <w:top w:val="single" w:sz="6" w:space="0" w:color="auto"/>
              <w:bottom w:val="single" w:sz="6" w:space="0" w:color="auto"/>
            </w:tcBorders>
          </w:tcPr>
          <w:p w:rsidR="00000000" w:rsidRDefault="00216019">
            <w:pPr>
              <w:widowControl w:val="0"/>
              <w:jc w:val="right"/>
              <w:rPr>
                <w:snapToGrid w:val="0"/>
              </w:rPr>
            </w:pPr>
            <w:r>
              <w:rPr>
                <w:snapToGrid w:val="0"/>
              </w:rPr>
              <w:t>$14,482,082</w:t>
            </w:r>
          </w:p>
        </w:tc>
        <w:tc>
          <w:tcPr>
            <w:tcW w:w="2160" w:type="dxa"/>
          </w:tcPr>
          <w:p w:rsidR="00000000" w:rsidRDefault="00216019">
            <w:pPr>
              <w:widowControl w:val="0"/>
              <w:rPr>
                <w:snapToGrid w:val="0"/>
              </w:rPr>
            </w:pPr>
          </w:p>
        </w:tc>
      </w:tr>
      <w:tr w:rsidR="00000000">
        <w:tblPrEx>
          <w:tblCellMar>
            <w:top w:w="0" w:type="dxa"/>
            <w:bottom w:w="0" w:type="dxa"/>
          </w:tblCellMar>
        </w:tblPrEx>
        <w:tc>
          <w:tcPr>
            <w:tcW w:w="6084" w:type="dxa"/>
          </w:tcPr>
          <w:p w:rsidR="00000000" w:rsidRDefault="00216019">
            <w:pPr>
              <w:widowControl w:val="0"/>
              <w:jc w:val="right"/>
              <w:rPr>
                <w:snapToGrid w:val="0"/>
                <w:sz w:val="22"/>
              </w:rPr>
            </w:pPr>
            <w:r>
              <w:rPr>
                <w:snapToGrid w:val="0"/>
                <w:sz w:val="22"/>
              </w:rPr>
              <w:t>donations</w:t>
            </w:r>
          </w:p>
        </w:tc>
        <w:tc>
          <w:tcPr>
            <w:tcW w:w="1980" w:type="dxa"/>
          </w:tcPr>
          <w:p w:rsidR="00000000" w:rsidRDefault="00216019">
            <w:pPr>
              <w:widowControl w:val="0"/>
              <w:jc w:val="right"/>
              <w:rPr>
                <w:snapToGrid w:val="0"/>
              </w:rPr>
            </w:pPr>
            <w:r>
              <w:rPr>
                <w:snapToGrid w:val="0"/>
              </w:rPr>
              <w:t>-</w:t>
            </w:r>
          </w:p>
        </w:tc>
        <w:tc>
          <w:tcPr>
            <w:tcW w:w="2160" w:type="dxa"/>
          </w:tcPr>
          <w:p w:rsidR="00000000" w:rsidRDefault="00216019">
            <w:pPr>
              <w:widowControl w:val="0"/>
              <w:rPr>
                <w:snapToGrid w:val="0"/>
              </w:rPr>
            </w:pPr>
          </w:p>
        </w:tc>
      </w:tr>
      <w:tr w:rsidR="00000000">
        <w:tblPrEx>
          <w:tblCellMar>
            <w:top w:w="0" w:type="dxa"/>
            <w:bottom w:w="0" w:type="dxa"/>
          </w:tblCellMar>
        </w:tblPrEx>
        <w:tc>
          <w:tcPr>
            <w:tcW w:w="6084" w:type="dxa"/>
          </w:tcPr>
          <w:p w:rsidR="00000000" w:rsidRDefault="00216019">
            <w:pPr>
              <w:widowControl w:val="0"/>
              <w:jc w:val="right"/>
              <w:rPr>
                <w:snapToGrid w:val="0"/>
                <w:sz w:val="22"/>
              </w:rPr>
            </w:pPr>
            <w:r>
              <w:rPr>
                <w:snapToGrid w:val="0"/>
                <w:sz w:val="22"/>
              </w:rPr>
              <w:t xml:space="preserve">total </w:t>
            </w:r>
          </w:p>
        </w:tc>
        <w:tc>
          <w:tcPr>
            <w:tcW w:w="1980" w:type="dxa"/>
          </w:tcPr>
          <w:p w:rsidR="00000000" w:rsidRDefault="00216019">
            <w:pPr>
              <w:widowControl w:val="0"/>
              <w:jc w:val="right"/>
              <w:rPr>
                <w:snapToGrid w:val="0"/>
              </w:rPr>
            </w:pPr>
            <w:r>
              <w:rPr>
                <w:snapToGrid w:val="0"/>
              </w:rPr>
              <w:t>$14,482,082</w:t>
            </w:r>
          </w:p>
        </w:tc>
        <w:tc>
          <w:tcPr>
            <w:tcW w:w="2160" w:type="dxa"/>
          </w:tcPr>
          <w:p w:rsidR="00000000" w:rsidRDefault="00216019">
            <w:pPr>
              <w:widowControl w:val="0"/>
              <w:rPr>
                <w:snapToGrid w:val="0"/>
              </w:rPr>
            </w:pPr>
          </w:p>
        </w:tc>
      </w:tr>
      <w:tr w:rsidR="00000000">
        <w:tblPrEx>
          <w:tblCellMar>
            <w:top w:w="0" w:type="dxa"/>
            <w:bottom w:w="0" w:type="dxa"/>
          </w:tblCellMar>
        </w:tblPrEx>
        <w:tc>
          <w:tcPr>
            <w:tcW w:w="6084" w:type="dxa"/>
          </w:tcPr>
          <w:p w:rsidR="00000000" w:rsidRDefault="00216019">
            <w:pPr>
              <w:widowControl w:val="0"/>
              <w:rPr>
                <w:snapToGrid w:val="0"/>
              </w:rPr>
            </w:pPr>
          </w:p>
        </w:tc>
        <w:tc>
          <w:tcPr>
            <w:tcW w:w="1980" w:type="dxa"/>
          </w:tcPr>
          <w:p w:rsidR="00000000" w:rsidRDefault="00216019">
            <w:pPr>
              <w:widowControl w:val="0"/>
              <w:rPr>
                <w:snapToGrid w:val="0"/>
              </w:rPr>
            </w:pPr>
          </w:p>
        </w:tc>
        <w:tc>
          <w:tcPr>
            <w:tcW w:w="2160" w:type="dxa"/>
          </w:tcPr>
          <w:p w:rsidR="00000000" w:rsidRDefault="00216019">
            <w:pPr>
              <w:widowControl w:val="0"/>
              <w:rPr>
                <w:snapToGrid w:val="0"/>
              </w:rPr>
            </w:pPr>
          </w:p>
        </w:tc>
      </w:tr>
      <w:tr w:rsidR="00000000">
        <w:tblPrEx>
          <w:tblCellMar>
            <w:top w:w="0" w:type="dxa"/>
            <w:bottom w:w="0" w:type="dxa"/>
          </w:tblCellMar>
        </w:tblPrEx>
        <w:trPr>
          <w:trHeight w:val="300"/>
        </w:trPr>
        <w:tc>
          <w:tcPr>
            <w:tcW w:w="6084" w:type="dxa"/>
          </w:tcPr>
          <w:p w:rsidR="00000000" w:rsidRDefault="00216019">
            <w:pPr>
              <w:widowControl w:val="0"/>
              <w:rPr>
                <w:snapToGrid w:val="0"/>
              </w:rPr>
            </w:pPr>
          </w:p>
        </w:tc>
        <w:tc>
          <w:tcPr>
            <w:tcW w:w="1980" w:type="dxa"/>
            <w:tcBorders>
              <w:top w:val="single" w:sz="6" w:space="0" w:color="auto"/>
              <w:left w:val="single" w:sz="6" w:space="0" w:color="auto"/>
              <w:bottom w:val="single" w:sz="6" w:space="0" w:color="auto"/>
            </w:tcBorders>
          </w:tcPr>
          <w:p w:rsidR="00000000" w:rsidRDefault="00216019">
            <w:pPr>
              <w:widowControl w:val="0"/>
              <w:jc w:val="center"/>
              <w:rPr>
                <w:b/>
                <w:snapToGrid w:val="0"/>
                <w:sz w:val="22"/>
              </w:rPr>
            </w:pPr>
            <w:r>
              <w:rPr>
                <w:b/>
                <w:snapToGrid w:val="0"/>
                <w:sz w:val="22"/>
              </w:rPr>
              <w:t>State Dollars</w:t>
            </w:r>
          </w:p>
        </w:tc>
        <w:tc>
          <w:tcPr>
            <w:tcW w:w="2160" w:type="dxa"/>
            <w:tcBorders>
              <w:top w:val="single" w:sz="6" w:space="0" w:color="auto"/>
              <w:bottom w:val="single" w:sz="6" w:space="0" w:color="auto"/>
              <w:right w:val="single" w:sz="6" w:space="0" w:color="auto"/>
            </w:tcBorders>
          </w:tcPr>
          <w:p w:rsidR="00000000" w:rsidRDefault="00216019">
            <w:pPr>
              <w:widowControl w:val="0"/>
              <w:jc w:val="center"/>
              <w:rPr>
                <w:b/>
                <w:snapToGrid w:val="0"/>
                <w:sz w:val="22"/>
              </w:rPr>
            </w:pPr>
          </w:p>
        </w:tc>
      </w:tr>
      <w:tr w:rsidR="00000000">
        <w:tblPrEx>
          <w:tblCellMar>
            <w:top w:w="0" w:type="dxa"/>
            <w:bottom w:w="0" w:type="dxa"/>
          </w:tblCellMar>
        </w:tblPrEx>
        <w:tc>
          <w:tcPr>
            <w:tcW w:w="6084" w:type="dxa"/>
          </w:tcPr>
          <w:p w:rsidR="00000000" w:rsidRDefault="00216019">
            <w:pPr>
              <w:widowControl w:val="0"/>
              <w:rPr>
                <w:snapToGrid w:val="0"/>
              </w:rPr>
            </w:pPr>
          </w:p>
        </w:tc>
        <w:tc>
          <w:tcPr>
            <w:tcW w:w="1980" w:type="dxa"/>
          </w:tcPr>
          <w:p w:rsidR="00000000" w:rsidRDefault="00216019">
            <w:pPr>
              <w:widowControl w:val="0"/>
              <w:jc w:val="center"/>
              <w:rPr>
                <w:snapToGrid w:val="0"/>
              </w:rPr>
            </w:pPr>
          </w:p>
        </w:tc>
        <w:tc>
          <w:tcPr>
            <w:tcW w:w="2160" w:type="dxa"/>
          </w:tcPr>
          <w:p w:rsidR="00000000" w:rsidRDefault="00216019">
            <w:pPr>
              <w:widowControl w:val="0"/>
              <w:jc w:val="center"/>
              <w:rPr>
                <w:snapToGrid w:val="0"/>
              </w:rPr>
            </w:pPr>
          </w:p>
        </w:tc>
      </w:tr>
      <w:tr w:rsidR="00000000">
        <w:tblPrEx>
          <w:tblCellMar>
            <w:top w:w="0" w:type="dxa"/>
            <w:bottom w:w="0" w:type="dxa"/>
          </w:tblCellMar>
        </w:tblPrEx>
        <w:tc>
          <w:tcPr>
            <w:tcW w:w="6084" w:type="dxa"/>
          </w:tcPr>
          <w:p w:rsidR="00000000" w:rsidRDefault="00216019">
            <w:pPr>
              <w:widowControl w:val="0"/>
              <w:rPr>
                <w:snapToGrid w:val="0"/>
              </w:rPr>
            </w:pPr>
          </w:p>
        </w:tc>
        <w:tc>
          <w:tcPr>
            <w:tcW w:w="1980" w:type="dxa"/>
          </w:tcPr>
          <w:p w:rsidR="00000000" w:rsidRDefault="00216019">
            <w:pPr>
              <w:widowControl w:val="0"/>
              <w:jc w:val="center"/>
              <w:rPr>
                <w:snapToGrid w:val="0"/>
              </w:rPr>
            </w:pPr>
            <w:r>
              <w:rPr>
                <w:snapToGrid w:val="0"/>
              </w:rPr>
              <w:t xml:space="preserve">Projected </w:t>
            </w:r>
          </w:p>
        </w:tc>
        <w:tc>
          <w:tcPr>
            <w:tcW w:w="2160" w:type="dxa"/>
          </w:tcPr>
          <w:p w:rsidR="00000000" w:rsidRDefault="00216019">
            <w:pPr>
              <w:widowControl w:val="0"/>
              <w:jc w:val="center"/>
              <w:rPr>
                <w:snapToGrid w:val="0"/>
              </w:rPr>
            </w:pPr>
            <w:r>
              <w:rPr>
                <w:snapToGrid w:val="0"/>
              </w:rPr>
              <w:t>YTD  *</w:t>
            </w:r>
          </w:p>
        </w:tc>
      </w:tr>
      <w:tr w:rsidR="00000000">
        <w:tblPrEx>
          <w:tblCellMar>
            <w:top w:w="0" w:type="dxa"/>
            <w:bottom w:w="0" w:type="dxa"/>
          </w:tblCellMar>
        </w:tblPrEx>
        <w:tc>
          <w:tcPr>
            <w:tcW w:w="6084" w:type="dxa"/>
            <w:tcBorders>
              <w:bottom w:val="single" w:sz="6" w:space="0" w:color="auto"/>
            </w:tcBorders>
          </w:tcPr>
          <w:p w:rsidR="00000000" w:rsidRDefault="00216019">
            <w:pPr>
              <w:widowControl w:val="0"/>
              <w:jc w:val="center"/>
              <w:rPr>
                <w:snapToGrid w:val="0"/>
              </w:rPr>
            </w:pPr>
            <w:r>
              <w:rPr>
                <w:snapToGrid w:val="0"/>
              </w:rPr>
              <w:t>Budge</w:t>
            </w:r>
            <w:r>
              <w:rPr>
                <w:snapToGrid w:val="0"/>
              </w:rPr>
              <w:t>t Category</w:t>
            </w:r>
          </w:p>
        </w:tc>
        <w:tc>
          <w:tcPr>
            <w:tcW w:w="1980" w:type="dxa"/>
            <w:tcBorders>
              <w:bottom w:val="single" w:sz="6" w:space="0" w:color="auto"/>
            </w:tcBorders>
          </w:tcPr>
          <w:p w:rsidR="00000000" w:rsidRDefault="00216019">
            <w:pPr>
              <w:widowControl w:val="0"/>
              <w:jc w:val="center"/>
              <w:rPr>
                <w:snapToGrid w:val="0"/>
              </w:rPr>
            </w:pPr>
            <w:r>
              <w:rPr>
                <w:snapToGrid w:val="0"/>
              </w:rPr>
              <w:t>Expenditures</w:t>
            </w:r>
          </w:p>
        </w:tc>
        <w:tc>
          <w:tcPr>
            <w:tcW w:w="2160" w:type="dxa"/>
            <w:tcBorders>
              <w:bottom w:val="single" w:sz="6" w:space="0" w:color="auto"/>
            </w:tcBorders>
          </w:tcPr>
          <w:p w:rsidR="00000000" w:rsidRDefault="00216019">
            <w:pPr>
              <w:widowControl w:val="0"/>
              <w:jc w:val="center"/>
              <w:rPr>
                <w:snapToGrid w:val="0"/>
              </w:rPr>
            </w:pPr>
            <w:r>
              <w:rPr>
                <w:snapToGrid w:val="0"/>
              </w:rPr>
              <w:t>Expenditures</w:t>
            </w:r>
          </w:p>
        </w:tc>
      </w:tr>
      <w:tr w:rsidR="00000000">
        <w:tblPrEx>
          <w:tblCellMar>
            <w:top w:w="0" w:type="dxa"/>
            <w:bottom w:w="0" w:type="dxa"/>
          </w:tblCellMar>
        </w:tblPrEx>
        <w:tc>
          <w:tcPr>
            <w:tcW w:w="6084" w:type="dxa"/>
          </w:tcPr>
          <w:p w:rsidR="00000000" w:rsidRDefault="00216019">
            <w:pPr>
              <w:widowControl w:val="0"/>
              <w:rPr>
                <w:snapToGrid w:val="0"/>
              </w:rPr>
            </w:pPr>
          </w:p>
        </w:tc>
        <w:tc>
          <w:tcPr>
            <w:tcW w:w="1980" w:type="dxa"/>
          </w:tcPr>
          <w:p w:rsidR="00000000" w:rsidRDefault="00216019">
            <w:pPr>
              <w:widowControl w:val="0"/>
              <w:rPr>
                <w:snapToGrid w:val="0"/>
              </w:rPr>
            </w:pPr>
          </w:p>
        </w:tc>
        <w:tc>
          <w:tcPr>
            <w:tcW w:w="2160" w:type="dxa"/>
          </w:tcPr>
          <w:p w:rsidR="00000000" w:rsidRDefault="00216019">
            <w:pPr>
              <w:widowControl w:val="0"/>
              <w:rPr>
                <w:snapToGrid w:val="0"/>
              </w:rPr>
            </w:pPr>
          </w:p>
        </w:tc>
      </w:tr>
      <w:tr w:rsidR="00000000">
        <w:tblPrEx>
          <w:tblCellMar>
            <w:top w:w="0" w:type="dxa"/>
            <w:bottom w:w="0" w:type="dxa"/>
          </w:tblCellMar>
        </w:tblPrEx>
        <w:tc>
          <w:tcPr>
            <w:tcW w:w="6084" w:type="dxa"/>
          </w:tcPr>
          <w:p w:rsidR="00000000" w:rsidRDefault="00216019">
            <w:pPr>
              <w:widowControl w:val="0"/>
              <w:rPr>
                <w:snapToGrid w:val="0"/>
              </w:rPr>
            </w:pPr>
            <w:r>
              <w:rPr>
                <w:snapToGrid w:val="0"/>
              </w:rPr>
              <w:t>Medicaid expansion</w:t>
            </w:r>
          </w:p>
        </w:tc>
        <w:tc>
          <w:tcPr>
            <w:tcW w:w="1980" w:type="dxa"/>
          </w:tcPr>
          <w:p w:rsidR="00000000" w:rsidRDefault="00216019">
            <w:pPr>
              <w:widowControl w:val="0"/>
              <w:jc w:val="right"/>
              <w:rPr>
                <w:snapToGrid w:val="0"/>
              </w:rPr>
            </w:pPr>
            <w:r>
              <w:rPr>
                <w:snapToGrid w:val="0"/>
              </w:rPr>
              <w:t>$5,054,939</w:t>
            </w:r>
          </w:p>
        </w:tc>
        <w:tc>
          <w:tcPr>
            <w:tcW w:w="2160" w:type="dxa"/>
          </w:tcPr>
          <w:p w:rsidR="00000000" w:rsidRDefault="00216019">
            <w:pPr>
              <w:widowControl w:val="0"/>
              <w:jc w:val="right"/>
              <w:rPr>
                <w:snapToGrid w:val="0"/>
              </w:rPr>
            </w:pPr>
            <w:r>
              <w:rPr>
                <w:snapToGrid w:val="0"/>
              </w:rPr>
              <w:t>$168,738</w:t>
            </w:r>
          </w:p>
        </w:tc>
      </w:tr>
      <w:tr w:rsidR="00000000">
        <w:tblPrEx>
          <w:tblCellMar>
            <w:top w:w="0" w:type="dxa"/>
            <w:bottom w:w="0" w:type="dxa"/>
          </w:tblCellMar>
        </w:tblPrEx>
        <w:tc>
          <w:tcPr>
            <w:tcW w:w="6084" w:type="dxa"/>
          </w:tcPr>
          <w:p w:rsidR="00000000" w:rsidRDefault="00216019">
            <w:pPr>
              <w:widowControl w:val="0"/>
              <w:rPr>
                <w:snapToGrid w:val="0"/>
              </w:rPr>
            </w:pPr>
          </w:p>
        </w:tc>
        <w:tc>
          <w:tcPr>
            <w:tcW w:w="1980" w:type="dxa"/>
          </w:tcPr>
          <w:p w:rsidR="00000000" w:rsidRDefault="00216019">
            <w:pPr>
              <w:widowControl w:val="0"/>
              <w:rPr>
                <w:snapToGrid w:val="0"/>
              </w:rPr>
            </w:pPr>
          </w:p>
        </w:tc>
        <w:tc>
          <w:tcPr>
            <w:tcW w:w="2160" w:type="dxa"/>
          </w:tcPr>
          <w:p w:rsidR="00000000" w:rsidRDefault="00216019">
            <w:pPr>
              <w:widowControl w:val="0"/>
              <w:rPr>
                <w:snapToGrid w:val="0"/>
              </w:rPr>
            </w:pPr>
          </w:p>
        </w:tc>
      </w:tr>
      <w:tr w:rsidR="00000000">
        <w:tblPrEx>
          <w:tblCellMar>
            <w:top w:w="0" w:type="dxa"/>
            <w:bottom w:w="0" w:type="dxa"/>
          </w:tblCellMar>
        </w:tblPrEx>
        <w:tc>
          <w:tcPr>
            <w:tcW w:w="6084" w:type="dxa"/>
          </w:tcPr>
          <w:p w:rsidR="00000000" w:rsidRDefault="00216019">
            <w:pPr>
              <w:widowControl w:val="0"/>
              <w:rPr>
                <w:snapToGrid w:val="0"/>
              </w:rPr>
            </w:pPr>
            <w:r>
              <w:rPr>
                <w:snapToGrid w:val="0"/>
              </w:rPr>
              <w:t>HAWK-I premiums</w:t>
            </w:r>
          </w:p>
        </w:tc>
        <w:tc>
          <w:tcPr>
            <w:tcW w:w="1980" w:type="dxa"/>
          </w:tcPr>
          <w:p w:rsidR="00000000" w:rsidRDefault="00216019">
            <w:pPr>
              <w:widowControl w:val="0"/>
              <w:jc w:val="right"/>
              <w:rPr>
                <w:snapToGrid w:val="0"/>
              </w:rPr>
            </w:pPr>
            <w:r>
              <w:rPr>
                <w:snapToGrid w:val="0"/>
              </w:rPr>
              <w:t>$6,547,081</w:t>
            </w:r>
          </w:p>
        </w:tc>
        <w:tc>
          <w:tcPr>
            <w:tcW w:w="2160" w:type="dxa"/>
          </w:tcPr>
          <w:p w:rsidR="00000000" w:rsidRDefault="00216019">
            <w:pPr>
              <w:widowControl w:val="0"/>
              <w:jc w:val="right"/>
              <w:rPr>
                <w:snapToGrid w:val="0"/>
              </w:rPr>
            </w:pPr>
            <w:r>
              <w:rPr>
                <w:snapToGrid w:val="0"/>
              </w:rPr>
              <w:t>$490,559</w:t>
            </w:r>
          </w:p>
        </w:tc>
      </w:tr>
      <w:tr w:rsidR="00000000">
        <w:tblPrEx>
          <w:tblCellMar>
            <w:top w:w="0" w:type="dxa"/>
            <w:bottom w:w="0" w:type="dxa"/>
          </w:tblCellMar>
        </w:tblPrEx>
        <w:tc>
          <w:tcPr>
            <w:tcW w:w="6084" w:type="dxa"/>
          </w:tcPr>
          <w:p w:rsidR="00000000" w:rsidRDefault="00216019">
            <w:pPr>
              <w:widowControl w:val="0"/>
              <w:rPr>
                <w:snapToGrid w:val="0"/>
              </w:rPr>
            </w:pPr>
          </w:p>
        </w:tc>
        <w:tc>
          <w:tcPr>
            <w:tcW w:w="1980" w:type="dxa"/>
          </w:tcPr>
          <w:p w:rsidR="00000000" w:rsidRDefault="00216019">
            <w:pPr>
              <w:widowControl w:val="0"/>
              <w:rPr>
                <w:snapToGrid w:val="0"/>
              </w:rPr>
            </w:pPr>
          </w:p>
        </w:tc>
        <w:tc>
          <w:tcPr>
            <w:tcW w:w="2160" w:type="dxa"/>
          </w:tcPr>
          <w:p w:rsidR="00000000" w:rsidRDefault="00216019">
            <w:pPr>
              <w:widowControl w:val="0"/>
              <w:rPr>
                <w:snapToGrid w:val="0"/>
              </w:rPr>
            </w:pPr>
          </w:p>
        </w:tc>
      </w:tr>
      <w:tr w:rsidR="00000000">
        <w:tblPrEx>
          <w:tblCellMar>
            <w:top w:w="0" w:type="dxa"/>
            <w:bottom w:w="0" w:type="dxa"/>
          </w:tblCellMar>
        </w:tblPrEx>
        <w:tc>
          <w:tcPr>
            <w:tcW w:w="6084" w:type="dxa"/>
          </w:tcPr>
          <w:p w:rsidR="00000000" w:rsidRDefault="00216019">
            <w:pPr>
              <w:widowControl w:val="0"/>
              <w:rPr>
                <w:snapToGrid w:val="0"/>
              </w:rPr>
            </w:pPr>
            <w:r>
              <w:rPr>
                <w:snapToGrid w:val="0"/>
              </w:rPr>
              <w:t xml:space="preserve">Fiscal agent costs of processing Medicaid claims </w:t>
            </w:r>
          </w:p>
        </w:tc>
        <w:tc>
          <w:tcPr>
            <w:tcW w:w="1980" w:type="dxa"/>
          </w:tcPr>
          <w:p w:rsidR="00000000" w:rsidRDefault="00216019">
            <w:pPr>
              <w:widowControl w:val="0"/>
              <w:jc w:val="right"/>
              <w:rPr>
                <w:snapToGrid w:val="0"/>
              </w:rPr>
            </w:pPr>
            <w:r>
              <w:rPr>
                <w:snapToGrid w:val="0"/>
              </w:rPr>
              <w:t>$101,033</w:t>
            </w:r>
          </w:p>
        </w:tc>
        <w:tc>
          <w:tcPr>
            <w:tcW w:w="2160" w:type="dxa"/>
          </w:tcPr>
          <w:p w:rsidR="00000000" w:rsidRDefault="00216019">
            <w:pPr>
              <w:widowControl w:val="0"/>
              <w:jc w:val="right"/>
              <w:rPr>
                <w:snapToGrid w:val="0"/>
              </w:rPr>
            </w:pPr>
            <w:r>
              <w:rPr>
                <w:snapToGrid w:val="0"/>
              </w:rPr>
              <w:t>$0</w:t>
            </w:r>
          </w:p>
        </w:tc>
      </w:tr>
      <w:tr w:rsidR="00000000">
        <w:tblPrEx>
          <w:tblCellMar>
            <w:top w:w="0" w:type="dxa"/>
            <w:bottom w:w="0" w:type="dxa"/>
          </w:tblCellMar>
        </w:tblPrEx>
        <w:tc>
          <w:tcPr>
            <w:tcW w:w="6084" w:type="dxa"/>
          </w:tcPr>
          <w:p w:rsidR="00000000" w:rsidRDefault="00216019">
            <w:pPr>
              <w:widowControl w:val="0"/>
              <w:rPr>
                <w:snapToGrid w:val="0"/>
              </w:rPr>
            </w:pPr>
          </w:p>
        </w:tc>
        <w:tc>
          <w:tcPr>
            <w:tcW w:w="1980" w:type="dxa"/>
          </w:tcPr>
          <w:p w:rsidR="00000000" w:rsidRDefault="00216019">
            <w:pPr>
              <w:widowControl w:val="0"/>
              <w:rPr>
                <w:snapToGrid w:val="0"/>
              </w:rPr>
            </w:pPr>
          </w:p>
        </w:tc>
        <w:tc>
          <w:tcPr>
            <w:tcW w:w="2160" w:type="dxa"/>
          </w:tcPr>
          <w:p w:rsidR="00000000" w:rsidRDefault="00216019">
            <w:pPr>
              <w:widowControl w:val="0"/>
              <w:rPr>
                <w:snapToGrid w:val="0"/>
              </w:rPr>
            </w:pPr>
          </w:p>
        </w:tc>
      </w:tr>
      <w:tr w:rsidR="00000000">
        <w:tblPrEx>
          <w:tblCellMar>
            <w:top w:w="0" w:type="dxa"/>
            <w:bottom w:w="0" w:type="dxa"/>
          </w:tblCellMar>
        </w:tblPrEx>
        <w:tc>
          <w:tcPr>
            <w:tcW w:w="6084" w:type="dxa"/>
          </w:tcPr>
          <w:p w:rsidR="00000000" w:rsidRDefault="00216019">
            <w:pPr>
              <w:widowControl w:val="0"/>
              <w:rPr>
                <w:snapToGrid w:val="0"/>
              </w:rPr>
            </w:pPr>
            <w:r>
              <w:rPr>
                <w:snapToGrid w:val="0"/>
              </w:rPr>
              <w:t xml:space="preserve">Outreach </w:t>
            </w:r>
          </w:p>
        </w:tc>
        <w:tc>
          <w:tcPr>
            <w:tcW w:w="1980" w:type="dxa"/>
          </w:tcPr>
          <w:p w:rsidR="00000000" w:rsidRDefault="00216019">
            <w:pPr>
              <w:widowControl w:val="0"/>
              <w:jc w:val="right"/>
              <w:rPr>
                <w:snapToGrid w:val="0"/>
              </w:rPr>
            </w:pPr>
            <w:r>
              <w:rPr>
                <w:snapToGrid w:val="0"/>
              </w:rPr>
              <w:t>$127,750</w:t>
            </w:r>
          </w:p>
        </w:tc>
        <w:tc>
          <w:tcPr>
            <w:tcW w:w="2160" w:type="dxa"/>
          </w:tcPr>
          <w:p w:rsidR="00000000" w:rsidRDefault="00216019">
            <w:pPr>
              <w:widowControl w:val="0"/>
              <w:jc w:val="right"/>
              <w:rPr>
                <w:snapToGrid w:val="0"/>
              </w:rPr>
            </w:pPr>
            <w:r>
              <w:rPr>
                <w:snapToGrid w:val="0"/>
              </w:rPr>
              <w:t>$0</w:t>
            </w:r>
          </w:p>
        </w:tc>
      </w:tr>
      <w:tr w:rsidR="00000000">
        <w:tblPrEx>
          <w:tblCellMar>
            <w:top w:w="0" w:type="dxa"/>
            <w:bottom w:w="0" w:type="dxa"/>
          </w:tblCellMar>
        </w:tblPrEx>
        <w:tc>
          <w:tcPr>
            <w:tcW w:w="6084" w:type="dxa"/>
          </w:tcPr>
          <w:p w:rsidR="00000000" w:rsidRDefault="00216019">
            <w:pPr>
              <w:widowControl w:val="0"/>
              <w:rPr>
                <w:snapToGrid w:val="0"/>
              </w:rPr>
            </w:pPr>
          </w:p>
        </w:tc>
        <w:tc>
          <w:tcPr>
            <w:tcW w:w="1980" w:type="dxa"/>
          </w:tcPr>
          <w:p w:rsidR="00000000" w:rsidRDefault="00216019">
            <w:pPr>
              <w:widowControl w:val="0"/>
              <w:rPr>
                <w:snapToGrid w:val="0"/>
              </w:rPr>
            </w:pPr>
          </w:p>
        </w:tc>
        <w:tc>
          <w:tcPr>
            <w:tcW w:w="2160" w:type="dxa"/>
          </w:tcPr>
          <w:p w:rsidR="00000000" w:rsidRDefault="00216019">
            <w:pPr>
              <w:widowControl w:val="0"/>
              <w:rPr>
                <w:snapToGrid w:val="0"/>
              </w:rPr>
            </w:pPr>
          </w:p>
        </w:tc>
      </w:tr>
      <w:tr w:rsidR="00000000">
        <w:tblPrEx>
          <w:tblCellMar>
            <w:top w:w="0" w:type="dxa"/>
            <w:bottom w:w="0" w:type="dxa"/>
          </w:tblCellMar>
        </w:tblPrEx>
        <w:tc>
          <w:tcPr>
            <w:tcW w:w="6084" w:type="dxa"/>
          </w:tcPr>
          <w:p w:rsidR="00000000" w:rsidRDefault="00216019">
            <w:pPr>
              <w:widowControl w:val="0"/>
              <w:rPr>
                <w:snapToGrid w:val="0"/>
              </w:rPr>
            </w:pPr>
            <w:r>
              <w:rPr>
                <w:snapToGrid w:val="0"/>
              </w:rPr>
              <w:t>HAWK-I administration</w:t>
            </w:r>
          </w:p>
        </w:tc>
        <w:tc>
          <w:tcPr>
            <w:tcW w:w="1980" w:type="dxa"/>
          </w:tcPr>
          <w:p w:rsidR="00000000" w:rsidRDefault="00216019">
            <w:pPr>
              <w:widowControl w:val="0"/>
              <w:jc w:val="right"/>
              <w:rPr>
                <w:snapToGrid w:val="0"/>
              </w:rPr>
            </w:pPr>
            <w:r>
              <w:rPr>
                <w:snapToGrid w:val="0"/>
              </w:rPr>
              <w:t>$484,396</w:t>
            </w:r>
          </w:p>
        </w:tc>
        <w:tc>
          <w:tcPr>
            <w:tcW w:w="2160" w:type="dxa"/>
          </w:tcPr>
          <w:p w:rsidR="00000000" w:rsidRDefault="00216019">
            <w:pPr>
              <w:widowControl w:val="0"/>
              <w:jc w:val="right"/>
              <w:rPr>
                <w:snapToGrid w:val="0"/>
              </w:rPr>
            </w:pPr>
            <w:r>
              <w:rPr>
                <w:snapToGrid w:val="0"/>
              </w:rPr>
              <w:t>$0</w:t>
            </w:r>
          </w:p>
        </w:tc>
      </w:tr>
      <w:tr w:rsidR="00000000">
        <w:tblPrEx>
          <w:tblCellMar>
            <w:top w:w="0" w:type="dxa"/>
            <w:bottom w:w="0" w:type="dxa"/>
          </w:tblCellMar>
        </w:tblPrEx>
        <w:tc>
          <w:tcPr>
            <w:tcW w:w="6084" w:type="dxa"/>
          </w:tcPr>
          <w:p w:rsidR="00000000" w:rsidRDefault="00216019">
            <w:pPr>
              <w:widowControl w:val="0"/>
              <w:rPr>
                <w:snapToGrid w:val="0"/>
              </w:rPr>
            </w:pPr>
          </w:p>
        </w:tc>
        <w:tc>
          <w:tcPr>
            <w:tcW w:w="1980" w:type="dxa"/>
          </w:tcPr>
          <w:p w:rsidR="00000000" w:rsidRDefault="00216019">
            <w:pPr>
              <w:widowControl w:val="0"/>
              <w:rPr>
                <w:snapToGrid w:val="0"/>
              </w:rPr>
            </w:pPr>
          </w:p>
        </w:tc>
        <w:tc>
          <w:tcPr>
            <w:tcW w:w="2160" w:type="dxa"/>
          </w:tcPr>
          <w:p w:rsidR="00000000" w:rsidRDefault="00216019">
            <w:pPr>
              <w:widowControl w:val="0"/>
              <w:rPr>
                <w:snapToGrid w:val="0"/>
              </w:rPr>
            </w:pPr>
          </w:p>
        </w:tc>
      </w:tr>
      <w:tr w:rsidR="00000000">
        <w:tblPrEx>
          <w:tblCellMar>
            <w:top w:w="0" w:type="dxa"/>
            <w:bottom w:w="0" w:type="dxa"/>
          </w:tblCellMar>
        </w:tblPrEx>
        <w:tc>
          <w:tcPr>
            <w:tcW w:w="6084" w:type="dxa"/>
          </w:tcPr>
          <w:p w:rsidR="00000000" w:rsidRDefault="00216019">
            <w:pPr>
              <w:widowControl w:val="0"/>
              <w:rPr>
                <w:snapToGrid w:val="0"/>
              </w:rPr>
            </w:pPr>
            <w:r>
              <w:rPr>
                <w:snapToGrid w:val="0"/>
              </w:rPr>
              <w:t>Earned interest from HAWK-I fund</w:t>
            </w:r>
          </w:p>
        </w:tc>
        <w:tc>
          <w:tcPr>
            <w:tcW w:w="1980" w:type="dxa"/>
          </w:tcPr>
          <w:p w:rsidR="00000000" w:rsidRDefault="00216019">
            <w:pPr>
              <w:widowControl w:val="0"/>
              <w:jc w:val="right"/>
              <w:rPr>
                <w:snapToGrid w:val="0"/>
              </w:rPr>
            </w:pPr>
            <w:r>
              <w:rPr>
                <w:snapToGrid w:val="0"/>
              </w:rPr>
              <w:t>$ -</w:t>
            </w:r>
          </w:p>
        </w:tc>
        <w:tc>
          <w:tcPr>
            <w:tcW w:w="2160" w:type="dxa"/>
          </w:tcPr>
          <w:p w:rsidR="00000000" w:rsidRDefault="00216019">
            <w:pPr>
              <w:widowControl w:val="0"/>
              <w:jc w:val="right"/>
              <w:rPr>
                <w:snapToGrid w:val="0"/>
              </w:rPr>
            </w:pPr>
            <w:r>
              <w:rPr>
                <w:snapToGrid w:val="0"/>
              </w:rPr>
              <w:t>$0</w:t>
            </w:r>
          </w:p>
        </w:tc>
      </w:tr>
      <w:tr w:rsidR="00000000">
        <w:tblPrEx>
          <w:tblCellMar>
            <w:top w:w="0" w:type="dxa"/>
            <w:bottom w:w="0" w:type="dxa"/>
          </w:tblCellMar>
        </w:tblPrEx>
        <w:tc>
          <w:tcPr>
            <w:tcW w:w="6084" w:type="dxa"/>
          </w:tcPr>
          <w:p w:rsidR="00000000" w:rsidRDefault="00216019">
            <w:pPr>
              <w:widowControl w:val="0"/>
              <w:rPr>
                <w:snapToGrid w:val="0"/>
              </w:rPr>
            </w:pPr>
          </w:p>
        </w:tc>
        <w:tc>
          <w:tcPr>
            <w:tcW w:w="1980" w:type="dxa"/>
          </w:tcPr>
          <w:p w:rsidR="00000000" w:rsidRDefault="00216019">
            <w:pPr>
              <w:widowControl w:val="0"/>
              <w:rPr>
                <w:snapToGrid w:val="0"/>
              </w:rPr>
            </w:pPr>
          </w:p>
        </w:tc>
        <w:tc>
          <w:tcPr>
            <w:tcW w:w="2160" w:type="dxa"/>
          </w:tcPr>
          <w:p w:rsidR="00000000" w:rsidRDefault="00216019">
            <w:pPr>
              <w:widowControl w:val="0"/>
              <w:rPr>
                <w:snapToGrid w:val="0"/>
              </w:rPr>
            </w:pPr>
          </w:p>
        </w:tc>
      </w:tr>
      <w:tr w:rsidR="00000000">
        <w:tblPrEx>
          <w:tblCellMar>
            <w:top w:w="0" w:type="dxa"/>
            <w:bottom w:w="0" w:type="dxa"/>
          </w:tblCellMar>
        </w:tblPrEx>
        <w:trPr>
          <w:trHeight w:val="270"/>
        </w:trPr>
        <w:tc>
          <w:tcPr>
            <w:tcW w:w="6084" w:type="dxa"/>
          </w:tcPr>
          <w:p w:rsidR="00000000" w:rsidRDefault="00216019">
            <w:pPr>
              <w:widowControl w:val="0"/>
              <w:rPr>
                <w:snapToGrid w:val="0"/>
              </w:rPr>
            </w:pPr>
            <w:r>
              <w:rPr>
                <w:snapToGrid w:val="0"/>
              </w:rPr>
              <w:t>Totals</w:t>
            </w:r>
          </w:p>
        </w:tc>
        <w:tc>
          <w:tcPr>
            <w:tcW w:w="1980" w:type="dxa"/>
            <w:tcBorders>
              <w:top w:val="single" w:sz="6" w:space="0" w:color="auto"/>
              <w:bottom w:val="double" w:sz="6" w:space="0" w:color="auto"/>
            </w:tcBorders>
          </w:tcPr>
          <w:p w:rsidR="00000000" w:rsidRDefault="00216019">
            <w:pPr>
              <w:widowControl w:val="0"/>
              <w:jc w:val="right"/>
              <w:rPr>
                <w:snapToGrid w:val="0"/>
              </w:rPr>
            </w:pPr>
            <w:r>
              <w:rPr>
                <w:snapToGrid w:val="0"/>
              </w:rPr>
              <w:t>$12,315,200</w:t>
            </w:r>
          </w:p>
        </w:tc>
        <w:tc>
          <w:tcPr>
            <w:tcW w:w="2160" w:type="dxa"/>
            <w:tcBorders>
              <w:top w:val="single" w:sz="6" w:space="0" w:color="auto"/>
              <w:bottom w:val="double" w:sz="6" w:space="0" w:color="auto"/>
            </w:tcBorders>
          </w:tcPr>
          <w:p w:rsidR="00000000" w:rsidRDefault="00216019">
            <w:pPr>
              <w:widowControl w:val="0"/>
              <w:jc w:val="right"/>
              <w:rPr>
                <w:snapToGrid w:val="0"/>
              </w:rPr>
            </w:pPr>
            <w:r>
              <w:rPr>
                <w:snapToGrid w:val="0"/>
              </w:rPr>
              <w:t>$659,297</w:t>
            </w:r>
          </w:p>
        </w:tc>
      </w:tr>
      <w:tr w:rsidR="00000000">
        <w:tblPrEx>
          <w:tblCellMar>
            <w:top w:w="0" w:type="dxa"/>
            <w:bottom w:w="0" w:type="dxa"/>
          </w:tblCellMar>
        </w:tblPrEx>
        <w:trPr>
          <w:trHeight w:val="270"/>
        </w:trPr>
        <w:tc>
          <w:tcPr>
            <w:tcW w:w="6084" w:type="dxa"/>
          </w:tcPr>
          <w:p w:rsidR="00000000" w:rsidRDefault="00216019">
            <w:pPr>
              <w:widowControl w:val="0"/>
              <w:rPr>
                <w:snapToGrid w:val="0"/>
              </w:rPr>
            </w:pPr>
          </w:p>
        </w:tc>
        <w:tc>
          <w:tcPr>
            <w:tcW w:w="1980" w:type="dxa"/>
          </w:tcPr>
          <w:p w:rsidR="00000000" w:rsidRDefault="00216019">
            <w:pPr>
              <w:widowControl w:val="0"/>
              <w:rPr>
                <w:snapToGrid w:val="0"/>
              </w:rPr>
            </w:pPr>
          </w:p>
        </w:tc>
        <w:tc>
          <w:tcPr>
            <w:tcW w:w="2160" w:type="dxa"/>
          </w:tcPr>
          <w:p w:rsidR="00000000" w:rsidRDefault="00216019">
            <w:pPr>
              <w:widowControl w:val="0"/>
              <w:rPr>
                <w:snapToGrid w:val="0"/>
              </w:rPr>
            </w:pPr>
          </w:p>
        </w:tc>
      </w:tr>
      <w:tr w:rsidR="00000000">
        <w:tblPrEx>
          <w:tblCellMar>
            <w:top w:w="0" w:type="dxa"/>
            <w:bottom w:w="0" w:type="dxa"/>
          </w:tblCellMar>
        </w:tblPrEx>
        <w:tc>
          <w:tcPr>
            <w:tcW w:w="6084" w:type="dxa"/>
          </w:tcPr>
          <w:p w:rsidR="00000000" w:rsidRDefault="00216019">
            <w:pPr>
              <w:widowControl w:val="0"/>
              <w:rPr>
                <w:snapToGrid w:val="0"/>
              </w:rPr>
            </w:pPr>
          </w:p>
        </w:tc>
        <w:tc>
          <w:tcPr>
            <w:tcW w:w="1980" w:type="dxa"/>
          </w:tcPr>
          <w:p w:rsidR="00000000" w:rsidRDefault="00216019">
            <w:pPr>
              <w:widowControl w:val="0"/>
              <w:rPr>
                <w:snapToGrid w:val="0"/>
              </w:rPr>
            </w:pPr>
          </w:p>
        </w:tc>
        <w:tc>
          <w:tcPr>
            <w:tcW w:w="2160" w:type="dxa"/>
          </w:tcPr>
          <w:p w:rsidR="00000000" w:rsidRDefault="00216019">
            <w:pPr>
              <w:widowControl w:val="0"/>
              <w:rPr>
                <w:snapToGrid w:val="0"/>
              </w:rPr>
            </w:pPr>
          </w:p>
        </w:tc>
      </w:tr>
      <w:tr w:rsidR="00000000">
        <w:tblPrEx>
          <w:tblCellMar>
            <w:top w:w="0" w:type="dxa"/>
            <w:bottom w:w="0" w:type="dxa"/>
          </w:tblCellMar>
        </w:tblPrEx>
        <w:tc>
          <w:tcPr>
            <w:tcW w:w="6084" w:type="dxa"/>
            <w:tcBorders>
              <w:top w:val="single" w:sz="6" w:space="0" w:color="auto"/>
              <w:left w:val="single" w:sz="6" w:space="0" w:color="auto"/>
              <w:bottom w:val="single" w:sz="6" w:space="0" w:color="auto"/>
            </w:tcBorders>
          </w:tcPr>
          <w:p w:rsidR="00000000" w:rsidRDefault="00216019">
            <w:pPr>
              <w:widowControl w:val="0"/>
              <w:jc w:val="center"/>
              <w:rPr>
                <w:snapToGrid w:val="0"/>
                <w:sz w:val="22"/>
              </w:rPr>
            </w:pPr>
            <w:r>
              <w:rPr>
                <w:snapToGrid w:val="0"/>
                <w:sz w:val="22"/>
              </w:rPr>
              <w:t>HAWK-I Trust Fund Balance (In State Dollars)</w:t>
            </w:r>
          </w:p>
        </w:tc>
        <w:tc>
          <w:tcPr>
            <w:tcW w:w="1980" w:type="dxa"/>
            <w:tcBorders>
              <w:top w:val="single" w:sz="6" w:space="0" w:color="auto"/>
              <w:bottom w:val="single" w:sz="6" w:space="0" w:color="auto"/>
            </w:tcBorders>
          </w:tcPr>
          <w:p w:rsidR="00000000" w:rsidRDefault="00216019">
            <w:pPr>
              <w:widowControl w:val="0"/>
              <w:jc w:val="center"/>
              <w:rPr>
                <w:snapToGrid w:val="0"/>
              </w:rPr>
            </w:pPr>
          </w:p>
        </w:tc>
        <w:tc>
          <w:tcPr>
            <w:tcW w:w="2160" w:type="dxa"/>
            <w:tcBorders>
              <w:top w:val="single" w:sz="6" w:space="0" w:color="auto"/>
              <w:bottom w:val="single" w:sz="6" w:space="0" w:color="auto"/>
              <w:right w:val="single" w:sz="6" w:space="0" w:color="auto"/>
            </w:tcBorders>
          </w:tcPr>
          <w:p w:rsidR="00000000" w:rsidRDefault="00216019">
            <w:pPr>
              <w:widowControl w:val="0"/>
              <w:jc w:val="center"/>
              <w:rPr>
                <w:snapToGrid w:val="0"/>
              </w:rPr>
            </w:pPr>
          </w:p>
        </w:tc>
      </w:tr>
      <w:tr w:rsidR="00000000">
        <w:tblPrEx>
          <w:tblCellMar>
            <w:top w:w="0" w:type="dxa"/>
            <w:bottom w:w="0" w:type="dxa"/>
          </w:tblCellMar>
        </w:tblPrEx>
        <w:trPr>
          <w:cantSplit/>
        </w:trPr>
        <w:tc>
          <w:tcPr>
            <w:tcW w:w="8064" w:type="dxa"/>
            <w:gridSpan w:val="2"/>
            <w:tcBorders>
              <w:top w:val="single" w:sz="6" w:space="0" w:color="auto"/>
            </w:tcBorders>
          </w:tcPr>
          <w:p w:rsidR="00000000" w:rsidRDefault="00216019">
            <w:pPr>
              <w:widowControl w:val="0"/>
              <w:rPr>
                <w:snapToGrid w:val="0"/>
              </w:rPr>
            </w:pPr>
            <w:r>
              <w:rPr>
                <w:snapToGrid w:val="0"/>
                <w:sz w:val="22"/>
              </w:rPr>
              <w:t xml:space="preserve">Amount in HAWK-I Trust Fund held in reserve at FY 01 year end  </w:t>
            </w:r>
          </w:p>
        </w:tc>
        <w:tc>
          <w:tcPr>
            <w:tcW w:w="2160" w:type="dxa"/>
          </w:tcPr>
          <w:p w:rsidR="00000000" w:rsidRDefault="00216019">
            <w:pPr>
              <w:widowControl w:val="0"/>
              <w:jc w:val="right"/>
              <w:rPr>
                <w:snapToGrid w:val="0"/>
              </w:rPr>
            </w:pPr>
            <w:r>
              <w:rPr>
                <w:snapToGrid w:val="0"/>
              </w:rPr>
              <w:t>$2,823,670</w:t>
            </w:r>
          </w:p>
        </w:tc>
      </w:tr>
      <w:tr w:rsidR="00000000">
        <w:tblPrEx>
          <w:tblCellMar>
            <w:top w:w="0" w:type="dxa"/>
            <w:bottom w:w="0" w:type="dxa"/>
          </w:tblCellMar>
        </w:tblPrEx>
        <w:tc>
          <w:tcPr>
            <w:tcW w:w="6084" w:type="dxa"/>
          </w:tcPr>
          <w:p w:rsidR="00000000" w:rsidRDefault="00216019">
            <w:pPr>
              <w:widowControl w:val="0"/>
              <w:rPr>
                <w:snapToGrid w:val="0"/>
              </w:rPr>
            </w:pPr>
          </w:p>
        </w:tc>
        <w:tc>
          <w:tcPr>
            <w:tcW w:w="1980" w:type="dxa"/>
          </w:tcPr>
          <w:p w:rsidR="00000000" w:rsidRDefault="00216019">
            <w:pPr>
              <w:widowControl w:val="0"/>
              <w:rPr>
                <w:snapToGrid w:val="0"/>
              </w:rPr>
            </w:pPr>
          </w:p>
        </w:tc>
        <w:tc>
          <w:tcPr>
            <w:tcW w:w="2160" w:type="dxa"/>
          </w:tcPr>
          <w:p w:rsidR="00000000" w:rsidRDefault="00216019">
            <w:pPr>
              <w:widowControl w:val="0"/>
              <w:rPr>
                <w:snapToGrid w:val="0"/>
              </w:rPr>
            </w:pPr>
          </w:p>
        </w:tc>
      </w:tr>
    </w:tbl>
    <w:p w:rsidR="00000000" w:rsidRDefault="00216019">
      <w:pPr>
        <w:widowControl w:val="0"/>
        <w:rPr>
          <w:snapToGrid w:val="0"/>
        </w:rPr>
      </w:pPr>
    </w:p>
    <w:p w:rsidR="00000000" w:rsidRDefault="00216019"/>
    <w:p w:rsidR="00000000" w:rsidRDefault="00216019"/>
    <w:p w:rsidR="00000000" w:rsidRDefault="00216019">
      <w:pPr>
        <w:sectPr w:rsidR="00000000">
          <w:pgSz w:w="12240" w:h="15840" w:code="1"/>
          <w:pgMar w:top="1440" w:right="1440" w:bottom="1440" w:left="1440" w:header="720" w:footer="720" w:gutter="0"/>
          <w:pgNumType w:start="14"/>
          <w:cols w:space="720"/>
          <w:titlePg/>
        </w:sectPr>
      </w:pPr>
    </w:p>
    <w:p w:rsidR="00000000" w:rsidRDefault="00216019">
      <w:pPr>
        <w:jc w:val="center"/>
        <w:rPr>
          <w:i/>
          <w:sz w:val="36"/>
        </w:rPr>
      </w:pPr>
    </w:p>
    <w:p w:rsidR="00000000" w:rsidRDefault="00216019">
      <w:pPr>
        <w:ind w:left="1980" w:hanging="1980"/>
        <w:jc w:val="center"/>
        <w:rPr>
          <w:i/>
          <w:sz w:val="36"/>
        </w:rPr>
      </w:pPr>
    </w:p>
    <w:p w:rsidR="00000000" w:rsidRDefault="00216019">
      <w:pPr>
        <w:ind w:left="1980" w:hanging="1980"/>
        <w:jc w:val="center"/>
        <w:rPr>
          <w:i/>
          <w:sz w:val="36"/>
        </w:rPr>
      </w:pPr>
    </w:p>
    <w:p w:rsidR="00000000" w:rsidRDefault="00216019">
      <w:pPr>
        <w:ind w:left="1980" w:hanging="1980"/>
        <w:jc w:val="center"/>
        <w:rPr>
          <w:i/>
          <w:sz w:val="36"/>
        </w:rPr>
      </w:pPr>
    </w:p>
    <w:p w:rsidR="00000000" w:rsidRDefault="00216019">
      <w:pPr>
        <w:ind w:left="1980" w:hanging="1980"/>
        <w:jc w:val="center"/>
        <w:rPr>
          <w:i/>
          <w:sz w:val="36"/>
        </w:rPr>
      </w:pPr>
    </w:p>
    <w:p w:rsidR="00000000" w:rsidRDefault="00216019">
      <w:pPr>
        <w:ind w:left="1980" w:hanging="1980"/>
        <w:jc w:val="center"/>
        <w:rPr>
          <w:i/>
          <w:sz w:val="36"/>
        </w:rPr>
      </w:pPr>
    </w:p>
    <w:p w:rsidR="00000000" w:rsidRDefault="00216019">
      <w:pPr>
        <w:ind w:left="1980" w:hanging="1980"/>
        <w:jc w:val="center"/>
        <w:rPr>
          <w:i/>
          <w:sz w:val="36"/>
        </w:rPr>
      </w:pPr>
    </w:p>
    <w:p w:rsidR="00000000" w:rsidRDefault="00216019">
      <w:pPr>
        <w:ind w:left="1980" w:hanging="1980"/>
        <w:jc w:val="center"/>
        <w:rPr>
          <w:i/>
          <w:sz w:val="36"/>
        </w:rPr>
      </w:pPr>
    </w:p>
    <w:p w:rsidR="00000000" w:rsidRDefault="00216019">
      <w:pPr>
        <w:ind w:left="1980" w:hanging="1980"/>
        <w:jc w:val="center"/>
        <w:rPr>
          <w:i/>
          <w:sz w:val="36"/>
        </w:rPr>
      </w:pPr>
    </w:p>
    <w:p w:rsidR="00000000" w:rsidRDefault="00216019">
      <w:pPr>
        <w:ind w:left="1980" w:hanging="1980"/>
        <w:jc w:val="center"/>
        <w:rPr>
          <w:i/>
          <w:sz w:val="36"/>
        </w:rPr>
      </w:pPr>
    </w:p>
    <w:p w:rsidR="00000000" w:rsidRDefault="00216019">
      <w:pPr>
        <w:ind w:left="1980" w:hanging="1980"/>
        <w:jc w:val="center"/>
        <w:rPr>
          <w:i/>
          <w:sz w:val="36"/>
        </w:rPr>
      </w:pPr>
    </w:p>
    <w:p w:rsidR="00000000" w:rsidRDefault="00216019">
      <w:pPr>
        <w:ind w:left="1980" w:hanging="1980"/>
        <w:jc w:val="center"/>
        <w:rPr>
          <w:i/>
          <w:sz w:val="36"/>
        </w:rPr>
      </w:pPr>
    </w:p>
    <w:p w:rsidR="00000000" w:rsidRDefault="00216019">
      <w:pPr>
        <w:ind w:left="720" w:hanging="720"/>
        <w:rPr>
          <w:i/>
          <w:sz w:val="36"/>
        </w:rPr>
      </w:pPr>
      <w:r>
        <w:rPr>
          <w:i/>
          <w:sz w:val="36"/>
        </w:rPr>
        <w:t>Attachment 4:  Organizatio</w:t>
      </w:r>
      <w:r>
        <w:rPr>
          <w:i/>
          <w:sz w:val="36"/>
        </w:rPr>
        <w:t xml:space="preserve">n of the </w:t>
      </w:r>
      <w:r>
        <w:rPr>
          <w:b/>
          <w:i/>
          <w:sz w:val="36"/>
        </w:rPr>
        <w:t>hawk-i</w:t>
      </w:r>
      <w:r>
        <w:rPr>
          <w:i/>
          <w:sz w:val="36"/>
        </w:rPr>
        <w:t xml:space="preserve"> Program Chart, History of Participation of Children in Medicaid and </w:t>
      </w:r>
      <w:r>
        <w:rPr>
          <w:b/>
          <w:i/>
          <w:sz w:val="36"/>
        </w:rPr>
        <w:t>hawk-i</w:t>
      </w:r>
      <w:r>
        <w:rPr>
          <w:i/>
          <w:sz w:val="36"/>
        </w:rPr>
        <w:t xml:space="preserve">, Iowa’s SCHIP Program Combination Medicaid Expansion and </w:t>
      </w:r>
      <w:r>
        <w:rPr>
          <w:b/>
          <w:i/>
          <w:sz w:val="36"/>
        </w:rPr>
        <w:t>hawk-</w:t>
      </w:r>
      <w:r>
        <w:rPr>
          <w:i/>
          <w:sz w:val="36"/>
        </w:rPr>
        <w:t>i, Enrollee Demographic Summary by Federal Poverty Level, Enrollee Demographic Summary by Age, Enrollee</w:t>
      </w:r>
      <w:r>
        <w:rPr>
          <w:i/>
          <w:sz w:val="36"/>
        </w:rPr>
        <w:t xml:space="preserve"> Demographic Summary by Gender</w:t>
      </w:r>
    </w:p>
    <w:p w:rsidR="00000000" w:rsidRDefault="00216019">
      <w:pPr>
        <w:ind w:left="720" w:hanging="720"/>
        <w:jc w:val="center"/>
        <w:rPr>
          <w:b/>
          <w:i/>
          <w:sz w:val="36"/>
        </w:rPr>
      </w:pPr>
      <w:r>
        <w:rPr>
          <w:b/>
          <w:i/>
          <w:sz w:val="36"/>
        </w:rPr>
        <w:t>***</w:t>
      </w:r>
    </w:p>
    <w:p w:rsidR="00000000" w:rsidRDefault="00216019">
      <w:pPr>
        <w:ind w:left="720" w:hanging="720"/>
        <w:jc w:val="center"/>
        <w:rPr>
          <w:i/>
          <w:sz w:val="36"/>
        </w:rPr>
        <w:sectPr w:rsidR="00000000">
          <w:pgSz w:w="12240" w:h="15840" w:code="1"/>
          <w:pgMar w:top="1440" w:right="1440" w:bottom="1440" w:left="1440" w:header="720" w:footer="720" w:gutter="0"/>
          <w:pgNumType w:start="14"/>
          <w:cols w:space="720"/>
          <w:titlePg/>
        </w:sectPr>
      </w:pPr>
    </w:p>
    <w:p w:rsidR="00000000" w:rsidRDefault="00216019">
      <w:pPr>
        <w:jc w:val="center"/>
        <w:rPr>
          <w:sz w:val="28"/>
        </w:rPr>
      </w:pPr>
      <w:r>
        <w:rPr>
          <w:sz w:val="28"/>
        </w:rPr>
        <w:lastRenderedPageBreak/>
        <w:t xml:space="preserve">Organization of the </w:t>
      </w:r>
      <w:r>
        <w:rPr>
          <w:b/>
          <w:i/>
          <w:sz w:val="28"/>
        </w:rPr>
        <w:t xml:space="preserve">hawk-i </w:t>
      </w:r>
      <w:r>
        <w:rPr>
          <w:sz w:val="28"/>
        </w:rPr>
        <w:t>Program</w:t>
      </w:r>
    </w:p>
    <w:p w:rsidR="00000000" w:rsidRDefault="00216019">
      <w:pPr>
        <w:jc w:val="center"/>
        <w:rPr>
          <w:sz w:val="28"/>
        </w:rPr>
      </w:pPr>
    </w:p>
    <w:p w:rsidR="00000000" w:rsidRDefault="00216019">
      <w:pPr>
        <w:jc w:val="center"/>
        <w:rPr>
          <w:sz w:val="28"/>
        </w:rPr>
      </w:pPr>
    </w:p>
    <w:p w:rsidR="00000000" w:rsidRDefault="00216019">
      <w:pPr>
        <w:jc w:val="center"/>
        <w:rPr>
          <w:sz w:val="28"/>
        </w:rPr>
      </w:pPr>
      <w:r>
        <w:rPr>
          <w:noProof/>
        </w:rPr>
        <w:pict>
          <v:rect id="_x0000_s2031" style="position:absolute;left:0;text-align:left;margin-left:100.8pt;margin-top:15.1pt;width:172.8pt;height:36pt;z-index:251566080" o:allowincell="f" strokeweight="3pt">
            <v:textbox inset="0,0,0,0">
              <w:txbxContent>
                <w:p w:rsidR="00000000" w:rsidRDefault="00216019">
                  <w:pPr>
                    <w:jc w:val="center"/>
                    <w:rPr>
                      <w:b/>
                    </w:rPr>
                  </w:pPr>
                  <w:r>
                    <w:rPr>
                      <w:b/>
                    </w:rPr>
                    <w:t>U.S. Department of Health &amp; Human Services</w:t>
                  </w:r>
                </w:p>
              </w:txbxContent>
            </v:textbox>
          </v:rect>
        </w:pict>
      </w:r>
    </w:p>
    <w:p w:rsidR="00000000" w:rsidRDefault="00216019">
      <w:pPr>
        <w:jc w:val="center"/>
        <w:rPr>
          <w:sz w:val="28"/>
        </w:rPr>
      </w:pPr>
    </w:p>
    <w:p w:rsidR="00000000" w:rsidRDefault="00216019">
      <w:pPr>
        <w:jc w:val="center"/>
        <w:rPr>
          <w:sz w:val="28"/>
        </w:rPr>
      </w:pPr>
    </w:p>
    <w:p w:rsidR="00000000" w:rsidRDefault="00216019">
      <w:pPr>
        <w:rPr>
          <w:sz w:val="28"/>
        </w:rPr>
      </w:pPr>
      <w:r>
        <w:rPr>
          <w:noProof/>
        </w:rPr>
        <w:pict>
          <v:line id="_x0000_s2032" style="position:absolute;z-index:251567104" from="3in,1.45pt" to="3in,116.65pt" o:allowincell="f" strokeweight="2.25pt"/>
        </w:pict>
      </w:r>
    </w:p>
    <w:p w:rsidR="00000000" w:rsidRDefault="00216019">
      <w:pPr>
        <w:rPr>
          <w:sz w:val="28"/>
        </w:rPr>
      </w:pPr>
    </w:p>
    <w:p w:rsidR="00000000" w:rsidRDefault="00216019">
      <w:pPr>
        <w:rPr>
          <w:sz w:val="28"/>
        </w:rPr>
      </w:pPr>
      <w:r>
        <w:rPr>
          <w:noProof/>
        </w:rPr>
        <w:pict>
          <v:rect id="_x0000_s2019" style="position:absolute;margin-left:439.2pt;margin-top:10.8pt;width:180.05pt;height:36.7pt;z-index:251553792" o:allowincell="f" filled="f" strokecolor="#9cf" strokeweight="2pt">
            <v:textbox inset="0,0,0,0">
              <w:txbxContent>
                <w:p w:rsidR="00000000" w:rsidRDefault="00216019">
                  <w:pPr>
                    <w:jc w:val="center"/>
                    <w:rPr>
                      <w:b/>
                      <w:sz w:val="28"/>
                    </w:rPr>
                  </w:pPr>
                  <w:r>
                    <w:rPr>
                      <w:b/>
                      <w:sz w:val="28"/>
                    </w:rPr>
                    <w:t>O U T R E A C H</w:t>
                  </w:r>
                </w:p>
                <w:p w:rsidR="00000000" w:rsidRDefault="00216019">
                  <w:pPr>
                    <w:jc w:val="center"/>
                    <w:rPr>
                      <w:b/>
                      <w:sz w:val="28"/>
                    </w:rPr>
                  </w:pPr>
                  <w:r>
                    <w:rPr>
                      <w:b/>
                      <w:sz w:val="28"/>
                    </w:rPr>
                    <w:t>(IDPH)</w:t>
                  </w:r>
                </w:p>
              </w:txbxContent>
            </v:textbox>
          </v:rect>
        </w:pict>
      </w:r>
    </w:p>
    <w:p w:rsidR="00000000" w:rsidRDefault="00216019">
      <w:pPr>
        <w:rPr>
          <w:sz w:val="28"/>
        </w:rPr>
      </w:pPr>
      <w:r>
        <w:rPr>
          <w:noProof/>
        </w:rPr>
        <w:pict>
          <v:line id="_x0000_s2026" style="position:absolute;z-index:251560960" from="273.6pt,1.45pt" to="439.2pt,1.45pt" o:allowincell="f" strokecolor="red" strokeweight="2.25pt"/>
        </w:pict>
      </w:r>
      <w:r>
        <w:rPr>
          <w:noProof/>
        </w:rPr>
        <w:pict>
          <v:line id="_x0000_s2025" style="position:absolute;z-index:251559936" from="273.6pt,1.45pt" to="273.6pt,66.25pt" o:allowincell="f" strokecolor="red" strokeweight="2.25pt"/>
        </w:pict>
      </w:r>
    </w:p>
    <w:p w:rsidR="00000000" w:rsidRDefault="00216019">
      <w:pPr>
        <w:pStyle w:val="Footer"/>
        <w:tabs>
          <w:tab w:val="clear" w:pos="4320"/>
          <w:tab w:val="clear" w:pos="8640"/>
        </w:tabs>
        <w:rPr>
          <w:noProof/>
          <w:sz w:val="28"/>
        </w:rPr>
      </w:pPr>
      <w:r>
        <w:rPr>
          <w:noProof/>
        </w:rPr>
        <w:pict>
          <v:rect id="_x0000_s2036" style="position:absolute;margin-left:403.2pt;margin-top:7.2pt;width:64.8pt;height:28.8pt;z-index:251570176" o:allowincell="f" strokecolor="blue">
            <v:textbox inset="0,0,0,0">
              <w:txbxContent>
                <w:p w:rsidR="00000000" w:rsidRDefault="00216019">
                  <w:pPr>
                    <w:pStyle w:val="Heading6"/>
                  </w:pPr>
                  <w:r>
                    <w:t>CK/CKF</w:t>
                  </w:r>
                </w:p>
              </w:txbxContent>
            </v:textbox>
          </v:rect>
        </w:pict>
      </w:r>
      <w:r>
        <w:rPr>
          <w:noProof/>
        </w:rPr>
        <w:pict>
          <v:line id="_x0000_s2023" style="position:absolute;z-index:251557888" from="612pt,14.4pt" to="612pt,64.1pt" o:allowincell="f" strokecolor="#9cf" strokeweight="2.25pt"/>
        </w:pict>
      </w:r>
      <w:r>
        <w:rPr>
          <w:noProof/>
        </w:rPr>
        <w:pict>
          <v:line id="_x0000_s2009" style="position:absolute;z-index:251543552" from="496.8pt,14.4pt" to="496.8pt,42.5pt" o:allowincell="f" strokecolor="#9cf" strokeweight="2.25pt"/>
        </w:pict>
      </w:r>
    </w:p>
    <w:p w:rsidR="00000000" w:rsidRDefault="00216019">
      <w:pPr>
        <w:pStyle w:val="Footer"/>
        <w:tabs>
          <w:tab w:val="clear" w:pos="4320"/>
          <w:tab w:val="clear" w:pos="8640"/>
        </w:tabs>
        <w:rPr>
          <w:noProof/>
          <w:sz w:val="28"/>
        </w:rPr>
      </w:pPr>
    </w:p>
    <w:p w:rsidR="00000000" w:rsidRDefault="00216019">
      <w:pPr>
        <w:rPr>
          <w:sz w:val="28"/>
        </w:rPr>
      </w:pPr>
      <w:r>
        <w:rPr>
          <w:noProof/>
        </w:rPr>
        <w:pict>
          <v:rect id="_x0000_s2002" style="position:absolute;margin-left:352.8pt;margin-top:9.35pt;width:216.05pt;height:86.4pt;z-index:251536384" o:allowincell="f" filled="f" strokecolor="#9cf" strokeweight="2pt">
            <v:textbox style="mso-next-textbox:#_x0000_s2002" inset="0,0,0,0">
              <w:txbxContent>
                <w:p w:rsidR="00000000" w:rsidRDefault="00216019">
                  <w:pPr>
                    <w:jc w:val="center"/>
                    <w:rPr>
                      <w:color w:val="000000"/>
                      <w:sz w:val="28"/>
                    </w:rPr>
                  </w:pPr>
                </w:p>
                <w:p w:rsidR="00000000" w:rsidRDefault="00216019">
                  <w:pPr>
                    <w:jc w:val="center"/>
                    <w:rPr>
                      <w:b/>
                      <w:color w:val="000000"/>
                      <w:sz w:val="28"/>
                    </w:rPr>
                  </w:pPr>
                  <w:r>
                    <w:rPr>
                      <w:b/>
                      <w:color w:val="000000"/>
                      <w:sz w:val="28"/>
                    </w:rPr>
                    <w:t>Third Party Administrator</w:t>
                  </w:r>
                  <w:r>
                    <w:rPr>
                      <w:b/>
                      <w:color w:val="000000"/>
                      <w:sz w:val="28"/>
                    </w:rPr>
                    <w:t xml:space="preserve"> (TPA)</w:t>
                  </w:r>
                </w:p>
                <w:p w:rsidR="00000000" w:rsidRDefault="00216019">
                  <w:pPr>
                    <w:pStyle w:val="Heading1"/>
                  </w:pPr>
                  <w:r>
                    <w:t>MAXIMUS</w:t>
                  </w:r>
                </w:p>
                <w:p w:rsidR="00000000" w:rsidRDefault="00216019">
                  <w:pPr>
                    <w:pStyle w:val="Heading1"/>
                  </w:pPr>
                </w:p>
              </w:txbxContent>
            </v:textbox>
          </v:rect>
        </w:pict>
      </w:r>
      <w:r>
        <w:rPr>
          <w:noProof/>
        </w:rPr>
        <w:pict>
          <v:rect id="_x0000_s2010" style="position:absolute;margin-left:-14.4pt;margin-top:11.7pt;width:115.2pt;height:165.45pt;z-index:251544576" o:allowincell="f" fillcolor="#e5e5e5" strokeweight="2.25pt">
            <v:textbox style="mso-next-textbox:#_x0000_s2010" inset="0,0,0,0">
              <w:txbxContent>
                <w:p w:rsidR="00000000" w:rsidRDefault="00216019">
                  <w:pPr>
                    <w:shd w:val="solid" w:color="FFFFFF" w:fill="auto"/>
                    <w:jc w:val="center"/>
                    <w:rPr>
                      <w:b/>
                      <w:color w:val="000000"/>
                    </w:rPr>
                  </w:pPr>
                  <w:r>
                    <w:rPr>
                      <w:b/>
                      <w:i/>
                      <w:color w:val="000000"/>
                    </w:rPr>
                    <w:t xml:space="preserve">hawk-i </w:t>
                  </w:r>
                  <w:r>
                    <w:rPr>
                      <w:b/>
                      <w:color w:val="000000"/>
                    </w:rPr>
                    <w:t>B</w:t>
                  </w:r>
                  <w:r>
                    <w:rPr>
                      <w:b/>
                      <w:color w:val="000000"/>
                    </w:rPr>
                    <w:t>oard</w:t>
                  </w:r>
                </w:p>
                <w:p w:rsidR="00000000" w:rsidRDefault="00216019">
                  <w:pPr>
                    <w:shd w:val="solid" w:color="FFFFFF" w:fill="auto"/>
                    <w:jc w:val="center"/>
                    <w:rPr>
                      <w:b/>
                      <w:color w:val="000000"/>
                    </w:rPr>
                  </w:pPr>
                </w:p>
                <w:p w:rsidR="00000000" w:rsidRDefault="00216019" w:rsidP="00216019">
                  <w:pPr>
                    <w:numPr>
                      <w:ilvl w:val="0"/>
                      <w:numId w:val="30"/>
                    </w:numPr>
                    <w:shd w:val="solid" w:color="FFFFFF" w:fill="auto"/>
                    <w:rPr>
                      <w:b/>
                      <w:color w:val="000000"/>
                      <w:sz w:val="16"/>
                    </w:rPr>
                  </w:pPr>
                  <w:r>
                    <w:rPr>
                      <w:b/>
                      <w:color w:val="000000"/>
                      <w:sz w:val="16"/>
                    </w:rPr>
                    <w:t>Mary Mincer Hansen</w:t>
                  </w:r>
                </w:p>
                <w:p w:rsidR="00000000" w:rsidRDefault="00216019" w:rsidP="00216019">
                  <w:pPr>
                    <w:numPr>
                      <w:ilvl w:val="0"/>
                      <w:numId w:val="30"/>
                    </w:numPr>
                    <w:shd w:val="solid" w:color="FFFFFF" w:fill="auto"/>
                    <w:rPr>
                      <w:b/>
                      <w:color w:val="000000"/>
                      <w:sz w:val="16"/>
                    </w:rPr>
                  </w:pPr>
                  <w:r>
                    <w:rPr>
                      <w:b/>
                      <w:color w:val="000000"/>
                      <w:sz w:val="16"/>
                    </w:rPr>
                    <w:t>Eldon Huston, Chair</w:t>
                  </w:r>
                </w:p>
                <w:p w:rsidR="00000000" w:rsidRDefault="00216019" w:rsidP="00216019">
                  <w:pPr>
                    <w:numPr>
                      <w:ilvl w:val="0"/>
                      <w:numId w:val="30"/>
                    </w:numPr>
                    <w:shd w:val="solid" w:color="FFFFFF" w:fill="auto"/>
                    <w:rPr>
                      <w:b/>
                      <w:color w:val="000000"/>
                      <w:sz w:val="16"/>
                    </w:rPr>
                  </w:pPr>
                  <w:r>
                    <w:rPr>
                      <w:b/>
                      <w:color w:val="000000"/>
                      <w:sz w:val="16"/>
                    </w:rPr>
                    <w:t>Jim Yeast</w:t>
                  </w:r>
                </w:p>
                <w:p w:rsidR="00000000" w:rsidRDefault="00216019" w:rsidP="00216019">
                  <w:pPr>
                    <w:numPr>
                      <w:ilvl w:val="0"/>
                      <w:numId w:val="30"/>
                    </w:numPr>
                    <w:shd w:val="solid" w:color="FFFFFF" w:fill="auto"/>
                    <w:rPr>
                      <w:b/>
                      <w:color w:val="000000"/>
                      <w:sz w:val="16"/>
                    </w:rPr>
                  </w:pPr>
                  <w:r>
                    <w:rPr>
                      <w:b/>
                      <w:color w:val="000000"/>
                      <w:sz w:val="16"/>
                    </w:rPr>
                    <w:t>Wanda Wyatt-Hardwick</w:t>
                  </w:r>
                </w:p>
                <w:p w:rsidR="00000000" w:rsidRDefault="00216019" w:rsidP="00216019">
                  <w:pPr>
                    <w:numPr>
                      <w:ilvl w:val="0"/>
                      <w:numId w:val="30"/>
                    </w:numPr>
                    <w:shd w:val="solid" w:color="FFFFFF" w:fill="auto"/>
                    <w:rPr>
                      <w:b/>
                      <w:color w:val="000000"/>
                      <w:sz w:val="16"/>
                    </w:rPr>
                  </w:pPr>
                  <w:r>
                    <w:rPr>
                      <w:b/>
                      <w:color w:val="000000"/>
                      <w:sz w:val="16"/>
                    </w:rPr>
                    <w:t>Susan Salter</w:t>
                  </w:r>
                </w:p>
                <w:p w:rsidR="00000000" w:rsidRDefault="00216019" w:rsidP="00216019">
                  <w:pPr>
                    <w:numPr>
                      <w:ilvl w:val="0"/>
                      <w:numId w:val="30"/>
                    </w:numPr>
                    <w:shd w:val="solid" w:color="FFFFFF" w:fill="auto"/>
                    <w:rPr>
                      <w:b/>
                      <w:color w:val="000000"/>
                      <w:sz w:val="16"/>
                    </w:rPr>
                  </w:pPr>
                  <w:r>
                    <w:rPr>
                      <w:b/>
                      <w:color w:val="000000"/>
                      <w:sz w:val="16"/>
                    </w:rPr>
                    <w:t>Ted Stilwill</w:t>
                  </w:r>
                </w:p>
                <w:p w:rsidR="00000000" w:rsidRDefault="00216019" w:rsidP="00216019">
                  <w:pPr>
                    <w:numPr>
                      <w:ilvl w:val="0"/>
                      <w:numId w:val="30"/>
                    </w:numPr>
                    <w:shd w:val="solid" w:color="FFFFFF" w:fill="auto"/>
                    <w:rPr>
                      <w:b/>
                      <w:color w:val="000000"/>
                      <w:sz w:val="16"/>
                    </w:rPr>
                  </w:pPr>
                  <w:r>
                    <w:rPr>
                      <w:b/>
                      <w:color w:val="000000"/>
                      <w:sz w:val="16"/>
                    </w:rPr>
                    <w:t>Terri Vaughan, Vice Chair</w:t>
                  </w:r>
                </w:p>
                <w:p w:rsidR="00000000" w:rsidRDefault="00216019">
                  <w:pPr>
                    <w:numPr>
                      <w:ilvl w:val="12"/>
                      <w:numId w:val="0"/>
                    </w:numPr>
                    <w:shd w:val="solid" w:color="FFFFFF" w:fill="auto"/>
                    <w:ind w:left="360" w:hanging="360"/>
                    <w:rPr>
                      <w:b/>
                      <w:color w:val="000000"/>
                      <w:sz w:val="16"/>
                    </w:rPr>
                  </w:pPr>
                </w:p>
                <w:p w:rsidR="00000000" w:rsidRDefault="00216019">
                  <w:pPr>
                    <w:numPr>
                      <w:ilvl w:val="12"/>
                      <w:numId w:val="0"/>
                    </w:numPr>
                    <w:shd w:val="solid" w:color="FFFFFF" w:fill="auto"/>
                    <w:ind w:left="360" w:hanging="360"/>
                    <w:rPr>
                      <w:b/>
                      <w:color w:val="000000"/>
                      <w:sz w:val="16"/>
                    </w:rPr>
                  </w:pPr>
                  <w:r>
                    <w:rPr>
                      <w:b/>
                      <w:color w:val="000000"/>
                      <w:sz w:val="16"/>
                      <w:u w:val="single"/>
                    </w:rPr>
                    <w:t>Ex Officio Members</w:t>
                  </w:r>
                </w:p>
                <w:p w:rsidR="00000000" w:rsidRDefault="00216019" w:rsidP="00216019">
                  <w:pPr>
                    <w:numPr>
                      <w:ilvl w:val="0"/>
                      <w:numId w:val="30"/>
                    </w:numPr>
                    <w:shd w:val="solid" w:color="FFFFFF" w:fill="auto"/>
                    <w:rPr>
                      <w:b/>
                      <w:color w:val="000000"/>
                      <w:sz w:val="16"/>
                    </w:rPr>
                  </w:pPr>
                  <w:r>
                    <w:rPr>
                      <w:b/>
                      <w:color w:val="000000"/>
                      <w:sz w:val="16"/>
                    </w:rPr>
                    <w:t>Senator Amanda Ragan</w:t>
                  </w:r>
                </w:p>
                <w:p w:rsidR="00000000" w:rsidRDefault="00216019" w:rsidP="00216019">
                  <w:pPr>
                    <w:numPr>
                      <w:ilvl w:val="0"/>
                      <w:numId w:val="30"/>
                    </w:numPr>
                    <w:shd w:val="solid" w:color="FFFFFF" w:fill="auto"/>
                    <w:rPr>
                      <w:b/>
                      <w:color w:val="000000"/>
                      <w:sz w:val="16"/>
                    </w:rPr>
                  </w:pPr>
                  <w:r>
                    <w:rPr>
                      <w:b/>
                      <w:color w:val="000000"/>
                      <w:sz w:val="16"/>
                    </w:rPr>
                    <w:t>Rep.  Gerald Jones</w:t>
                  </w:r>
                </w:p>
                <w:p w:rsidR="00000000" w:rsidRDefault="00216019" w:rsidP="00216019">
                  <w:pPr>
                    <w:numPr>
                      <w:ilvl w:val="0"/>
                      <w:numId w:val="30"/>
                    </w:numPr>
                    <w:shd w:val="solid" w:color="FFFFFF" w:fill="auto"/>
                    <w:rPr>
                      <w:b/>
                      <w:color w:val="000000"/>
                      <w:sz w:val="16"/>
                    </w:rPr>
                  </w:pPr>
                  <w:r>
                    <w:rPr>
                      <w:b/>
                      <w:color w:val="000000"/>
                      <w:sz w:val="16"/>
                    </w:rPr>
                    <w:t>Senator Ken Veenstra</w:t>
                  </w:r>
                </w:p>
                <w:p w:rsidR="00000000" w:rsidRDefault="00216019" w:rsidP="00216019">
                  <w:pPr>
                    <w:numPr>
                      <w:ilvl w:val="0"/>
                      <w:numId w:val="30"/>
                    </w:numPr>
                    <w:shd w:val="solid" w:color="FFFFFF" w:fill="auto"/>
                    <w:rPr>
                      <w:b/>
                      <w:color w:val="000000"/>
                      <w:sz w:val="16"/>
                    </w:rPr>
                  </w:pPr>
                  <w:r>
                    <w:rPr>
                      <w:b/>
                      <w:color w:val="000000"/>
                      <w:sz w:val="16"/>
                    </w:rPr>
                    <w:t>Rep.  Jane Greimann</w:t>
                  </w:r>
                </w:p>
              </w:txbxContent>
            </v:textbox>
          </v:rect>
        </w:pict>
      </w:r>
    </w:p>
    <w:p w:rsidR="00000000" w:rsidRDefault="00216019">
      <w:pPr>
        <w:rPr>
          <w:sz w:val="28"/>
        </w:rPr>
      </w:pPr>
      <w:r>
        <w:rPr>
          <w:noProof/>
        </w:rPr>
        <w:pict>
          <v:rect id="_x0000_s2003" style="position:absolute;margin-left:187.2pt;margin-top:0;width:108.05pt;height:36.05pt;z-index:251537408" o:allowincell="f" filled="f" strokeweight="2.25pt">
            <v:textbox inset="0,0,0,0">
              <w:txbxContent>
                <w:p w:rsidR="00000000" w:rsidRDefault="00216019">
                  <w:pPr>
                    <w:jc w:val="center"/>
                    <w:rPr>
                      <w:b/>
                      <w:sz w:val="16"/>
                    </w:rPr>
                  </w:pPr>
                </w:p>
                <w:p w:rsidR="00000000" w:rsidRDefault="00216019">
                  <w:pPr>
                    <w:pStyle w:val="Heading5"/>
                  </w:pPr>
                  <w:r>
                    <w:t>DHS</w:t>
                  </w:r>
                </w:p>
              </w:txbxContent>
            </v:textbox>
          </v:rect>
        </w:pict>
      </w:r>
      <w:r>
        <w:rPr>
          <w:noProof/>
        </w:rPr>
        <w:pict>
          <v:rect id="_x0000_s2006" style="position:absolute;margin-left:604.8pt;margin-top:14.4pt;width:72.05pt;height:28.85pt;z-index:251540480" o:allowincell="f" strokecolor="blue" strokeweight="2pt">
            <v:textbox inset="0,0,0,0">
              <w:txbxContent>
                <w:p w:rsidR="00000000" w:rsidRDefault="00216019">
                  <w:pPr>
                    <w:jc w:val="center"/>
                    <w:rPr>
                      <w:b/>
                      <w:sz w:val="28"/>
                    </w:rPr>
                  </w:pPr>
                  <w:r>
                    <w:rPr>
                      <w:b/>
                      <w:sz w:val="28"/>
                    </w:rPr>
                    <w:t>Enrollee</w:t>
                  </w:r>
                </w:p>
              </w:txbxContent>
            </v:textbox>
          </v:rect>
        </w:pict>
      </w:r>
    </w:p>
    <w:p w:rsidR="00000000" w:rsidRDefault="00216019">
      <w:pPr>
        <w:rPr>
          <w:sz w:val="28"/>
        </w:rPr>
      </w:pPr>
      <w:r>
        <w:rPr>
          <w:noProof/>
        </w:rPr>
        <w:pict>
          <v:line id="_x0000_s2033" style="position:absolute;z-index:251568128" from="295.2pt,5.75pt" to="352.8pt,5.75pt" o:allowincell="f" strokecolor="red" strokeweight="2.25pt"/>
        </w:pict>
      </w:r>
      <w:r>
        <w:rPr>
          <w:noProof/>
        </w:rPr>
        <w:pict>
          <v:line id="_x0000_s2030" style="position:absolute;z-index:251565056" from="100.8pt,5.05pt" to="187.2pt,5.05pt" o:allowincell="f" strokeweight="2.25pt"/>
        </w:pict>
      </w:r>
      <w:r>
        <w:rPr>
          <w:noProof/>
        </w:rPr>
        <w:pict>
          <v:line id="_x0000_s2024" style="position:absolute;z-index:251558912" from="568.8pt,12.25pt" to="604.8pt,12.25pt" o:allowincell="f" strokecolor="#9cf" strokeweight="3pt"/>
        </w:pict>
      </w:r>
    </w:p>
    <w:p w:rsidR="00000000" w:rsidRDefault="00216019">
      <w:pPr>
        <w:rPr>
          <w:sz w:val="28"/>
        </w:rPr>
      </w:pPr>
      <w:r>
        <w:rPr>
          <w:noProof/>
        </w:rPr>
        <w:pict>
          <v:line id="_x0000_s2029" style="position:absolute;flip:x;z-index:251564032" from="554.4pt,10.8pt" to="612pt,60.45pt" o:allowincell="f" strokecolor="#9cf" strokeweight="2.25pt"/>
        </w:pict>
      </w:r>
      <w:r>
        <w:rPr>
          <w:noProof/>
        </w:rPr>
        <w:pict>
          <v:line id="_x0000_s2011" style="position:absolute;z-index:251545600" from="295.2pt,2.9pt" to="324pt,60.5pt" o:allowincell="f" strokecolor="red" strokeweight="2.25pt"/>
        </w:pict>
      </w:r>
      <w:r>
        <w:rPr>
          <w:noProof/>
        </w:rPr>
        <w:pict>
          <v:line id="_x0000_s2017" style="position:absolute;z-index:251551744" from="273.6pt,2.9pt" to="273.6pt,182.9pt" o:allowincell="f" strokecolor="red" strokeweight="2.25pt"/>
        </w:pict>
      </w:r>
      <w:r>
        <w:rPr>
          <w:noProof/>
        </w:rPr>
        <w:pict>
          <v:rect id="_x0000_s2021" style="position:absolute;margin-left:482.4pt;margin-top:10.1pt;width:1in;height:28.8pt;z-index:251555840" o:allowincell="f" strokecolor="#36f" strokeweight="1.5pt">
            <v:textbox inset="0,0,0,0">
              <w:txbxContent>
                <w:p w:rsidR="00000000" w:rsidRDefault="00216019">
                  <w:pPr>
                    <w:pStyle w:val="BodyText2"/>
                    <w:rPr>
                      <w:b/>
                      <w:color w:val="000000"/>
                      <w:sz w:val="18"/>
                    </w:rPr>
                  </w:pPr>
                  <w:r>
                    <w:rPr>
                      <w:b/>
                      <w:color w:val="000000"/>
                      <w:sz w:val="18"/>
                    </w:rPr>
                    <w:t>DHS MEDICAID STAFF</w:t>
                  </w:r>
                </w:p>
              </w:txbxContent>
            </v:textbox>
          </v:rect>
        </w:pict>
      </w:r>
    </w:p>
    <w:p w:rsidR="00000000" w:rsidRDefault="00216019">
      <w:pPr>
        <w:rPr>
          <w:sz w:val="28"/>
        </w:rPr>
      </w:pPr>
    </w:p>
    <w:p w:rsidR="00000000" w:rsidRDefault="00216019">
      <w:pPr>
        <w:rPr>
          <w:sz w:val="28"/>
        </w:rPr>
      </w:pPr>
      <w:r>
        <w:rPr>
          <w:noProof/>
        </w:rPr>
        <w:pict>
          <v:line id="_x0000_s2027" style="position:absolute;z-index:251561984" from="468pt,12.95pt" to="468pt,27.35pt" o:allowincell="f" strokecolor="#9cf" strokeweight="2.25pt"/>
        </w:pict>
      </w:r>
    </w:p>
    <w:p w:rsidR="00000000" w:rsidRDefault="00216019">
      <w:pPr>
        <w:pStyle w:val="Footer"/>
        <w:tabs>
          <w:tab w:val="clear" w:pos="4320"/>
          <w:tab w:val="clear" w:pos="8640"/>
        </w:tabs>
        <w:rPr>
          <w:noProof/>
          <w:sz w:val="28"/>
        </w:rPr>
      </w:pPr>
      <w:r>
        <w:rPr>
          <w:noProof/>
        </w:rPr>
        <w:pict>
          <v:line id="_x0000_s2008" style="position:absolute;z-index:251542528" from="568.8pt,10.8pt" to="568.8pt,32.4pt" o:allowincell="f" strokecolor="red" strokeweight="2.25pt"/>
        </w:pict>
      </w:r>
      <w:r>
        <w:rPr>
          <w:noProof/>
        </w:rPr>
        <w:pict>
          <v:line id="_x0000_s2028" style="position:absolute;z-index:251563008" from="468pt,10.8pt" to="468pt,32.4pt" o:allowincell="f" strokecolor="red" strokeweight="2.25pt"/>
        </w:pict>
      </w:r>
      <w:r>
        <w:rPr>
          <w:noProof/>
        </w:rPr>
        <w:pict>
          <v:line id="_x0000_s2022" style="position:absolute;z-index:251556864" from="345.6pt,10.8pt" to="345.6pt,32.4pt" o:allowincell="f" strokecolor="red" strokeweight="2.25pt"/>
        </w:pict>
      </w:r>
      <w:r>
        <w:rPr>
          <w:noProof/>
        </w:rPr>
        <w:pict>
          <v:line id="_x0000_s2007" style="position:absolute;z-index:251541504" from="324pt,10.8pt" to="568.8pt,10.8pt" o:allowincell="f" strokecolor="red" strokeweight="2.25pt"/>
        </w:pict>
      </w:r>
    </w:p>
    <w:p w:rsidR="00000000" w:rsidRDefault="00216019">
      <w:pPr>
        <w:pStyle w:val="Footer"/>
        <w:tabs>
          <w:tab w:val="clear" w:pos="4320"/>
          <w:tab w:val="clear" w:pos="8640"/>
        </w:tabs>
        <w:rPr>
          <w:noProof/>
          <w:sz w:val="28"/>
        </w:rPr>
      </w:pPr>
      <w:r>
        <w:rPr>
          <w:noProof/>
        </w:rPr>
        <w:pict>
          <v:rect id="_x0000_s2004" style="position:absolute;margin-left:324pt;margin-top:15.85pt;width:64.85pt;height:43.15pt;z-index:251538432" o:allowincell="f" filled="f" strokecolor="#9cf" strokeweight="2pt">
            <v:textbox inset="0,0,0,0">
              <w:txbxContent>
                <w:p w:rsidR="00000000" w:rsidRDefault="00216019">
                  <w:pPr>
                    <w:jc w:val="center"/>
                    <w:rPr>
                      <w:b/>
                      <w:color w:val="000000"/>
                      <w:sz w:val="28"/>
                    </w:rPr>
                  </w:pPr>
                  <w:r>
                    <w:rPr>
                      <w:b/>
                      <w:color w:val="000000"/>
                      <w:sz w:val="28"/>
                    </w:rPr>
                    <w:t>PLAN</w:t>
                  </w:r>
                </w:p>
                <w:p w:rsidR="00000000" w:rsidRDefault="00216019">
                  <w:pPr>
                    <w:jc w:val="center"/>
                    <w:rPr>
                      <w:b/>
                      <w:color w:val="000000"/>
                    </w:rPr>
                  </w:pPr>
                  <w:r>
                    <w:rPr>
                      <w:b/>
                      <w:color w:val="000000"/>
                    </w:rPr>
                    <w:t>Iowa Health Solutions</w:t>
                  </w:r>
                </w:p>
              </w:txbxContent>
            </v:textbox>
          </v:rect>
        </w:pict>
      </w:r>
      <w:r>
        <w:rPr>
          <w:noProof/>
        </w:rPr>
        <w:pict>
          <v:rect id="_x0000_s2005" style="position:absolute;margin-left:424.8pt;margin-top:15.85pt;width:79.2pt;height:43.2pt;z-index:251539456" o:allowincell="f" filled="f" strokecolor="#9cf" strokeweight="2pt">
            <v:textbox inset="0,0,0,0">
              <w:txbxContent>
                <w:p w:rsidR="00000000" w:rsidRDefault="00216019">
                  <w:pPr>
                    <w:jc w:val="center"/>
                    <w:rPr>
                      <w:b/>
                      <w:sz w:val="28"/>
                    </w:rPr>
                  </w:pPr>
                  <w:r>
                    <w:rPr>
                      <w:b/>
                      <w:sz w:val="28"/>
                    </w:rPr>
                    <w:t>PLAN</w:t>
                  </w:r>
                </w:p>
                <w:p w:rsidR="00000000" w:rsidRDefault="00216019">
                  <w:pPr>
                    <w:jc w:val="center"/>
                    <w:rPr>
                      <w:b/>
                    </w:rPr>
                  </w:pPr>
                  <w:r>
                    <w:rPr>
                      <w:b/>
                    </w:rPr>
                    <w:t>Wellmark</w:t>
                  </w:r>
                </w:p>
                <w:p w:rsidR="00000000" w:rsidRDefault="00216019">
                  <w:pPr>
                    <w:pStyle w:val="BodyText"/>
                  </w:pPr>
                  <w:r>
                    <w:t>(Classic Blue)</w:t>
                  </w:r>
                </w:p>
              </w:txbxContent>
            </v:textbox>
          </v:rect>
        </w:pict>
      </w:r>
      <w:r>
        <w:rPr>
          <w:noProof/>
        </w:rPr>
        <w:pict>
          <v:rect id="_x0000_s2020" style="position:absolute;margin-left:532.8pt;margin-top:15.85pt;width:79.2pt;height:43.2pt;z-index:251554816" o:allowincell="f" filled="f" strokecolor="#9cf" strokeweight="2pt">
            <v:textbox inset="0,0,0,0">
              <w:txbxContent>
                <w:p w:rsidR="00000000" w:rsidRDefault="00216019">
                  <w:pPr>
                    <w:jc w:val="center"/>
                    <w:rPr>
                      <w:b/>
                      <w:sz w:val="28"/>
                    </w:rPr>
                  </w:pPr>
                  <w:r>
                    <w:rPr>
                      <w:b/>
                      <w:sz w:val="28"/>
                    </w:rPr>
                    <w:t>PLAN</w:t>
                  </w:r>
                </w:p>
                <w:p w:rsidR="00000000" w:rsidRDefault="00216019">
                  <w:pPr>
                    <w:jc w:val="center"/>
                    <w:rPr>
                      <w:b/>
                    </w:rPr>
                  </w:pPr>
                  <w:r>
                    <w:rPr>
                      <w:b/>
                    </w:rPr>
                    <w:t>John Deere</w:t>
                  </w:r>
                </w:p>
                <w:p w:rsidR="00000000" w:rsidRDefault="00216019">
                  <w:pPr>
                    <w:jc w:val="center"/>
                    <w:rPr>
                      <w:b/>
                    </w:rPr>
                  </w:pPr>
                </w:p>
                <w:p w:rsidR="00000000" w:rsidRDefault="00216019">
                  <w:pPr>
                    <w:rPr>
                      <w:b/>
                      <w:sz w:val="28"/>
                    </w:rPr>
                  </w:pPr>
                </w:p>
              </w:txbxContent>
            </v:textbox>
          </v:rect>
        </w:pict>
      </w:r>
    </w:p>
    <w:p w:rsidR="00000000" w:rsidRDefault="00216019">
      <w:pPr>
        <w:rPr>
          <w:sz w:val="28"/>
        </w:rPr>
      </w:pPr>
    </w:p>
    <w:p w:rsidR="00000000" w:rsidRDefault="00216019">
      <w:pPr>
        <w:rPr>
          <w:sz w:val="28"/>
        </w:rPr>
      </w:pPr>
    </w:p>
    <w:p w:rsidR="00000000" w:rsidRDefault="00216019"/>
    <w:p w:rsidR="00000000" w:rsidRDefault="00216019">
      <w:pPr>
        <w:jc w:val="center"/>
        <w:sectPr w:rsidR="00000000">
          <w:pgSz w:w="15840" w:h="12240" w:orient="landscape" w:code="1"/>
          <w:pgMar w:top="720" w:right="720" w:bottom="720" w:left="720" w:header="720" w:footer="720" w:gutter="0"/>
          <w:pgNumType w:start="14"/>
          <w:cols w:space="720"/>
          <w:titlePg/>
        </w:sectPr>
      </w:pPr>
      <w:r>
        <w:rPr>
          <w:noProof/>
        </w:rPr>
        <w:pict>
          <v:line id="_x0000_s2013" style="position:absolute;left:0;text-align:left;flip:x;z-index:251547648" from="85.05pt,1.25pt" to="85.05pt,37.25pt" strokecolor="#9cf" strokeweight="2.25pt"/>
        </w:pict>
      </w:r>
      <w:r>
        <w:rPr>
          <w:noProof/>
        </w:rPr>
        <w:pict>
          <v:line id="_x0000_s2015" style="position:absolute;left:0;text-align:left;z-index:251549696" from="22.05pt,1.25pt" to="22.1pt,31.9pt" strokecolor="#9cf" strokeweight="2.25pt"/>
        </w:pict>
      </w:r>
      <w:r>
        <w:rPr>
          <w:noProof/>
        </w:rPr>
        <w:pict>
          <v:rect id="_x0000_s2012" style="position:absolute;left:0;text-align:left;margin-left:76.05pt;margin-top:37.25pt;width:64.85pt;height:1in;z-index:251546624" fillcolor="#e5e5e5" strokecolor="#9cf" strokeweight="2pt">
            <v:textbox style="mso-next-textbox:#_x0000_s2012" inset="0,0,0,0">
              <w:txbxContent>
                <w:p w:rsidR="00000000" w:rsidRDefault="00216019">
                  <w:pPr>
                    <w:shd w:val="solid" w:color="FFFFFF" w:fill="auto"/>
                    <w:rPr>
                      <w:b/>
                      <w:sz w:val="16"/>
                    </w:rPr>
                  </w:pPr>
                </w:p>
                <w:p w:rsidR="00000000" w:rsidRDefault="00216019">
                  <w:pPr>
                    <w:shd w:val="solid" w:color="FFFFFF" w:fill="auto"/>
                    <w:jc w:val="center"/>
                  </w:pPr>
                  <w:r>
                    <w:rPr>
                      <w:b/>
                      <w:sz w:val="16"/>
                    </w:rPr>
                    <w:t>Clinical Advisory Committee/ Quality Team</w:t>
                  </w:r>
                </w:p>
              </w:txbxContent>
            </v:textbox>
          </v:rect>
        </w:pict>
      </w:r>
      <w:r>
        <w:rPr>
          <w:noProof/>
        </w:rPr>
        <w:pict>
          <v:rect id="_x0000_s2014" style="position:absolute;left:0;text-align:left;margin-left:-4.95pt;margin-top:37.25pt;width:57.65pt;height:57.6pt;z-index:251548672" fillcolor="#e5e5e5" strokecolor="#9cf" strokeweight="2pt">
            <v:textbox style="mso-next-textbox:#_x0000_s2014" inset="0,0,0,0">
              <w:txbxContent>
                <w:p w:rsidR="00000000" w:rsidRDefault="00216019">
                  <w:pPr>
                    <w:shd w:val="solid" w:color="FFFFFF" w:fill="auto"/>
                    <w:jc w:val="center"/>
                    <w:rPr>
                      <w:b/>
                    </w:rPr>
                  </w:pPr>
                  <w:r>
                    <w:rPr>
                      <w:b/>
                      <w:sz w:val="16"/>
                    </w:rPr>
                    <w:t>Children with Special Health Care Needs Advisory Committee</w:t>
                  </w:r>
                </w:p>
              </w:txbxContent>
            </v:textbox>
          </v:rect>
        </w:pict>
      </w:r>
      <w:r>
        <w:rPr>
          <w:noProof/>
        </w:rPr>
        <w:pict>
          <v:line id="_x0000_s2018" style="position:absolute;left:0;text-align:left;flip:x;z-index:251552768" from="2in,67.2pt" to="223.2pt,67.9pt" o:allowincell="f" strokecolor="#9cf" strokeweight="2.25pt"/>
        </w:pict>
      </w:r>
      <w:r>
        <w:rPr>
          <w:noProof/>
        </w:rPr>
        <w:pict>
          <v:rect id="_x0000_s2034" style="position:absolute;left:0;text-align:left;margin-left:540pt;margin-top:75.1pt;width:43.2pt;height:36pt;z-index:251569152" o:allowincell="f" strokecolor="white">
            <v:textbox style="mso-next-textbox:#_x0000_s2034" inset="0,0,0,0">
              <w:txbxContent>
                <w:p w:rsidR="00000000" w:rsidRDefault="00216019"/>
              </w:txbxContent>
            </v:textbox>
          </v:rect>
        </w:pict>
      </w:r>
      <w:r>
        <w:rPr>
          <w:noProof/>
        </w:rPr>
        <w:pict>
          <v:rect id="_x0000_s2016" style="position:absolute;left:0;text-align:left;margin-left:223.2pt;margin-top:52.8pt;width:86.45pt;height:70.8pt;z-index:251550720" o:allowincell="f" filled="f" strokecolor="#9cf" strokeweight="2pt">
            <v:textbox style="mso-next-textbox:#_x0000_s2016" inset="0,0,0,0">
              <w:txbxContent>
                <w:p w:rsidR="00000000" w:rsidRDefault="00216019">
                  <w:pPr>
                    <w:jc w:val="center"/>
                    <w:rPr>
                      <w:b/>
                      <w:sz w:val="16"/>
                    </w:rPr>
                  </w:pPr>
                  <w:r>
                    <w:rPr>
                      <w:b/>
                      <w:sz w:val="16"/>
                    </w:rPr>
                    <w:t>University of Iowa</w:t>
                  </w:r>
                </w:p>
                <w:p w:rsidR="00000000" w:rsidRDefault="00216019">
                  <w:pPr>
                    <w:jc w:val="center"/>
                    <w:rPr>
                      <w:b/>
                      <w:sz w:val="16"/>
                    </w:rPr>
                  </w:pPr>
                  <w:r>
                    <w:rPr>
                      <w:b/>
                      <w:sz w:val="16"/>
                    </w:rPr>
                    <w:t>State Public Policy Center</w:t>
                  </w:r>
                </w:p>
                <w:p w:rsidR="00000000" w:rsidRDefault="00216019">
                  <w:pPr>
                    <w:jc w:val="center"/>
                    <w:rPr>
                      <w:b/>
                      <w:sz w:val="16"/>
                    </w:rPr>
                  </w:pPr>
                </w:p>
                <w:p w:rsidR="00000000" w:rsidRDefault="00216019">
                  <w:pPr>
                    <w:jc w:val="center"/>
                    <w:rPr>
                      <w:b/>
                      <w:sz w:val="16"/>
                    </w:rPr>
                  </w:pPr>
                  <w:r>
                    <w:rPr>
                      <w:b/>
                      <w:sz w:val="16"/>
                    </w:rPr>
                    <w:t>Functional Health Assessment Analysis</w:t>
                  </w:r>
                </w:p>
              </w:txbxContent>
            </v:textbox>
          </v:rect>
        </w:pict>
      </w:r>
    </w:p>
    <w:p w:rsidR="00000000" w:rsidRDefault="00216019">
      <w:pPr>
        <w:jc w:val="center"/>
        <w:rPr>
          <w:sz w:val="18"/>
        </w:rPr>
      </w:pPr>
      <w:r>
        <w:rPr>
          <w:b/>
          <w:sz w:val="18"/>
          <w:u w:val="single"/>
        </w:rPr>
        <w:lastRenderedPageBreak/>
        <w:t>Referral Sources/Outreach Points</w:t>
      </w:r>
    </w:p>
    <w:p w:rsidR="00000000" w:rsidRDefault="00216019">
      <w:pPr>
        <w:rPr>
          <w:sz w:val="16"/>
        </w:rPr>
      </w:pPr>
    </w:p>
    <w:p w:rsidR="00000000" w:rsidRDefault="00216019">
      <w:pPr>
        <w:rPr>
          <w:sz w:val="16"/>
        </w:rPr>
      </w:pPr>
      <w:r>
        <w:rPr>
          <w:sz w:val="16"/>
        </w:rPr>
        <w:t>Any entity that is accessed by children or their families is potentially an outreach point whe</w:t>
      </w:r>
      <w:r>
        <w:rPr>
          <w:sz w:val="16"/>
        </w:rPr>
        <w:t>re applications and information about the program could be available.  In addition to local DHS offices, schools, daycare centers, WIC sites, etc., other potential sources through which information could be provided may include organizations that deal with</w:t>
      </w:r>
      <w:r>
        <w:rPr>
          <w:sz w:val="16"/>
        </w:rPr>
        <w:t xml:space="preserve"> children (Girl Scouts, Boy Scouts, Little League, Big Brothers and Sisters, YMCA, etc.) and places frequented by children and their families (churches, fast food restaurants, roller skating rinks, &amp; toy stores).  Applications would be sent to the TPA.</w:t>
      </w:r>
    </w:p>
    <w:p w:rsidR="00000000" w:rsidRDefault="00216019">
      <w:pPr>
        <w:rPr>
          <w:sz w:val="16"/>
        </w:rPr>
      </w:pPr>
    </w:p>
    <w:p w:rsidR="00000000" w:rsidRDefault="00216019">
      <w:pPr>
        <w:rPr>
          <w:sz w:val="16"/>
        </w:rPr>
      </w:pPr>
      <w:r>
        <w:rPr>
          <w:sz w:val="16"/>
        </w:rPr>
        <w:t>Fu</w:t>
      </w:r>
      <w:r>
        <w:rPr>
          <w:sz w:val="16"/>
        </w:rPr>
        <w:t>nction of the outreach points:</w:t>
      </w:r>
    </w:p>
    <w:p w:rsidR="00000000" w:rsidRDefault="00216019" w:rsidP="00216019">
      <w:pPr>
        <w:numPr>
          <w:ilvl w:val="0"/>
          <w:numId w:val="44"/>
        </w:numPr>
        <w:rPr>
          <w:sz w:val="16"/>
        </w:rPr>
      </w:pPr>
      <w:r>
        <w:rPr>
          <w:sz w:val="16"/>
        </w:rPr>
        <w:t>Disseminate information about the program.</w:t>
      </w:r>
    </w:p>
    <w:p w:rsidR="00000000" w:rsidRDefault="00216019" w:rsidP="00216019">
      <w:pPr>
        <w:numPr>
          <w:ilvl w:val="0"/>
          <w:numId w:val="44"/>
        </w:numPr>
        <w:rPr>
          <w:sz w:val="16"/>
        </w:rPr>
      </w:pPr>
      <w:r>
        <w:rPr>
          <w:sz w:val="16"/>
        </w:rPr>
        <w:t>Assist with the application process if able.</w:t>
      </w:r>
    </w:p>
    <w:p w:rsidR="00000000" w:rsidRDefault="00216019">
      <w:pPr>
        <w:rPr>
          <w:sz w:val="16"/>
        </w:rPr>
      </w:pPr>
    </w:p>
    <w:p w:rsidR="00000000" w:rsidRDefault="00216019">
      <w:pPr>
        <w:rPr>
          <w:sz w:val="16"/>
        </w:rPr>
      </w:pPr>
    </w:p>
    <w:tbl>
      <w:tblPr>
        <w:tblW w:w="0" w:type="auto"/>
        <w:tblLayout w:type="fixed"/>
        <w:tblLook w:val="0000"/>
      </w:tblPr>
      <w:tblGrid>
        <w:gridCol w:w="7308"/>
        <w:gridCol w:w="7308"/>
      </w:tblGrid>
      <w:tr w:rsidR="00000000">
        <w:tblPrEx>
          <w:tblCellMar>
            <w:top w:w="0" w:type="dxa"/>
            <w:bottom w:w="0" w:type="dxa"/>
          </w:tblCellMar>
        </w:tblPrEx>
        <w:tc>
          <w:tcPr>
            <w:tcW w:w="7308" w:type="dxa"/>
            <w:tcBorders>
              <w:top w:val="nil"/>
              <w:left w:val="nil"/>
              <w:bottom w:val="nil"/>
              <w:right w:val="nil"/>
            </w:tcBorders>
          </w:tcPr>
          <w:p w:rsidR="00000000" w:rsidRDefault="00216019">
            <w:pPr>
              <w:jc w:val="center"/>
              <w:rPr>
                <w:b/>
                <w:sz w:val="16"/>
                <w:u w:val="single"/>
              </w:rPr>
            </w:pPr>
            <w:r>
              <w:rPr>
                <w:b/>
                <w:i/>
                <w:sz w:val="16"/>
                <w:u w:val="single"/>
              </w:rPr>
              <w:t>hawk-i</w:t>
            </w:r>
            <w:r>
              <w:rPr>
                <w:b/>
                <w:sz w:val="16"/>
                <w:u w:val="single"/>
              </w:rPr>
              <w:t xml:space="preserve"> Board</w:t>
            </w:r>
          </w:p>
          <w:p w:rsidR="00000000" w:rsidRDefault="00216019">
            <w:pPr>
              <w:rPr>
                <w:sz w:val="16"/>
              </w:rPr>
            </w:pPr>
          </w:p>
          <w:p w:rsidR="00000000" w:rsidRDefault="00216019">
            <w:pPr>
              <w:rPr>
                <w:sz w:val="16"/>
              </w:rPr>
            </w:pPr>
            <w:r>
              <w:rPr>
                <w:sz w:val="16"/>
              </w:rPr>
              <w:t xml:space="preserve">The function of the </w:t>
            </w:r>
            <w:r>
              <w:rPr>
                <w:b/>
                <w:i/>
                <w:sz w:val="16"/>
              </w:rPr>
              <w:t>hawk-i</w:t>
            </w:r>
            <w:r>
              <w:rPr>
                <w:sz w:val="16"/>
              </w:rPr>
              <w:t xml:space="preserve"> Board includes, but is not limited to:</w:t>
            </w:r>
          </w:p>
          <w:p w:rsidR="00000000" w:rsidRDefault="00216019" w:rsidP="00216019">
            <w:pPr>
              <w:numPr>
                <w:ilvl w:val="0"/>
                <w:numId w:val="45"/>
              </w:numPr>
              <w:rPr>
                <w:sz w:val="16"/>
              </w:rPr>
            </w:pPr>
            <w:r>
              <w:rPr>
                <w:sz w:val="16"/>
              </w:rPr>
              <w:t>Adopt administrative rules developed by DHS</w:t>
            </w:r>
          </w:p>
          <w:p w:rsidR="00000000" w:rsidRDefault="00216019" w:rsidP="00216019">
            <w:pPr>
              <w:numPr>
                <w:ilvl w:val="0"/>
                <w:numId w:val="45"/>
              </w:numPr>
              <w:rPr>
                <w:sz w:val="16"/>
              </w:rPr>
            </w:pPr>
            <w:r>
              <w:rPr>
                <w:sz w:val="16"/>
              </w:rPr>
              <w:t>Establish c</w:t>
            </w:r>
            <w:r>
              <w:rPr>
                <w:sz w:val="16"/>
              </w:rPr>
              <w:t>riteria for contracts and approve contracts</w:t>
            </w:r>
          </w:p>
          <w:p w:rsidR="00000000" w:rsidRDefault="00216019" w:rsidP="00216019">
            <w:pPr>
              <w:numPr>
                <w:ilvl w:val="0"/>
                <w:numId w:val="45"/>
              </w:numPr>
              <w:rPr>
                <w:sz w:val="16"/>
              </w:rPr>
            </w:pPr>
            <w:r>
              <w:rPr>
                <w:sz w:val="16"/>
              </w:rPr>
              <w:t>Approve benefit package</w:t>
            </w:r>
          </w:p>
          <w:p w:rsidR="00000000" w:rsidRDefault="00216019" w:rsidP="00216019">
            <w:pPr>
              <w:numPr>
                <w:ilvl w:val="0"/>
                <w:numId w:val="45"/>
              </w:numPr>
              <w:rPr>
                <w:sz w:val="16"/>
              </w:rPr>
            </w:pPr>
            <w:r>
              <w:rPr>
                <w:sz w:val="16"/>
              </w:rPr>
              <w:t>Define regions of the state</w:t>
            </w:r>
          </w:p>
          <w:p w:rsidR="00000000" w:rsidRDefault="00216019" w:rsidP="00216019">
            <w:pPr>
              <w:numPr>
                <w:ilvl w:val="0"/>
                <w:numId w:val="45"/>
              </w:numPr>
              <w:rPr>
                <w:sz w:val="16"/>
              </w:rPr>
            </w:pPr>
            <w:r>
              <w:rPr>
                <w:sz w:val="16"/>
              </w:rPr>
              <w:t>Select a health assessment plan</w:t>
            </w:r>
          </w:p>
          <w:p w:rsidR="00000000" w:rsidRDefault="00216019" w:rsidP="00216019">
            <w:pPr>
              <w:numPr>
                <w:ilvl w:val="0"/>
                <w:numId w:val="45"/>
              </w:numPr>
              <w:rPr>
                <w:sz w:val="16"/>
              </w:rPr>
            </w:pPr>
            <w:r>
              <w:rPr>
                <w:sz w:val="16"/>
              </w:rPr>
              <w:t xml:space="preserve">Solicit public input about the </w:t>
            </w:r>
            <w:r>
              <w:rPr>
                <w:b/>
                <w:i/>
                <w:sz w:val="16"/>
              </w:rPr>
              <w:t>hawk-i</w:t>
            </w:r>
            <w:r>
              <w:rPr>
                <w:sz w:val="16"/>
              </w:rPr>
              <w:t xml:space="preserve"> program</w:t>
            </w:r>
          </w:p>
          <w:p w:rsidR="00000000" w:rsidRDefault="00216019" w:rsidP="00216019">
            <w:pPr>
              <w:numPr>
                <w:ilvl w:val="0"/>
                <w:numId w:val="45"/>
              </w:numPr>
              <w:rPr>
                <w:sz w:val="16"/>
              </w:rPr>
            </w:pPr>
            <w:r>
              <w:rPr>
                <w:sz w:val="16"/>
              </w:rPr>
              <w:t>Establish and consult with the clinical advisory committee</w:t>
            </w:r>
          </w:p>
          <w:p w:rsidR="00000000" w:rsidRDefault="00216019" w:rsidP="00216019">
            <w:pPr>
              <w:numPr>
                <w:ilvl w:val="0"/>
                <w:numId w:val="45"/>
              </w:numPr>
              <w:rPr>
                <w:sz w:val="16"/>
              </w:rPr>
            </w:pPr>
            <w:r>
              <w:rPr>
                <w:sz w:val="16"/>
              </w:rPr>
              <w:t>Establish and consult w</w:t>
            </w:r>
            <w:r>
              <w:rPr>
                <w:sz w:val="16"/>
              </w:rPr>
              <w:t>ith the advisory committee on children with special health care needs</w:t>
            </w:r>
          </w:p>
          <w:p w:rsidR="00000000" w:rsidRDefault="00216019" w:rsidP="00216019">
            <w:pPr>
              <w:numPr>
                <w:ilvl w:val="0"/>
                <w:numId w:val="45"/>
              </w:numPr>
              <w:rPr>
                <w:sz w:val="16"/>
              </w:rPr>
            </w:pPr>
            <w:r>
              <w:rPr>
                <w:sz w:val="16"/>
              </w:rPr>
              <w:t>Make recommendations to the Governor and General Assembly on ways to improve the program</w:t>
            </w:r>
          </w:p>
          <w:p w:rsidR="00000000" w:rsidRDefault="00216019">
            <w:pPr>
              <w:rPr>
                <w:sz w:val="16"/>
              </w:rPr>
            </w:pPr>
          </w:p>
          <w:p w:rsidR="00000000" w:rsidRDefault="00216019">
            <w:pPr>
              <w:rPr>
                <w:sz w:val="16"/>
              </w:rPr>
            </w:pPr>
          </w:p>
        </w:tc>
        <w:tc>
          <w:tcPr>
            <w:tcW w:w="7308" w:type="dxa"/>
            <w:tcBorders>
              <w:top w:val="nil"/>
              <w:left w:val="nil"/>
              <w:bottom w:val="nil"/>
              <w:right w:val="nil"/>
            </w:tcBorders>
          </w:tcPr>
          <w:p w:rsidR="00000000" w:rsidRDefault="00216019">
            <w:pPr>
              <w:jc w:val="center"/>
              <w:rPr>
                <w:sz w:val="16"/>
              </w:rPr>
            </w:pPr>
            <w:r>
              <w:rPr>
                <w:b/>
                <w:sz w:val="16"/>
                <w:u w:val="single"/>
              </w:rPr>
              <w:t>DHS</w:t>
            </w:r>
          </w:p>
          <w:p w:rsidR="00000000" w:rsidRDefault="00216019">
            <w:pPr>
              <w:rPr>
                <w:sz w:val="16"/>
              </w:rPr>
            </w:pPr>
          </w:p>
          <w:p w:rsidR="00000000" w:rsidRDefault="00216019">
            <w:pPr>
              <w:rPr>
                <w:sz w:val="16"/>
              </w:rPr>
            </w:pPr>
            <w:r>
              <w:rPr>
                <w:sz w:val="16"/>
              </w:rPr>
              <w:t>The function of DHS includes, but is not limited to:</w:t>
            </w:r>
          </w:p>
          <w:p w:rsidR="00000000" w:rsidRDefault="00216019" w:rsidP="00216019">
            <w:pPr>
              <w:numPr>
                <w:ilvl w:val="0"/>
                <w:numId w:val="46"/>
              </w:numPr>
              <w:rPr>
                <w:sz w:val="16"/>
              </w:rPr>
            </w:pPr>
            <w:r>
              <w:rPr>
                <w:sz w:val="16"/>
              </w:rPr>
              <w:t xml:space="preserve">Work with the </w:t>
            </w:r>
            <w:r>
              <w:rPr>
                <w:b/>
                <w:i/>
                <w:sz w:val="16"/>
              </w:rPr>
              <w:t>hawk-i</w:t>
            </w:r>
            <w:r>
              <w:rPr>
                <w:sz w:val="16"/>
              </w:rPr>
              <w:t xml:space="preserve"> Board to develop</w:t>
            </w:r>
            <w:r>
              <w:rPr>
                <w:sz w:val="16"/>
              </w:rPr>
              <w:t xml:space="preserve"> policy for the program</w:t>
            </w:r>
          </w:p>
          <w:p w:rsidR="00000000" w:rsidRDefault="00216019" w:rsidP="00216019">
            <w:pPr>
              <w:numPr>
                <w:ilvl w:val="0"/>
                <w:numId w:val="46"/>
              </w:numPr>
              <w:rPr>
                <w:sz w:val="16"/>
              </w:rPr>
            </w:pPr>
            <w:r>
              <w:rPr>
                <w:sz w:val="16"/>
              </w:rPr>
              <w:t>Oversee administration of the program.</w:t>
            </w:r>
          </w:p>
          <w:p w:rsidR="00000000" w:rsidRDefault="00216019" w:rsidP="00216019">
            <w:pPr>
              <w:numPr>
                <w:ilvl w:val="0"/>
                <w:numId w:val="46"/>
              </w:numPr>
              <w:rPr>
                <w:sz w:val="16"/>
              </w:rPr>
            </w:pPr>
            <w:r>
              <w:rPr>
                <w:sz w:val="16"/>
              </w:rPr>
              <w:t>Administer the contracts with the TPA, plans, and U of I.</w:t>
            </w:r>
          </w:p>
          <w:p w:rsidR="00000000" w:rsidRDefault="00216019" w:rsidP="00216019">
            <w:pPr>
              <w:numPr>
                <w:ilvl w:val="0"/>
                <w:numId w:val="46"/>
              </w:numPr>
              <w:rPr>
                <w:sz w:val="16"/>
              </w:rPr>
            </w:pPr>
            <w:r>
              <w:rPr>
                <w:sz w:val="16"/>
              </w:rPr>
              <w:t>Administer the State Plan.</w:t>
            </w:r>
          </w:p>
          <w:p w:rsidR="00000000" w:rsidRDefault="00216019" w:rsidP="00216019">
            <w:pPr>
              <w:numPr>
                <w:ilvl w:val="0"/>
                <w:numId w:val="46"/>
              </w:numPr>
              <w:rPr>
                <w:sz w:val="16"/>
              </w:rPr>
            </w:pPr>
            <w:r>
              <w:rPr>
                <w:sz w:val="16"/>
              </w:rPr>
              <w:t xml:space="preserve">Coordinate with the TPA when individuals applying for the </w:t>
            </w:r>
            <w:r>
              <w:rPr>
                <w:b/>
                <w:i/>
                <w:sz w:val="16"/>
              </w:rPr>
              <w:t>hawk-i</w:t>
            </w:r>
            <w:r>
              <w:rPr>
                <w:sz w:val="16"/>
              </w:rPr>
              <w:t xml:space="preserve"> program may be Medicaid eligible and when M</w:t>
            </w:r>
            <w:r>
              <w:rPr>
                <w:sz w:val="16"/>
              </w:rPr>
              <w:t>edicaid eligible recipients lose eligibility.</w:t>
            </w:r>
          </w:p>
          <w:p w:rsidR="00000000" w:rsidRDefault="00216019" w:rsidP="00216019">
            <w:pPr>
              <w:numPr>
                <w:ilvl w:val="0"/>
                <w:numId w:val="46"/>
              </w:numPr>
              <w:rPr>
                <w:sz w:val="16"/>
              </w:rPr>
            </w:pPr>
            <w:r>
              <w:rPr>
                <w:sz w:val="16"/>
              </w:rPr>
              <w:t>Provide statistical data and reports to CMS.</w:t>
            </w:r>
          </w:p>
          <w:p w:rsidR="00000000" w:rsidRDefault="00216019">
            <w:pPr>
              <w:rPr>
                <w:sz w:val="16"/>
              </w:rPr>
            </w:pPr>
          </w:p>
          <w:p w:rsidR="00000000" w:rsidRDefault="00216019">
            <w:pPr>
              <w:rPr>
                <w:sz w:val="16"/>
              </w:rPr>
            </w:pPr>
          </w:p>
        </w:tc>
      </w:tr>
      <w:tr w:rsidR="00000000">
        <w:tblPrEx>
          <w:tblCellMar>
            <w:top w:w="0" w:type="dxa"/>
            <w:bottom w:w="0" w:type="dxa"/>
          </w:tblCellMar>
        </w:tblPrEx>
        <w:tc>
          <w:tcPr>
            <w:tcW w:w="7308" w:type="dxa"/>
            <w:tcBorders>
              <w:top w:val="nil"/>
              <w:left w:val="nil"/>
              <w:bottom w:val="nil"/>
              <w:right w:val="nil"/>
            </w:tcBorders>
          </w:tcPr>
          <w:p w:rsidR="00000000" w:rsidRDefault="00216019">
            <w:pPr>
              <w:jc w:val="center"/>
              <w:rPr>
                <w:b/>
                <w:sz w:val="16"/>
                <w:u w:val="single"/>
              </w:rPr>
            </w:pPr>
            <w:r>
              <w:rPr>
                <w:b/>
                <w:sz w:val="16"/>
                <w:u w:val="single"/>
              </w:rPr>
              <w:t>Third Party Administrator (TPA)</w:t>
            </w:r>
          </w:p>
          <w:p w:rsidR="00000000" w:rsidRDefault="00216019">
            <w:pPr>
              <w:rPr>
                <w:sz w:val="16"/>
              </w:rPr>
            </w:pPr>
          </w:p>
          <w:p w:rsidR="00000000" w:rsidRDefault="00216019">
            <w:pPr>
              <w:rPr>
                <w:sz w:val="16"/>
              </w:rPr>
            </w:pPr>
            <w:r>
              <w:rPr>
                <w:sz w:val="16"/>
              </w:rPr>
              <w:t>The functions of the TPA include, but may not be limited to:</w:t>
            </w:r>
          </w:p>
          <w:p w:rsidR="00000000" w:rsidRDefault="00216019" w:rsidP="00216019">
            <w:pPr>
              <w:numPr>
                <w:ilvl w:val="0"/>
                <w:numId w:val="47"/>
              </w:numPr>
              <w:rPr>
                <w:sz w:val="16"/>
              </w:rPr>
            </w:pPr>
            <w:r>
              <w:rPr>
                <w:sz w:val="16"/>
              </w:rPr>
              <w:t>Receive applications and determine eligibility for the program.</w:t>
            </w:r>
          </w:p>
          <w:p w:rsidR="00000000" w:rsidRDefault="00216019" w:rsidP="00216019">
            <w:pPr>
              <w:numPr>
                <w:ilvl w:val="0"/>
                <w:numId w:val="47"/>
              </w:numPr>
              <w:rPr>
                <w:sz w:val="16"/>
              </w:rPr>
            </w:pPr>
            <w:r>
              <w:rPr>
                <w:sz w:val="16"/>
              </w:rPr>
              <w:t>Staf</w:t>
            </w:r>
            <w:r>
              <w:rPr>
                <w:sz w:val="16"/>
              </w:rPr>
              <w:t>f a 1-800 number to answer questions about the program and assist in the application process.</w:t>
            </w:r>
          </w:p>
          <w:p w:rsidR="00000000" w:rsidRDefault="00216019" w:rsidP="00216019">
            <w:pPr>
              <w:numPr>
                <w:ilvl w:val="0"/>
                <w:numId w:val="47"/>
              </w:numPr>
              <w:rPr>
                <w:sz w:val="16"/>
              </w:rPr>
            </w:pPr>
            <w:r>
              <w:rPr>
                <w:sz w:val="16"/>
              </w:rPr>
              <w:t>Coordinate with DHS when it appears an applicant may qualify for Medicaid.</w:t>
            </w:r>
          </w:p>
          <w:p w:rsidR="00000000" w:rsidRDefault="00216019" w:rsidP="00216019">
            <w:pPr>
              <w:numPr>
                <w:ilvl w:val="0"/>
                <w:numId w:val="47"/>
              </w:numPr>
              <w:rPr>
                <w:sz w:val="16"/>
              </w:rPr>
            </w:pPr>
            <w:r>
              <w:rPr>
                <w:sz w:val="16"/>
              </w:rPr>
              <w:t>Determine the amount of family cost sharing.</w:t>
            </w:r>
          </w:p>
          <w:p w:rsidR="00000000" w:rsidRDefault="00216019" w:rsidP="00216019">
            <w:pPr>
              <w:numPr>
                <w:ilvl w:val="0"/>
                <w:numId w:val="47"/>
              </w:numPr>
              <w:rPr>
                <w:sz w:val="16"/>
              </w:rPr>
            </w:pPr>
            <w:r>
              <w:rPr>
                <w:sz w:val="16"/>
              </w:rPr>
              <w:t>Bill and collect cost sharing.</w:t>
            </w:r>
          </w:p>
          <w:p w:rsidR="00000000" w:rsidRDefault="00216019" w:rsidP="00216019">
            <w:pPr>
              <w:numPr>
                <w:ilvl w:val="0"/>
                <w:numId w:val="47"/>
              </w:numPr>
              <w:rPr>
                <w:sz w:val="16"/>
              </w:rPr>
            </w:pPr>
            <w:r>
              <w:rPr>
                <w:sz w:val="16"/>
              </w:rPr>
              <w:t xml:space="preserve">Assist the </w:t>
            </w:r>
            <w:r>
              <w:rPr>
                <w:sz w:val="16"/>
              </w:rPr>
              <w:t>family in choosing a plan.</w:t>
            </w:r>
          </w:p>
          <w:p w:rsidR="00000000" w:rsidRDefault="00216019" w:rsidP="00216019">
            <w:pPr>
              <w:numPr>
                <w:ilvl w:val="0"/>
                <w:numId w:val="47"/>
              </w:numPr>
              <w:rPr>
                <w:sz w:val="16"/>
              </w:rPr>
            </w:pPr>
            <w:r>
              <w:rPr>
                <w:sz w:val="16"/>
              </w:rPr>
              <w:t>Notifying the plan of the enrollment.</w:t>
            </w:r>
          </w:p>
          <w:p w:rsidR="00000000" w:rsidRDefault="00216019" w:rsidP="00216019">
            <w:pPr>
              <w:numPr>
                <w:ilvl w:val="0"/>
                <w:numId w:val="47"/>
              </w:numPr>
              <w:rPr>
                <w:sz w:val="16"/>
              </w:rPr>
            </w:pPr>
            <w:r>
              <w:rPr>
                <w:sz w:val="16"/>
              </w:rPr>
              <w:t>Provide customer service functions to the enrollees.</w:t>
            </w:r>
          </w:p>
          <w:p w:rsidR="00000000" w:rsidRDefault="00216019" w:rsidP="00216019">
            <w:pPr>
              <w:numPr>
                <w:ilvl w:val="0"/>
                <w:numId w:val="47"/>
              </w:numPr>
              <w:rPr>
                <w:sz w:val="16"/>
              </w:rPr>
            </w:pPr>
            <w:r>
              <w:rPr>
                <w:sz w:val="16"/>
              </w:rPr>
              <w:t>Provide statistical data to DHS.</w:t>
            </w:r>
          </w:p>
          <w:p w:rsidR="00000000" w:rsidRDefault="00216019">
            <w:pPr>
              <w:rPr>
                <w:sz w:val="16"/>
              </w:rPr>
            </w:pPr>
          </w:p>
          <w:p w:rsidR="00000000" w:rsidRDefault="00216019">
            <w:pPr>
              <w:rPr>
                <w:b/>
                <w:sz w:val="16"/>
                <w:u w:val="single"/>
              </w:rPr>
            </w:pPr>
          </w:p>
        </w:tc>
        <w:tc>
          <w:tcPr>
            <w:tcW w:w="7308" w:type="dxa"/>
            <w:tcBorders>
              <w:top w:val="nil"/>
              <w:left w:val="nil"/>
              <w:bottom w:val="nil"/>
              <w:right w:val="nil"/>
            </w:tcBorders>
          </w:tcPr>
          <w:p w:rsidR="00000000" w:rsidRDefault="00216019">
            <w:pPr>
              <w:jc w:val="center"/>
              <w:rPr>
                <w:b/>
                <w:sz w:val="16"/>
                <w:u w:val="single"/>
              </w:rPr>
            </w:pPr>
            <w:r>
              <w:rPr>
                <w:b/>
                <w:sz w:val="16"/>
                <w:u w:val="single"/>
              </w:rPr>
              <w:t>Plans</w:t>
            </w:r>
          </w:p>
          <w:p w:rsidR="00000000" w:rsidRDefault="00216019">
            <w:pPr>
              <w:rPr>
                <w:sz w:val="16"/>
              </w:rPr>
            </w:pPr>
          </w:p>
          <w:p w:rsidR="00000000" w:rsidRDefault="00216019">
            <w:pPr>
              <w:rPr>
                <w:sz w:val="16"/>
              </w:rPr>
            </w:pPr>
            <w:r>
              <w:rPr>
                <w:sz w:val="16"/>
              </w:rPr>
              <w:t>The functions of the plan(s) are to:</w:t>
            </w:r>
          </w:p>
          <w:p w:rsidR="00000000" w:rsidRDefault="00216019" w:rsidP="00216019">
            <w:pPr>
              <w:numPr>
                <w:ilvl w:val="0"/>
                <w:numId w:val="48"/>
              </w:numPr>
              <w:rPr>
                <w:sz w:val="16"/>
              </w:rPr>
            </w:pPr>
            <w:r>
              <w:rPr>
                <w:sz w:val="16"/>
              </w:rPr>
              <w:t>Provide services to the enrollee in accordance with their c</w:t>
            </w:r>
            <w:r>
              <w:rPr>
                <w:sz w:val="16"/>
              </w:rPr>
              <w:t>ontract.</w:t>
            </w:r>
          </w:p>
          <w:p w:rsidR="00000000" w:rsidRDefault="00216019" w:rsidP="00216019">
            <w:pPr>
              <w:numPr>
                <w:ilvl w:val="0"/>
                <w:numId w:val="48"/>
              </w:numPr>
              <w:rPr>
                <w:sz w:val="16"/>
              </w:rPr>
            </w:pPr>
            <w:r>
              <w:rPr>
                <w:sz w:val="16"/>
              </w:rPr>
              <w:t>Issue insurance cards.</w:t>
            </w:r>
          </w:p>
          <w:p w:rsidR="00000000" w:rsidRDefault="00216019" w:rsidP="00216019">
            <w:pPr>
              <w:numPr>
                <w:ilvl w:val="0"/>
                <w:numId w:val="48"/>
              </w:numPr>
              <w:rPr>
                <w:sz w:val="16"/>
              </w:rPr>
            </w:pPr>
            <w:r>
              <w:rPr>
                <w:sz w:val="16"/>
              </w:rPr>
              <w:t>Process and pay claims.</w:t>
            </w:r>
          </w:p>
          <w:p w:rsidR="00000000" w:rsidRDefault="00216019" w:rsidP="00216019">
            <w:pPr>
              <w:numPr>
                <w:ilvl w:val="0"/>
                <w:numId w:val="48"/>
              </w:numPr>
              <w:rPr>
                <w:sz w:val="16"/>
              </w:rPr>
            </w:pPr>
            <w:r>
              <w:rPr>
                <w:sz w:val="16"/>
              </w:rPr>
              <w:t>Provide statistical and encounter data to the TPA.</w:t>
            </w:r>
          </w:p>
        </w:tc>
      </w:tr>
      <w:tr w:rsidR="00000000">
        <w:tblPrEx>
          <w:tblCellMar>
            <w:top w:w="0" w:type="dxa"/>
            <w:bottom w:w="0" w:type="dxa"/>
          </w:tblCellMar>
        </w:tblPrEx>
        <w:tc>
          <w:tcPr>
            <w:tcW w:w="7308" w:type="dxa"/>
            <w:tcBorders>
              <w:top w:val="nil"/>
              <w:left w:val="nil"/>
              <w:bottom w:val="nil"/>
              <w:right w:val="nil"/>
            </w:tcBorders>
          </w:tcPr>
          <w:p w:rsidR="00000000" w:rsidRDefault="00216019">
            <w:pPr>
              <w:jc w:val="center"/>
              <w:rPr>
                <w:b/>
                <w:sz w:val="16"/>
                <w:u w:val="single"/>
              </w:rPr>
            </w:pPr>
            <w:r>
              <w:rPr>
                <w:b/>
                <w:sz w:val="16"/>
                <w:u w:val="single"/>
              </w:rPr>
              <w:t>Clinical and Children with Special Health Care Needs Advisory  Committees</w:t>
            </w:r>
          </w:p>
          <w:p w:rsidR="00000000" w:rsidRDefault="00216019">
            <w:pPr>
              <w:jc w:val="center"/>
              <w:rPr>
                <w:b/>
                <w:sz w:val="16"/>
                <w:u w:val="single"/>
              </w:rPr>
            </w:pPr>
          </w:p>
          <w:p w:rsidR="00000000" w:rsidRDefault="00216019" w:rsidP="00216019">
            <w:pPr>
              <w:numPr>
                <w:ilvl w:val="0"/>
                <w:numId w:val="49"/>
              </w:numPr>
              <w:rPr>
                <w:sz w:val="16"/>
              </w:rPr>
            </w:pPr>
            <w:r>
              <w:rPr>
                <w:sz w:val="16"/>
              </w:rPr>
              <w:t>The Clinical Advisory Committee is made up of health care professionals w</w:t>
            </w:r>
            <w:r>
              <w:rPr>
                <w:sz w:val="16"/>
              </w:rPr>
              <w:t xml:space="preserve">ho advise the </w:t>
            </w:r>
            <w:r>
              <w:rPr>
                <w:b/>
                <w:i/>
                <w:sz w:val="16"/>
              </w:rPr>
              <w:t>hawk-i</w:t>
            </w:r>
            <w:r>
              <w:rPr>
                <w:sz w:val="16"/>
              </w:rPr>
              <w:t xml:space="preserve"> Board on issues around coverage and benefits.</w:t>
            </w:r>
          </w:p>
          <w:p w:rsidR="00000000" w:rsidRDefault="00216019" w:rsidP="00216019">
            <w:pPr>
              <w:numPr>
                <w:ilvl w:val="0"/>
                <w:numId w:val="49"/>
              </w:numPr>
              <w:rPr>
                <w:sz w:val="16"/>
              </w:rPr>
            </w:pPr>
            <w:r>
              <w:rPr>
                <w:sz w:val="16"/>
              </w:rPr>
              <w:t xml:space="preserve">The Children with Special Health Care Needs Advisory Committee is made up of health care professionals, advocates, and parents who provide input to the </w:t>
            </w:r>
            <w:r>
              <w:rPr>
                <w:b/>
                <w:bCs/>
                <w:i/>
                <w:iCs/>
                <w:sz w:val="16"/>
              </w:rPr>
              <w:t>hawk-i</w:t>
            </w:r>
            <w:r>
              <w:rPr>
                <w:sz w:val="16"/>
              </w:rPr>
              <w:t xml:space="preserve"> Board on how to best meet the </w:t>
            </w:r>
            <w:r>
              <w:rPr>
                <w:sz w:val="16"/>
              </w:rPr>
              <w:t>needs of children with special health care issues.</w:t>
            </w:r>
          </w:p>
        </w:tc>
        <w:tc>
          <w:tcPr>
            <w:tcW w:w="7308" w:type="dxa"/>
            <w:tcBorders>
              <w:top w:val="nil"/>
              <w:left w:val="nil"/>
              <w:bottom w:val="nil"/>
              <w:right w:val="nil"/>
            </w:tcBorders>
          </w:tcPr>
          <w:p w:rsidR="00000000" w:rsidRDefault="00216019">
            <w:pPr>
              <w:pStyle w:val="Heading2"/>
              <w:rPr>
                <w:rFonts w:ascii="Arial" w:hAnsi="Arial" w:cs="Arial"/>
                <w:sz w:val="16"/>
              </w:rPr>
            </w:pPr>
            <w:r>
              <w:rPr>
                <w:rFonts w:ascii="Arial" w:hAnsi="Arial" w:cs="Arial"/>
                <w:sz w:val="16"/>
              </w:rPr>
              <w:t>Medicaid Staff</w:t>
            </w:r>
          </w:p>
          <w:p w:rsidR="00000000" w:rsidRDefault="00216019">
            <w:pPr>
              <w:jc w:val="center"/>
              <w:rPr>
                <w:sz w:val="16"/>
              </w:rPr>
            </w:pPr>
          </w:p>
          <w:p w:rsidR="00000000" w:rsidRDefault="00216019">
            <w:pPr>
              <w:rPr>
                <w:sz w:val="16"/>
              </w:rPr>
            </w:pPr>
            <w:r>
              <w:rPr>
                <w:sz w:val="16"/>
              </w:rPr>
              <w:t xml:space="preserve">The function of the Medicaid staff who are co-located at MAXIMUS is to determine Medicaid eligibility when a person who applies for </w:t>
            </w:r>
            <w:r>
              <w:rPr>
                <w:b/>
                <w:i/>
                <w:sz w:val="16"/>
              </w:rPr>
              <w:t>hawk-i</w:t>
            </w:r>
            <w:r>
              <w:rPr>
                <w:sz w:val="16"/>
              </w:rPr>
              <w:t xml:space="preserve"> is referred to Medicaid. </w:t>
            </w:r>
          </w:p>
        </w:tc>
      </w:tr>
    </w:tbl>
    <w:p w:rsidR="00000000" w:rsidRDefault="00216019">
      <w:pPr>
        <w:rPr>
          <w:b/>
          <w:sz w:val="18"/>
          <w:u w:val="single"/>
        </w:rPr>
        <w:sectPr w:rsidR="00000000">
          <w:pgSz w:w="15840" w:h="12240" w:orient="landscape" w:code="1"/>
          <w:pgMar w:top="720" w:right="720" w:bottom="720" w:left="720" w:header="720" w:footer="720" w:gutter="0"/>
          <w:pgNumType w:start="14"/>
          <w:cols w:space="720"/>
          <w:titlePg/>
        </w:sectPr>
      </w:pPr>
    </w:p>
    <w:p w:rsidR="00000000" w:rsidRDefault="00216019">
      <w:pPr>
        <w:jc w:val="center"/>
        <w:rPr>
          <w:sz w:val="28"/>
        </w:rPr>
      </w:pPr>
    </w:p>
    <w:p w:rsidR="00000000" w:rsidRDefault="00216019">
      <w:pPr>
        <w:jc w:val="center"/>
        <w:rPr>
          <w:sz w:val="28"/>
        </w:rPr>
      </w:pPr>
      <w:r>
        <w:rPr>
          <w:sz w:val="28"/>
        </w:rPr>
        <w:t>History of Participat</w:t>
      </w:r>
      <w:r>
        <w:rPr>
          <w:sz w:val="28"/>
        </w:rPr>
        <w:t xml:space="preserve">ion of Children in Medicaid and </w:t>
      </w:r>
      <w:r>
        <w:rPr>
          <w:b/>
          <w:i/>
          <w:sz w:val="28"/>
        </w:rPr>
        <w:t>hawk-i</w:t>
      </w:r>
    </w:p>
    <w:p w:rsidR="00000000" w:rsidRDefault="00216019">
      <w:pPr>
        <w:ind w:left="720" w:hanging="720"/>
      </w:pPr>
    </w:p>
    <w:p w:rsidR="00000000" w:rsidRDefault="00216019">
      <w:pPr>
        <w:rPr>
          <w:sz w:val="16"/>
        </w:rPr>
      </w:pPr>
    </w:p>
    <w:p w:rsidR="00000000" w:rsidRDefault="00216019">
      <w:pPr>
        <w:rPr>
          <w:sz w:val="16"/>
        </w:rPr>
      </w:pPr>
    </w:p>
    <w:tbl>
      <w:tblPr>
        <w:tblW w:w="7253" w:type="dxa"/>
        <w:tblInd w:w="1440" w:type="dxa"/>
        <w:tblCellMar>
          <w:left w:w="0" w:type="dxa"/>
          <w:right w:w="0" w:type="dxa"/>
        </w:tblCellMar>
        <w:tblLook w:val="0000"/>
      </w:tblPr>
      <w:tblGrid>
        <w:gridCol w:w="1941"/>
        <w:gridCol w:w="1838"/>
        <w:gridCol w:w="1714"/>
        <w:gridCol w:w="1760"/>
      </w:tblGrid>
      <w:tr w:rsidR="00000000">
        <w:trPr>
          <w:trHeight w:val="495"/>
        </w:trPr>
        <w:tc>
          <w:tcPr>
            <w:tcW w:w="1941" w:type="dxa"/>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c>
          <w:tcPr>
            <w:tcW w:w="1838" w:type="dxa"/>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c>
          <w:tcPr>
            <w:tcW w:w="3474"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bottom"/>
          </w:tcPr>
          <w:p w:rsidR="00000000" w:rsidRDefault="00216019">
            <w:pPr>
              <w:jc w:val="center"/>
              <w:rPr>
                <w:b/>
                <w:bCs/>
              </w:rPr>
            </w:pPr>
            <w:r>
              <w:rPr>
                <w:b/>
                <w:bCs/>
              </w:rPr>
              <w:t>SCHIP (Title XXI Program)</w:t>
            </w:r>
          </w:p>
        </w:tc>
      </w:tr>
      <w:tr w:rsidR="00000000">
        <w:trPr>
          <w:trHeight w:val="1035"/>
        </w:trPr>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jc w:val="center"/>
              <w:rPr>
                <w:b/>
                <w:bCs/>
              </w:rPr>
            </w:pPr>
            <w:r>
              <w:rPr>
                <w:b/>
                <w:bCs/>
              </w:rPr>
              <w:t>Month</w:t>
            </w:r>
          </w:p>
        </w:tc>
        <w:tc>
          <w:tcPr>
            <w:tcW w:w="1838" w:type="dxa"/>
            <w:tcBorders>
              <w:top w:val="single" w:sz="4" w:space="0" w:color="auto"/>
              <w:left w:val="nil"/>
              <w:bottom w:val="nil"/>
              <w:right w:val="single" w:sz="4" w:space="0" w:color="auto"/>
            </w:tcBorders>
            <w:tcMar>
              <w:top w:w="20" w:type="dxa"/>
              <w:left w:w="20" w:type="dxa"/>
              <w:bottom w:w="0" w:type="dxa"/>
              <w:right w:w="20" w:type="dxa"/>
            </w:tcMar>
            <w:vAlign w:val="bottom"/>
          </w:tcPr>
          <w:p w:rsidR="00000000" w:rsidRDefault="00216019">
            <w:pPr>
              <w:jc w:val="center"/>
              <w:rPr>
                <w:b/>
                <w:bCs/>
              </w:rPr>
            </w:pPr>
            <w:r>
              <w:rPr>
                <w:b/>
                <w:bCs/>
              </w:rPr>
              <w:t>Total Children on Medicaid</w:t>
            </w:r>
          </w:p>
        </w:tc>
        <w:tc>
          <w:tcPr>
            <w:tcW w:w="1714" w:type="dxa"/>
            <w:tcBorders>
              <w:top w:val="nil"/>
              <w:left w:val="nil"/>
              <w:bottom w:val="nil"/>
              <w:right w:val="nil"/>
            </w:tcBorders>
            <w:shd w:val="clear" w:color="auto" w:fill="C0C0C0"/>
            <w:tcMar>
              <w:top w:w="20" w:type="dxa"/>
              <w:left w:w="20" w:type="dxa"/>
              <w:bottom w:w="0" w:type="dxa"/>
              <w:right w:w="20" w:type="dxa"/>
            </w:tcMar>
            <w:vAlign w:val="bottom"/>
          </w:tcPr>
          <w:p w:rsidR="00000000" w:rsidRDefault="00216019">
            <w:pPr>
              <w:jc w:val="center"/>
              <w:rPr>
                <w:b/>
                <w:bCs/>
              </w:rPr>
            </w:pPr>
            <w:r>
              <w:rPr>
                <w:b/>
                <w:bCs/>
              </w:rPr>
              <w:t>Expanded Medicaid*</w:t>
            </w:r>
          </w:p>
        </w:tc>
        <w:tc>
          <w:tcPr>
            <w:tcW w:w="176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216019">
            <w:pPr>
              <w:jc w:val="center"/>
              <w:rPr>
                <w:b/>
                <w:bCs/>
                <w:i/>
                <w:iCs/>
              </w:rPr>
            </w:pPr>
            <w:r>
              <w:rPr>
                <w:b/>
                <w:bCs/>
                <w:i/>
                <w:iCs/>
              </w:rPr>
              <w:t xml:space="preserve">hawk-i </w:t>
            </w:r>
            <w:r>
              <w:rPr>
                <w:b/>
                <w:bCs/>
              </w:rPr>
              <w:t>Program (began 1/1/99)</w:t>
            </w:r>
          </w:p>
        </w:tc>
      </w:tr>
      <w:tr w:rsidR="00000000">
        <w:trPr>
          <w:trHeight w:val="31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6019">
            <w:pPr>
              <w:rPr>
                <w:b/>
                <w:bCs/>
              </w:rPr>
            </w:pPr>
            <w:r>
              <w:rPr>
                <w:b/>
                <w:bCs/>
              </w:rPr>
              <w:t>SFY 99</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91,737</w:t>
            </w:r>
          </w:p>
        </w:tc>
        <w:tc>
          <w:tcPr>
            <w:tcW w:w="0" w:type="auto"/>
            <w:tcBorders>
              <w:top w:val="single" w:sz="4" w:space="0" w:color="auto"/>
              <w:left w:val="nil"/>
              <w:bottom w:val="single" w:sz="4" w:space="0" w:color="auto"/>
              <w:right w:val="nil"/>
            </w:tcBorders>
            <w:shd w:val="clear" w:color="auto" w:fill="C0C0C0"/>
            <w:noWrap/>
            <w:tcMar>
              <w:top w:w="20" w:type="dxa"/>
              <w:left w:w="20" w:type="dxa"/>
              <w:bottom w:w="0" w:type="dxa"/>
              <w:right w:w="20" w:type="dxa"/>
            </w:tcMar>
            <w:vAlign w:val="bottom"/>
          </w:tcPr>
          <w:p w:rsidR="00000000" w:rsidRDefault="00216019">
            <w:r>
              <w:t> </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6019">
            <w:r>
              <w:t> </w:t>
            </w:r>
          </w:p>
        </w:tc>
      </w:tr>
      <w:tr w:rsidR="00000000">
        <w:trPr>
          <w:trHeight w:val="31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rPr>
                <w:b/>
                <w:bCs/>
              </w:rPr>
            </w:pPr>
            <w:r>
              <w:rPr>
                <w:b/>
                <w:bCs/>
              </w:rPr>
              <w:t>SFY 00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216019">
            <w:pPr>
              <w:pStyle w:val="Header"/>
              <w:tabs>
                <w:tab w:val="clear" w:pos="4320"/>
                <w:tab w:val="clear" w:pos="8640"/>
              </w:tabs>
            </w:pPr>
            <w:r>
              <w:t> </w:t>
            </w:r>
          </w:p>
        </w:tc>
        <w:tc>
          <w:tcPr>
            <w:tcW w:w="0" w:type="auto"/>
            <w:tcBorders>
              <w:top w:val="nil"/>
              <w:left w:val="nil"/>
              <w:bottom w:val="nil"/>
              <w:right w:val="nil"/>
            </w:tcBorders>
            <w:shd w:val="clear" w:color="auto" w:fill="C0C0C0"/>
            <w:noWrap/>
            <w:tcMar>
              <w:top w:w="20" w:type="dxa"/>
              <w:left w:w="20" w:type="dxa"/>
              <w:bottom w:w="0" w:type="dxa"/>
              <w:right w:w="20" w:type="dxa"/>
            </w:tcMar>
            <w:vAlign w:val="bottom"/>
          </w:tcPr>
          <w:p w:rsidR="00000000" w:rsidRDefault="00216019">
            <w:r>
              <w:t> </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r>
              <w:t> </w:t>
            </w:r>
          </w:p>
        </w:tc>
      </w:tr>
      <w:tr w:rsidR="00000000">
        <w:trPr>
          <w:trHeight w:val="3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Jul-99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104,156</w:t>
            </w:r>
          </w:p>
        </w:tc>
        <w:tc>
          <w:tcPr>
            <w:tcW w:w="0" w:type="auto"/>
            <w:tcBorders>
              <w:top w:val="nil"/>
              <w:left w:val="nil"/>
              <w:bottom w:val="single" w:sz="4" w:space="0" w:color="auto"/>
              <w:right w:val="nil"/>
            </w:tcBorders>
            <w:shd w:val="clear" w:color="auto" w:fill="C0C0C0"/>
            <w:noWrap/>
            <w:tcMar>
              <w:top w:w="20" w:type="dxa"/>
              <w:left w:w="20" w:type="dxa"/>
              <w:bottom w:w="0" w:type="dxa"/>
              <w:right w:w="20" w:type="dxa"/>
            </w:tcMar>
            <w:vAlign w:val="bottom"/>
          </w:tcPr>
          <w:p w:rsidR="00000000" w:rsidRDefault="00216019">
            <w:pPr>
              <w:jc w:val="right"/>
            </w:pPr>
            <w:r>
              <w:t>7,891</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2,104</w:t>
            </w:r>
          </w:p>
        </w:tc>
      </w:tr>
      <w:tr w:rsidR="00000000">
        <w:trPr>
          <w:trHeight w:val="31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rPr>
                <w:b/>
                <w:bCs/>
              </w:rPr>
            </w:pPr>
            <w:r>
              <w:rPr>
                <w:b/>
                <w:bCs/>
              </w:rPr>
              <w:t>SFY 01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216019">
            <w:r>
              <w:t> </w:t>
            </w:r>
          </w:p>
        </w:tc>
        <w:tc>
          <w:tcPr>
            <w:tcW w:w="0" w:type="auto"/>
            <w:tcBorders>
              <w:top w:val="nil"/>
              <w:left w:val="nil"/>
              <w:bottom w:val="nil"/>
              <w:right w:val="nil"/>
            </w:tcBorders>
            <w:shd w:val="clear" w:color="auto" w:fill="C0C0C0"/>
            <w:noWrap/>
            <w:tcMar>
              <w:top w:w="20" w:type="dxa"/>
              <w:left w:w="20" w:type="dxa"/>
              <w:bottom w:w="0" w:type="dxa"/>
              <w:right w:w="20" w:type="dxa"/>
            </w:tcMar>
            <w:vAlign w:val="bottom"/>
          </w:tcPr>
          <w:p w:rsidR="00000000" w:rsidRDefault="00216019">
            <w:r>
              <w:t> </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r>
              <w:t> </w:t>
            </w:r>
          </w:p>
        </w:tc>
      </w:tr>
      <w:tr w:rsidR="00000000">
        <w:trPr>
          <w:trHeight w:val="3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Jul-00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106,058</w:t>
            </w:r>
          </w:p>
        </w:tc>
        <w:tc>
          <w:tcPr>
            <w:tcW w:w="0" w:type="auto"/>
            <w:tcBorders>
              <w:top w:val="nil"/>
              <w:left w:val="nil"/>
              <w:bottom w:val="single" w:sz="4" w:space="0" w:color="auto"/>
              <w:right w:val="nil"/>
            </w:tcBorders>
            <w:shd w:val="clear" w:color="auto" w:fill="C0C0C0"/>
            <w:noWrap/>
            <w:tcMar>
              <w:top w:w="20" w:type="dxa"/>
              <w:left w:w="20" w:type="dxa"/>
              <w:bottom w:w="0" w:type="dxa"/>
              <w:right w:w="20" w:type="dxa"/>
            </w:tcMar>
            <w:vAlign w:val="bottom"/>
          </w:tcPr>
          <w:p w:rsidR="00000000" w:rsidRDefault="00216019">
            <w:pPr>
              <w:jc w:val="right"/>
            </w:pPr>
            <w:r>
              <w:t>8,477</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5,911</w:t>
            </w:r>
          </w:p>
        </w:tc>
      </w:tr>
      <w:tr w:rsidR="00000000">
        <w:trPr>
          <w:trHeight w:val="31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rPr>
                <w:b/>
                <w:bCs/>
              </w:rPr>
            </w:pPr>
            <w:r>
              <w:rPr>
                <w:b/>
                <w:bCs/>
              </w:rPr>
              <w:t>SFY 02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216019">
            <w:r>
              <w:t> </w:t>
            </w:r>
          </w:p>
        </w:tc>
        <w:tc>
          <w:tcPr>
            <w:tcW w:w="0" w:type="auto"/>
            <w:tcBorders>
              <w:top w:val="nil"/>
              <w:left w:val="nil"/>
              <w:bottom w:val="nil"/>
              <w:right w:val="nil"/>
            </w:tcBorders>
            <w:shd w:val="clear" w:color="auto" w:fill="C0C0C0"/>
            <w:noWrap/>
            <w:tcMar>
              <w:top w:w="20" w:type="dxa"/>
              <w:left w:w="20" w:type="dxa"/>
              <w:bottom w:w="0" w:type="dxa"/>
              <w:right w:w="20" w:type="dxa"/>
            </w:tcMar>
            <w:vAlign w:val="bottom"/>
          </w:tcPr>
          <w:p w:rsidR="00000000" w:rsidRDefault="00216019">
            <w:r>
              <w:t> </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r>
              <w:t> </w:t>
            </w:r>
          </w:p>
        </w:tc>
      </w:tr>
      <w:tr w:rsidR="00000000">
        <w:trPr>
          <w:trHeight w:val="300"/>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jc w:val="right"/>
            </w:pPr>
            <w:r>
              <w:t>Jul-01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126,370</w:t>
            </w:r>
          </w:p>
        </w:tc>
        <w:tc>
          <w:tcPr>
            <w:tcW w:w="0" w:type="auto"/>
            <w:tcBorders>
              <w:top w:val="nil"/>
              <w:left w:val="nil"/>
              <w:bottom w:val="single" w:sz="4" w:space="0" w:color="auto"/>
              <w:right w:val="nil"/>
            </w:tcBorders>
            <w:shd w:val="clear" w:color="auto" w:fill="C0C0C0"/>
            <w:noWrap/>
            <w:tcMar>
              <w:top w:w="20" w:type="dxa"/>
              <w:left w:w="20" w:type="dxa"/>
              <w:bottom w:w="0" w:type="dxa"/>
              <w:right w:w="20" w:type="dxa"/>
            </w:tcMar>
            <w:vAlign w:val="bottom"/>
          </w:tcPr>
          <w:p w:rsidR="00000000" w:rsidRDefault="00216019">
            <w:pPr>
              <w:jc w:val="right"/>
            </w:pPr>
            <w:r>
              <w:t>11,316</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10,273</w:t>
            </w:r>
          </w:p>
        </w:tc>
      </w:tr>
      <w:tr w:rsidR="00000000">
        <w:trPr>
          <w:trHeight w:val="315"/>
        </w:trPr>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rPr>
                <w:b/>
                <w:bCs/>
              </w:rPr>
            </w:pPr>
            <w:r>
              <w:rPr>
                <w:b/>
                <w:bCs/>
              </w:rPr>
              <w:t>SFY 03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216019">
            <w:r>
              <w:t> </w:t>
            </w:r>
          </w:p>
        </w:tc>
        <w:tc>
          <w:tcPr>
            <w:tcW w:w="0" w:type="auto"/>
            <w:tcBorders>
              <w:top w:val="nil"/>
              <w:left w:val="nil"/>
              <w:bottom w:val="nil"/>
              <w:right w:val="nil"/>
            </w:tcBorders>
            <w:shd w:val="clear" w:color="auto" w:fill="C0C0C0"/>
            <w:noWrap/>
            <w:tcMar>
              <w:top w:w="20" w:type="dxa"/>
              <w:left w:w="20" w:type="dxa"/>
              <w:bottom w:w="0" w:type="dxa"/>
              <w:right w:w="20" w:type="dxa"/>
            </w:tcMar>
            <w:vAlign w:val="bottom"/>
          </w:tcPr>
          <w:p w:rsidR="00000000" w:rsidRDefault="00216019">
            <w:r>
              <w:t> </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r>
              <w:t> </w:t>
            </w:r>
          </w:p>
        </w:tc>
      </w:tr>
      <w:tr w:rsidR="00000000">
        <w:trPr>
          <w:trHeight w:val="300"/>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jc w:val="right"/>
            </w:pPr>
            <w:r>
              <w:t>Jul-02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140,599</w:t>
            </w:r>
          </w:p>
        </w:tc>
        <w:tc>
          <w:tcPr>
            <w:tcW w:w="0" w:type="auto"/>
            <w:tcBorders>
              <w:top w:val="nil"/>
              <w:left w:val="nil"/>
              <w:bottom w:val="single" w:sz="4" w:space="0" w:color="auto"/>
              <w:right w:val="nil"/>
            </w:tcBorders>
            <w:shd w:val="clear" w:color="auto" w:fill="C0C0C0"/>
            <w:noWrap/>
            <w:tcMar>
              <w:top w:w="20" w:type="dxa"/>
              <w:left w:w="20" w:type="dxa"/>
              <w:bottom w:w="0" w:type="dxa"/>
              <w:right w:w="20" w:type="dxa"/>
            </w:tcMar>
            <w:vAlign w:val="bottom"/>
          </w:tcPr>
          <w:p w:rsidR="00000000" w:rsidRDefault="00216019">
            <w:pPr>
              <w:jc w:val="right"/>
            </w:pPr>
            <w:r>
              <w:t>12,526</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13,847</w:t>
            </w:r>
          </w:p>
        </w:tc>
      </w:tr>
      <w:tr w:rsidR="00000000">
        <w:trPr>
          <w:trHeight w:val="315"/>
        </w:trPr>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rPr>
                <w:b/>
                <w:bCs/>
              </w:rPr>
            </w:pPr>
            <w:r>
              <w:rPr>
                <w:b/>
                <w:bCs/>
              </w:rPr>
              <w:t>SFY 04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216019">
            <w:r>
              <w:t> </w:t>
            </w:r>
          </w:p>
        </w:tc>
        <w:tc>
          <w:tcPr>
            <w:tcW w:w="0" w:type="auto"/>
            <w:tcBorders>
              <w:top w:val="nil"/>
              <w:left w:val="nil"/>
              <w:bottom w:val="nil"/>
              <w:right w:val="nil"/>
            </w:tcBorders>
            <w:shd w:val="clear" w:color="auto" w:fill="C0C0C0"/>
            <w:noWrap/>
            <w:tcMar>
              <w:top w:w="20" w:type="dxa"/>
              <w:left w:w="20" w:type="dxa"/>
              <w:bottom w:w="0" w:type="dxa"/>
              <w:right w:w="20" w:type="dxa"/>
            </w:tcMar>
            <w:vAlign w:val="bottom"/>
          </w:tcPr>
          <w:p w:rsidR="00000000" w:rsidRDefault="00216019">
            <w:r>
              <w:t> </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r>
              <w:t> </w:t>
            </w:r>
          </w:p>
        </w:tc>
      </w:tr>
      <w:tr w:rsidR="00000000">
        <w:trPr>
          <w:trHeight w:val="300"/>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jc w:val="right"/>
            </w:pPr>
            <w:r>
              <w:t>Jul-03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216019">
            <w:pPr>
              <w:jc w:val="right"/>
            </w:pPr>
            <w:r>
              <w:t>152,228</w:t>
            </w:r>
          </w:p>
        </w:tc>
        <w:tc>
          <w:tcPr>
            <w:tcW w:w="0" w:type="auto"/>
            <w:tcBorders>
              <w:top w:val="nil"/>
              <w:left w:val="nil"/>
              <w:bottom w:val="nil"/>
              <w:right w:val="nil"/>
            </w:tcBorders>
            <w:shd w:val="clear" w:color="auto" w:fill="C0C0C0"/>
            <w:noWrap/>
            <w:tcMar>
              <w:top w:w="20" w:type="dxa"/>
              <w:left w:w="20" w:type="dxa"/>
              <w:bottom w:w="0" w:type="dxa"/>
              <w:right w:w="20" w:type="dxa"/>
            </w:tcMar>
            <w:vAlign w:val="bottom"/>
          </w:tcPr>
          <w:p w:rsidR="00000000" w:rsidRDefault="00216019">
            <w:pPr>
              <w:jc w:val="right"/>
            </w:pPr>
            <w:r>
              <w:t>13,744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jc w:val="right"/>
            </w:pPr>
            <w:r>
              <w:t>15,643</w:t>
            </w:r>
          </w:p>
        </w:tc>
      </w:tr>
      <w:tr w:rsidR="00000000">
        <w:trPr>
          <w:trHeight w:val="300"/>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jc w:val="right"/>
            </w:pPr>
            <w:r>
              <w:t>Aug-03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216019">
            <w:pPr>
              <w:jc w:val="right"/>
            </w:pPr>
            <w:r>
              <w:t>152,926</w:t>
            </w:r>
          </w:p>
        </w:tc>
        <w:tc>
          <w:tcPr>
            <w:tcW w:w="0" w:type="auto"/>
            <w:tcBorders>
              <w:top w:val="nil"/>
              <w:left w:val="nil"/>
              <w:bottom w:val="nil"/>
              <w:right w:val="nil"/>
            </w:tcBorders>
            <w:shd w:val="clear" w:color="auto" w:fill="C0C0C0"/>
            <w:noWrap/>
            <w:tcMar>
              <w:top w:w="20" w:type="dxa"/>
              <w:left w:w="20" w:type="dxa"/>
              <w:bottom w:w="0" w:type="dxa"/>
              <w:right w:w="20" w:type="dxa"/>
            </w:tcMar>
            <w:vAlign w:val="bottom"/>
          </w:tcPr>
          <w:p w:rsidR="00000000" w:rsidRDefault="00216019">
            <w:pPr>
              <w:jc w:val="right"/>
            </w:pPr>
            <w:r>
              <w:t>13,983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jc w:val="right"/>
            </w:pPr>
            <w:r>
              <w:t>15,790</w:t>
            </w:r>
          </w:p>
        </w:tc>
      </w:tr>
      <w:tr w:rsidR="00000000">
        <w:trPr>
          <w:trHeight w:val="300"/>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jc w:val="right"/>
            </w:pPr>
            <w:r>
              <w:t>Sep-03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216019">
            <w:pPr>
              <w:jc w:val="right"/>
            </w:pPr>
            <w:r>
              <w:t>154,094</w:t>
            </w:r>
          </w:p>
        </w:tc>
        <w:tc>
          <w:tcPr>
            <w:tcW w:w="0" w:type="auto"/>
            <w:tcBorders>
              <w:top w:val="nil"/>
              <w:left w:val="nil"/>
              <w:bottom w:val="nil"/>
              <w:right w:val="nil"/>
            </w:tcBorders>
            <w:shd w:val="clear" w:color="auto" w:fill="C0C0C0"/>
            <w:noWrap/>
            <w:tcMar>
              <w:top w:w="20" w:type="dxa"/>
              <w:left w:w="20" w:type="dxa"/>
              <w:bottom w:w="0" w:type="dxa"/>
              <w:right w:w="20" w:type="dxa"/>
            </w:tcMar>
            <w:vAlign w:val="bottom"/>
          </w:tcPr>
          <w:p w:rsidR="00000000" w:rsidRDefault="00216019">
            <w:pPr>
              <w:jc w:val="right"/>
            </w:pPr>
            <w:r>
              <w:t>14,097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jc w:val="right"/>
            </w:pPr>
            <w:r>
              <w:t>15,891</w:t>
            </w:r>
          </w:p>
        </w:tc>
      </w:tr>
      <w:tr w:rsidR="00000000">
        <w:trPr>
          <w:trHeight w:val="300"/>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jc w:val="right"/>
            </w:pPr>
            <w:r>
              <w:t>Oct-03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216019">
            <w:pPr>
              <w:jc w:val="right"/>
            </w:pPr>
            <w:r>
              <w:t>155,579</w:t>
            </w:r>
          </w:p>
        </w:tc>
        <w:tc>
          <w:tcPr>
            <w:tcW w:w="0" w:type="auto"/>
            <w:tcBorders>
              <w:top w:val="nil"/>
              <w:left w:val="nil"/>
              <w:bottom w:val="nil"/>
              <w:right w:val="nil"/>
            </w:tcBorders>
            <w:shd w:val="clear" w:color="auto" w:fill="C0C0C0"/>
            <w:noWrap/>
            <w:tcMar>
              <w:top w:w="20" w:type="dxa"/>
              <w:left w:w="20" w:type="dxa"/>
              <w:bottom w:w="0" w:type="dxa"/>
              <w:right w:w="20" w:type="dxa"/>
            </w:tcMar>
            <w:vAlign w:val="bottom"/>
          </w:tcPr>
          <w:p w:rsidR="00000000" w:rsidRDefault="00216019">
            <w:pPr>
              <w:jc w:val="right"/>
            </w:pPr>
            <w:r>
              <w:t>13,823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16019">
            <w:pPr>
              <w:jc w:val="right"/>
            </w:pPr>
            <w:r>
              <w:t>15,970</w:t>
            </w:r>
          </w:p>
        </w:tc>
      </w:tr>
      <w:tr w:rsidR="00000000">
        <w:trPr>
          <w:trHeight w:val="3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Nov-03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155,555</w:t>
            </w:r>
          </w:p>
        </w:tc>
        <w:tc>
          <w:tcPr>
            <w:tcW w:w="0" w:type="auto"/>
            <w:tcBorders>
              <w:top w:val="nil"/>
              <w:left w:val="nil"/>
              <w:bottom w:val="single" w:sz="4" w:space="0" w:color="auto"/>
              <w:right w:val="nil"/>
            </w:tcBorders>
            <w:shd w:val="clear" w:color="auto" w:fill="C0C0C0"/>
            <w:noWrap/>
            <w:tcMar>
              <w:top w:w="20" w:type="dxa"/>
              <w:left w:w="20" w:type="dxa"/>
              <w:bottom w:w="0" w:type="dxa"/>
              <w:right w:w="20" w:type="dxa"/>
            </w:tcMar>
            <w:vAlign w:val="bottom"/>
          </w:tcPr>
          <w:p w:rsidR="00000000" w:rsidRDefault="00216019">
            <w:pPr>
              <w:jc w:val="right"/>
            </w:pPr>
            <w:r>
              <w:t>13,820</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15,710</w:t>
            </w:r>
          </w:p>
        </w:tc>
      </w:tr>
      <w:tr w:rsidR="00000000">
        <w:trPr>
          <w:trHeight w:val="630"/>
        </w:trPr>
        <w:tc>
          <w:tcPr>
            <w:tcW w:w="0" w:type="auto"/>
            <w:tcBorders>
              <w:top w:val="nil"/>
              <w:left w:val="nil"/>
              <w:bottom w:val="nil"/>
              <w:right w:val="nil"/>
            </w:tcBorders>
            <w:noWrap/>
            <w:tcMar>
              <w:top w:w="20" w:type="dxa"/>
              <w:left w:w="20" w:type="dxa"/>
              <w:bottom w:w="0" w:type="dxa"/>
              <w:right w:w="20" w:type="dxa"/>
            </w:tcMar>
            <w:vAlign w:val="bottom"/>
          </w:tcPr>
          <w:p w:rsidR="00000000" w:rsidRDefault="00216019"/>
        </w:tc>
        <w:tc>
          <w:tcPr>
            <w:tcW w:w="0" w:type="auto"/>
            <w:tcBorders>
              <w:top w:val="nil"/>
              <w:left w:val="nil"/>
              <w:bottom w:val="nil"/>
              <w:right w:val="nil"/>
            </w:tcBorders>
            <w:noWrap/>
            <w:tcMar>
              <w:top w:w="20" w:type="dxa"/>
              <w:left w:w="20" w:type="dxa"/>
              <w:bottom w:w="0" w:type="dxa"/>
              <w:right w:w="20" w:type="dxa"/>
            </w:tcMar>
            <w:vAlign w:val="bottom"/>
          </w:tcPr>
          <w:p w:rsidR="00000000" w:rsidRDefault="00216019"/>
        </w:tc>
        <w:tc>
          <w:tcPr>
            <w:tcW w:w="1714" w:type="dxa"/>
            <w:tcBorders>
              <w:top w:val="nil"/>
              <w:left w:val="single" w:sz="4" w:space="0" w:color="auto"/>
              <w:bottom w:val="single" w:sz="4" w:space="0" w:color="auto"/>
              <w:right w:val="nil"/>
            </w:tcBorders>
            <w:tcMar>
              <w:top w:w="20" w:type="dxa"/>
              <w:left w:w="20" w:type="dxa"/>
              <w:bottom w:w="0" w:type="dxa"/>
              <w:right w:w="20" w:type="dxa"/>
            </w:tcMar>
            <w:vAlign w:val="bottom"/>
          </w:tcPr>
          <w:p w:rsidR="00000000" w:rsidRDefault="00216019">
            <w:pPr>
              <w:rPr>
                <w:b/>
                <w:bCs/>
              </w:rPr>
            </w:pPr>
            <w:r>
              <w:rPr>
                <w:b/>
                <w:bCs/>
              </w:rPr>
              <w:t>T</w:t>
            </w:r>
            <w:r>
              <w:rPr>
                <w:b/>
                <w:bCs/>
              </w:rPr>
              <w:t>otal SCHIP Enrollment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6019">
            <w:pPr>
              <w:jc w:val="right"/>
            </w:pPr>
            <w:r>
              <w:t>29,530</w:t>
            </w: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r>
      <w:tr w:rsidR="00000000">
        <w:trPr>
          <w:trHeight w:val="285"/>
        </w:trPr>
        <w:tc>
          <w:tcPr>
            <w:tcW w:w="0" w:type="auto"/>
            <w:gridSpan w:val="3"/>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r>
              <w:rPr>
                <w:sz w:val="20"/>
              </w:rPr>
              <w:t>Total growth in Medicaid enrollment from SFY 99 to present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jc w:val="right"/>
              <w:rPr>
                <w:sz w:val="22"/>
                <w:szCs w:val="22"/>
              </w:rPr>
            </w:pPr>
            <w:r>
              <w:rPr>
                <w:sz w:val="22"/>
                <w:szCs w:val="22"/>
              </w:rPr>
              <w:t>63,818</w:t>
            </w:r>
          </w:p>
        </w:tc>
      </w:tr>
      <w:tr w:rsidR="00000000">
        <w:trPr>
          <w:trHeight w:val="285"/>
        </w:trPr>
        <w:tc>
          <w:tcPr>
            <w:tcW w:w="0" w:type="auto"/>
            <w:gridSpan w:val="3"/>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r>
              <w:rPr>
                <w:sz w:val="20"/>
              </w:rPr>
              <w:t xml:space="preserve">Total growth in </w:t>
            </w:r>
            <w:r>
              <w:rPr>
                <w:b/>
                <w:bCs/>
                <w:i/>
                <w:iCs/>
                <w:sz w:val="20"/>
              </w:rPr>
              <w:t>hawk-i</w:t>
            </w:r>
            <w:r>
              <w:rPr>
                <w:sz w:val="20"/>
              </w:rPr>
              <w:t xml:space="preserve"> enrollment from SFY 99 to present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216019">
            <w:pPr>
              <w:jc w:val="right"/>
              <w:rPr>
                <w:sz w:val="22"/>
                <w:szCs w:val="22"/>
              </w:rPr>
            </w:pPr>
            <w:r>
              <w:rPr>
                <w:sz w:val="22"/>
                <w:szCs w:val="22"/>
              </w:rPr>
              <w:t>15,710</w:t>
            </w:r>
          </w:p>
        </w:tc>
      </w:tr>
      <w:tr w:rsidR="00000000">
        <w:trPr>
          <w:trHeight w:val="285"/>
        </w:trPr>
        <w:tc>
          <w:tcPr>
            <w:tcW w:w="0" w:type="auto"/>
            <w:gridSpan w:val="2"/>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r>
              <w:rPr>
                <w:sz w:val="20"/>
              </w:rPr>
              <w:t>Total children covered</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jc w:val="right"/>
              <w:rPr>
                <w:sz w:val="22"/>
                <w:szCs w:val="22"/>
              </w:rPr>
            </w:pPr>
            <w:r>
              <w:rPr>
                <w:sz w:val="22"/>
                <w:szCs w:val="22"/>
              </w:rPr>
              <w:t>79,528</w:t>
            </w: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p>
        </w:tc>
      </w:tr>
      <w:tr w:rsidR="00000000">
        <w:trPr>
          <w:trHeight w:val="255"/>
        </w:trPr>
        <w:tc>
          <w:tcPr>
            <w:tcW w:w="0" w:type="auto"/>
            <w:gridSpan w:val="4"/>
            <w:tcBorders>
              <w:top w:val="nil"/>
              <w:left w:val="nil"/>
              <w:bottom w:val="nil"/>
              <w:right w:val="nil"/>
            </w:tcBorders>
            <w:noWrap/>
            <w:tcMar>
              <w:top w:w="20" w:type="dxa"/>
              <w:left w:w="20" w:type="dxa"/>
              <w:bottom w:w="0" w:type="dxa"/>
              <w:right w:w="20" w:type="dxa"/>
            </w:tcMar>
            <w:vAlign w:val="bottom"/>
          </w:tcPr>
          <w:p w:rsidR="00000000" w:rsidRDefault="00216019">
            <w:pPr>
              <w:rPr>
                <w:sz w:val="20"/>
              </w:rPr>
            </w:pPr>
            <w:r>
              <w:rPr>
                <w:sz w:val="20"/>
              </w:rPr>
              <w:t>*Expanded Medicaid number is included in "T</w:t>
            </w:r>
            <w:r>
              <w:rPr>
                <w:sz w:val="20"/>
              </w:rPr>
              <w:t>otal Children on Medicaid" number</w:t>
            </w:r>
          </w:p>
        </w:tc>
      </w:tr>
    </w:tbl>
    <w:p w:rsidR="00000000" w:rsidRDefault="00216019">
      <w:pPr>
        <w:rPr>
          <w:sz w:val="16"/>
        </w:rPr>
        <w:sectPr w:rsidR="00000000">
          <w:pgSz w:w="12240" w:h="15840" w:code="1"/>
          <w:pgMar w:top="720" w:right="720" w:bottom="720" w:left="720" w:header="720" w:footer="720" w:gutter="0"/>
          <w:pgNumType w:start="14"/>
          <w:cols w:space="720"/>
          <w:titlePg/>
        </w:sectPr>
      </w:pPr>
    </w:p>
    <w:p w:rsidR="00000000" w:rsidRDefault="00216019">
      <w:pPr>
        <w:jc w:val="center"/>
        <w:rPr>
          <w:b/>
          <w:bCs/>
        </w:rPr>
      </w:pPr>
      <w:r>
        <w:rPr>
          <w:b/>
          <w:bCs/>
        </w:rPr>
        <w:lastRenderedPageBreak/>
        <w:t>IOWA’S CHIP PROGRAM</w:t>
      </w:r>
    </w:p>
    <w:p w:rsidR="00000000" w:rsidRDefault="00216019">
      <w:pPr>
        <w:jc w:val="center"/>
        <w:rPr>
          <w:b/>
          <w:bCs/>
          <w:i/>
        </w:rPr>
      </w:pPr>
      <w:r>
        <w:rPr>
          <w:b/>
          <w:bCs/>
        </w:rPr>
        <w:t xml:space="preserve">COMBINATION MEDICAID EXPANSION AND </w:t>
      </w:r>
      <w:r>
        <w:rPr>
          <w:b/>
          <w:bCs/>
          <w:i/>
        </w:rPr>
        <w:t>hawk-i</w:t>
      </w:r>
    </w:p>
    <w:p w:rsidR="00000000" w:rsidRDefault="00216019"/>
    <w:p w:rsidR="00000000" w:rsidRDefault="00216019">
      <w:r>
        <w:rPr>
          <w:noProof/>
        </w:rPr>
        <w:pict>
          <v:line id="_x0000_s2102" style="position:absolute;z-index:251586560" from="99.45pt,12.8pt" to="99.45pt,63.45pt" strokeweight="4.5pt"/>
        </w:pict>
      </w:r>
      <w:r>
        <w:rPr>
          <w:noProof/>
        </w:rPr>
        <w:pict>
          <v:line id="_x0000_s2098" style="position:absolute;z-index:251582464" from="460.8pt,9.7pt" to="460.8pt,175.55pt" o:allowincell="f" strokeweight="4.5pt"/>
        </w:pict>
      </w:r>
      <w:r>
        <w:rPr>
          <w:noProof/>
        </w:rPr>
        <w:pict>
          <v:line id="_x0000_s2097" style="position:absolute;z-index:251581440" from="-7.2pt,9.7pt" to="-7.2pt,60.35pt" o:allowincell="f" strokeweight="4.5pt"/>
        </w:pict>
      </w:r>
      <w:r>
        <w:rPr>
          <w:noProof/>
        </w:rPr>
        <w:pict>
          <v:line id="_x0000_s2106" style="position:absolute;flip:x;z-index:251590656" from="-7.2pt,9.95pt" to="93.6pt,9.95pt" o:allowincell="f" strokeweight="4.5pt"/>
        </w:pict>
      </w:r>
      <w:r>
        <w:rPr>
          <w:noProof/>
        </w:rPr>
        <w:pict>
          <v:line id="_x0000_s2087" style="position:absolute;flip:y;z-index:251571200" from="93.6pt,9.7pt" to="460.8pt,9.95pt" o:allowincell="f" strokeweight="4.5pt"/>
        </w:pict>
      </w:r>
      <w:r>
        <w:rPr>
          <w:noProof/>
        </w:rPr>
        <w:pict>
          <v:line id="_x0000_s2103" style="position:absolute;flip:y;z-index:251587584" from="237.6pt,9.95pt" to="237.6pt,60.35pt" o:allowincell="f" strokecolor="red" strokeweight="2.25pt">
            <v:stroke endarrow="block"/>
          </v:line>
        </w:pict>
      </w:r>
    </w:p>
    <w:p w:rsidR="00000000" w:rsidRDefault="00216019">
      <w:pPr>
        <w:ind w:left="720"/>
        <w:jc w:val="center"/>
        <w:rPr>
          <w:b/>
          <w:color w:val="FF0000"/>
        </w:rPr>
      </w:pPr>
      <w:r>
        <w:rPr>
          <w:noProof/>
        </w:rPr>
        <w:pict>
          <v:line id="_x0000_s2108" style="position:absolute;left:0;text-align:left;z-index:251592704" from="90.45pt,8pt" to="90.45pt,44pt" strokecolor="red">
            <v:stroke startarrow="block" endarrow="block"/>
          </v:line>
        </w:pict>
      </w:r>
      <w:r>
        <w:rPr>
          <w:b/>
          <w:color w:val="FF0000"/>
        </w:rPr>
        <w:t>200% FPL</w:t>
      </w:r>
    </w:p>
    <w:p w:rsidR="00000000" w:rsidRDefault="00216019">
      <w:pPr>
        <w:pStyle w:val="BodyText2"/>
        <w:rPr>
          <w:b/>
          <w:noProof/>
          <w:color w:val="FF0000"/>
          <w:sz w:val="20"/>
        </w:rPr>
      </w:pPr>
      <w:r>
        <w:rPr>
          <w:b/>
          <w:noProof/>
          <w:color w:val="FF0000"/>
          <w:sz w:val="20"/>
        </w:rPr>
        <w:t>Medicaid Expansion</w:t>
      </w:r>
    </w:p>
    <w:p w:rsidR="00000000" w:rsidRDefault="00216019">
      <w:pPr>
        <w:pStyle w:val="BodyText2"/>
        <w:rPr>
          <w:noProof/>
        </w:rPr>
      </w:pPr>
      <w:r>
        <w:rPr>
          <w:noProof/>
          <w:color w:val="FF0000"/>
        </w:rPr>
        <w:t>(</w:t>
      </w:r>
      <w:r>
        <w:rPr>
          <w:i/>
          <w:noProof/>
          <w:color w:val="FF0000"/>
          <w:sz w:val="20"/>
        </w:rPr>
        <w:t>Title 21 Funded)</w:t>
      </w:r>
    </w:p>
    <w:p w:rsidR="00000000" w:rsidRDefault="00216019">
      <w:pPr>
        <w:pStyle w:val="BodyText2"/>
      </w:pPr>
      <w:r>
        <w:rPr>
          <w:noProof/>
        </w:rPr>
        <w:pict>
          <v:line id="_x0000_s2100" style="position:absolute;z-index:251584512" from="-7.2pt,10.55pt" to="93.6pt,10.55pt" o:allowincell="f" strokeweight="4.5pt">
            <v:stroke dashstyle="1 1"/>
          </v:line>
        </w:pict>
      </w:r>
    </w:p>
    <w:p w:rsidR="00000000" w:rsidRDefault="00216019">
      <w:pPr>
        <w:rPr>
          <w:b/>
          <w:color w:val="0000FF"/>
        </w:rPr>
      </w:pPr>
      <w:r>
        <w:rPr>
          <w:noProof/>
        </w:rPr>
        <w:pict>
          <v:line id="_x0000_s2095" style="position:absolute;z-index:251579392" from="99.45pt,.1pt" to="99.45pt,79.3pt" strokeweight="4.5pt"/>
        </w:pict>
      </w:r>
      <w:r>
        <w:rPr>
          <w:noProof/>
        </w:rPr>
        <w:pict>
          <v:line id="_x0000_s2096" style="position:absolute;z-index:251580416" from="-7.2pt,.75pt" to="-7.2pt,301.2pt" o:allowincell="f" strokeweight="2pt"/>
        </w:pict>
      </w:r>
      <w:r>
        <w:rPr>
          <w:color w:val="0000FF"/>
        </w:rPr>
        <w:t xml:space="preserve">       </w:t>
      </w:r>
      <w:r>
        <w:rPr>
          <w:b/>
          <w:color w:val="0000FF"/>
        </w:rPr>
        <w:t>185% FPL</w:t>
      </w:r>
    </w:p>
    <w:p w:rsidR="00000000" w:rsidRDefault="00216019">
      <w:pPr>
        <w:rPr>
          <w:i/>
          <w:color w:val="FF0000"/>
        </w:rPr>
      </w:pPr>
      <w:r>
        <w:rPr>
          <w:noProof/>
        </w:rPr>
        <w:pict>
          <v:line id="_x0000_s2109" style="position:absolute;z-index:251593728" from="36pt,8.35pt" to="36pt,245.95pt" o:allowincell="f" strokecolor="#339">
            <v:stroke startarrow="block" endarrow="block"/>
          </v:line>
        </w:pict>
      </w:r>
      <w:r>
        <w:rPr>
          <w:noProof/>
        </w:rPr>
        <w:pict>
          <v:line id="_x0000_s2104" style="position:absolute;z-index:251588608" from="237.6pt,24.45pt" to="237.6pt,60.45pt" o:allowincell="f" strokecolor="red" strokeweight="2.25pt">
            <v:stroke endarrow="block"/>
          </v:line>
        </w:pict>
      </w:r>
      <w:r>
        <w:rPr>
          <w:color w:val="0000FF"/>
        </w:rPr>
        <w:tab/>
      </w:r>
      <w:r>
        <w:rPr>
          <w:color w:val="0000FF"/>
        </w:rPr>
        <w:tab/>
      </w:r>
      <w:r>
        <w:tab/>
      </w:r>
      <w:r>
        <w:tab/>
      </w:r>
      <w:r>
        <w:tab/>
      </w:r>
      <w:r>
        <w:rPr>
          <w:b/>
          <w:color w:val="FF0000"/>
          <w:sz w:val="48"/>
        </w:rPr>
        <w:t xml:space="preserve"> </w:t>
      </w:r>
      <w:r>
        <w:rPr>
          <w:b/>
          <w:i/>
          <w:color w:val="FF0000"/>
          <w:sz w:val="48"/>
        </w:rPr>
        <w:t>h</w:t>
      </w:r>
      <w:r>
        <w:rPr>
          <w:b/>
          <w:color w:val="FF0000"/>
          <w:sz w:val="48"/>
        </w:rPr>
        <w:t xml:space="preserve"> </w:t>
      </w:r>
      <w:r>
        <w:rPr>
          <w:b/>
          <w:i/>
          <w:color w:val="FF0000"/>
          <w:sz w:val="48"/>
        </w:rPr>
        <w:t>a</w:t>
      </w:r>
      <w:r>
        <w:rPr>
          <w:b/>
          <w:color w:val="FF0000"/>
          <w:sz w:val="48"/>
        </w:rPr>
        <w:t xml:space="preserve"> </w:t>
      </w:r>
      <w:r>
        <w:rPr>
          <w:b/>
          <w:i/>
          <w:color w:val="FF0000"/>
          <w:sz w:val="48"/>
        </w:rPr>
        <w:t>w</w:t>
      </w:r>
      <w:r>
        <w:rPr>
          <w:b/>
          <w:color w:val="FF0000"/>
          <w:sz w:val="48"/>
        </w:rPr>
        <w:t xml:space="preserve"> </w:t>
      </w:r>
      <w:r>
        <w:rPr>
          <w:b/>
          <w:i/>
          <w:color w:val="FF0000"/>
          <w:sz w:val="48"/>
        </w:rPr>
        <w:t>k</w:t>
      </w:r>
      <w:r>
        <w:rPr>
          <w:b/>
          <w:color w:val="FF0000"/>
          <w:sz w:val="48"/>
        </w:rPr>
        <w:t xml:space="preserve"> – </w:t>
      </w:r>
      <w:r>
        <w:rPr>
          <w:b/>
          <w:i/>
          <w:color w:val="FF0000"/>
          <w:sz w:val="48"/>
        </w:rPr>
        <w:t xml:space="preserve">i </w:t>
      </w:r>
      <w:r>
        <w:rPr>
          <w:b/>
          <w:i/>
          <w:color w:val="FF0000"/>
        </w:rPr>
        <w:t>(Title 21 Funded)</w:t>
      </w:r>
    </w:p>
    <w:p w:rsidR="00000000" w:rsidRDefault="00216019">
      <w:pPr>
        <w:rPr>
          <w:color w:val="0000FF"/>
        </w:rPr>
      </w:pPr>
      <w:r>
        <w:rPr>
          <w:b/>
        </w:rPr>
        <w:t xml:space="preserve">       </w:t>
      </w:r>
      <w:r>
        <w:rPr>
          <w:b/>
          <w:color w:val="0000FF"/>
        </w:rPr>
        <w:t>INFANTS</w:t>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p>
    <w:p w:rsidR="00000000" w:rsidRDefault="00216019">
      <w:pPr>
        <w:rPr>
          <w:color w:val="0000FF"/>
        </w:rPr>
      </w:pPr>
      <w:r>
        <w:rPr>
          <w:color w:val="0000FF"/>
        </w:rPr>
        <w:t>(Less than 1 year)</w:t>
      </w:r>
    </w:p>
    <w:p w:rsidR="00000000" w:rsidRDefault="00216019">
      <w:r>
        <w:rPr>
          <w:noProof/>
        </w:rPr>
        <w:pict>
          <v:line id="_x0000_s2101" style="position:absolute;z-index:251585536" from="93.6pt,3.1pt" to="237.6pt,3.1pt" o:allowincell="f" strokeweight="4.5pt"/>
        </w:pict>
      </w:r>
      <w:r>
        <w:rPr>
          <w:noProof/>
        </w:rPr>
        <w:pict>
          <v:line id="_x0000_s2099" style="position:absolute;z-index:251583488" from="230.4pt,3.1pt" to="230.4pt,43.65pt" o:allowincell="f" strokeweight="4.5pt">
            <v:stroke dashstyle="dash"/>
          </v:line>
        </w:pict>
      </w:r>
      <w:r>
        <w:rPr>
          <w:noProof/>
        </w:rPr>
        <w:pict>
          <v:line id="_x0000_s2088" style="position:absolute;z-index:251572224" from="230.4pt,3.1pt" to="460.8pt,3.1pt" o:allowincell="f" strokeweight="4.5pt"/>
        </w:pict>
      </w:r>
    </w:p>
    <w:p w:rsidR="00000000" w:rsidRDefault="00216019">
      <w:pPr>
        <w:rPr>
          <w:color w:val="0000FF"/>
        </w:rPr>
      </w:pPr>
      <w:r>
        <w:rPr>
          <w:noProof/>
        </w:rPr>
        <w:pict>
          <v:line id="_x0000_s2110" style="position:absolute;z-index:251594752" from="208.8pt,6.75pt" to="208.8pt,179.55pt" o:allowincell="f" strokecolor="#339">
            <v:stroke startarrow="block" endarrow="block"/>
          </v:line>
        </w:pict>
      </w:r>
      <w:r>
        <w:rPr>
          <w:noProof/>
        </w:rPr>
        <w:pict>
          <v:line id="_x0000_s2107" style="position:absolute;z-index:251591680" from="6in,-.45pt" to="6in,28.35pt" o:allowincell="f" strokecolor="red">
            <v:stroke startarrow="block" endarrow="block"/>
          </v:line>
        </w:pict>
      </w:r>
      <w:r>
        <w:tab/>
      </w:r>
      <w:r>
        <w:tab/>
      </w:r>
      <w:r>
        <w:tab/>
      </w:r>
      <w:r>
        <w:rPr>
          <w:color w:val="0000FF"/>
        </w:rPr>
        <w:t xml:space="preserve">      </w:t>
      </w:r>
      <w:r>
        <w:rPr>
          <w:b/>
          <w:color w:val="0000FF"/>
        </w:rPr>
        <w:t xml:space="preserve">133% FPL    </w:t>
      </w:r>
      <w:r>
        <w:rPr>
          <w:b/>
          <w:color w:val="0000FF"/>
        </w:rPr>
        <w:tab/>
      </w:r>
      <w:r>
        <w:rPr>
          <w:b/>
          <w:color w:val="0000FF"/>
        </w:rPr>
        <w:tab/>
        <w:t xml:space="preserve">  </w:t>
      </w:r>
      <w:r>
        <w:rPr>
          <w:b/>
          <w:color w:val="FF0000"/>
        </w:rPr>
        <w:t>Medicaid Expansion</w:t>
      </w:r>
    </w:p>
    <w:p w:rsidR="00000000" w:rsidRDefault="00216019">
      <w:pPr>
        <w:rPr>
          <w:color w:val="FF0000"/>
        </w:rPr>
      </w:pPr>
      <w:r>
        <w:rPr>
          <w:color w:val="0000FF"/>
        </w:rPr>
        <w:tab/>
      </w:r>
      <w:r>
        <w:rPr>
          <w:color w:val="0000FF"/>
        </w:rPr>
        <w:tab/>
      </w:r>
      <w:r>
        <w:rPr>
          <w:color w:val="0000FF"/>
        </w:rPr>
        <w:tab/>
        <w:t xml:space="preserve"> </w:t>
      </w:r>
      <w:r>
        <w:rPr>
          <w:b/>
          <w:color w:val="0000FF"/>
        </w:rPr>
        <w:t>CHILDREN  1 –5</w:t>
      </w:r>
      <w:r>
        <w:rPr>
          <w:b/>
          <w:color w:val="0000FF"/>
        </w:rPr>
        <w:tab/>
      </w:r>
      <w:r>
        <w:rPr>
          <w:b/>
          <w:color w:val="FF0000"/>
        </w:rPr>
        <w:tab/>
        <w:t xml:space="preserve">      (</w:t>
      </w:r>
      <w:r>
        <w:rPr>
          <w:i/>
          <w:color w:val="FF0000"/>
        </w:rPr>
        <w:t>Title 21 Funded</w:t>
      </w:r>
      <w:r>
        <w:rPr>
          <w:b/>
          <w:color w:val="FF0000"/>
        </w:rPr>
        <w:t>)</w:t>
      </w:r>
    </w:p>
    <w:p w:rsidR="00000000" w:rsidRDefault="00216019">
      <w:pPr>
        <w:rPr>
          <w:color w:val="FF0000"/>
        </w:rPr>
      </w:pPr>
      <w:r>
        <w:rPr>
          <w:noProof/>
        </w:rPr>
        <w:pict>
          <v:line id="_x0000_s2094" style="position:absolute;z-index:251578368" from="460.8pt,5.35pt" to="460.8pt,196.35pt" o:allowincell="f" strokeweight="2pt"/>
        </w:pict>
      </w:r>
      <w:r>
        <w:rPr>
          <w:noProof/>
          <w:color w:val="FF0000"/>
        </w:rPr>
        <w:pict>
          <v:line id="_x0000_s2105" style="position:absolute;z-index:251589632" from="230.4pt,7.05pt" to="460.8pt,7.05pt" o:allowincell="f" strokeweight="4.5pt">
            <v:stroke dashstyle="dash"/>
          </v:line>
        </w:pict>
      </w:r>
    </w:p>
    <w:p w:rsidR="00000000" w:rsidRDefault="00216019">
      <w:pPr>
        <w:rPr>
          <w:color w:val="0000FF"/>
          <w:sz w:val="32"/>
        </w:rPr>
      </w:pPr>
      <w:r>
        <w:rPr>
          <w:noProof/>
        </w:rPr>
        <w:pict>
          <v:line id="_x0000_s2111" style="position:absolute;z-index:251595776" from="374.4pt,8.25pt" to="374.4pt,152.25pt" o:allowincell="f" strokecolor="#339">
            <v:stroke startarrow="block" endarrow="block"/>
          </v:line>
        </w:pict>
      </w:r>
      <w:r>
        <w:tab/>
      </w:r>
      <w:r>
        <w:tab/>
      </w:r>
      <w:r>
        <w:tab/>
      </w:r>
      <w:r>
        <w:tab/>
      </w:r>
      <w:r>
        <w:tab/>
      </w:r>
      <w:r>
        <w:tab/>
      </w:r>
      <w:r>
        <w:tab/>
        <w:t xml:space="preserve">    </w:t>
      </w:r>
      <w:r>
        <w:rPr>
          <w:b/>
          <w:color w:val="0000FF"/>
        </w:rPr>
        <w:t>100% FPL</w:t>
      </w:r>
      <w:r>
        <w:rPr>
          <w:b/>
          <w:color w:val="0000FF"/>
        </w:rPr>
        <w:tab/>
      </w:r>
      <w:r>
        <w:rPr>
          <w:b/>
          <w:color w:val="0000FF"/>
        </w:rPr>
        <w:tab/>
      </w:r>
    </w:p>
    <w:p w:rsidR="00000000" w:rsidRDefault="00216019">
      <w:r>
        <w:rPr>
          <w:color w:val="0000FF"/>
        </w:rPr>
        <w:tab/>
      </w:r>
      <w:r>
        <w:rPr>
          <w:color w:val="0000FF"/>
        </w:rPr>
        <w:tab/>
      </w:r>
      <w:r>
        <w:rPr>
          <w:color w:val="0000FF"/>
        </w:rPr>
        <w:tab/>
      </w:r>
      <w:r>
        <w:rPr>
          <w:color w:val="0000FF"/>
        </w:rPr>
        <w:tab/>
      </w:r>
      <w:r>
        <w:rPr>
          <w:color w:val="0000FF"/>
        </w:rPr>
        <w:tab/>
      </w:r>
      <w:r>
        <w:rPr>
          <w:color w:val="0000FF"/>
        </w:rPr>
        <w:tab/>
        <w:t xml:space="preserve">        </w:t>
      </w:r>
      <w:r>
        <w:rPr>
          <w:b/>
          <w:color w:val="0000FF"/>
        </w:rPr>
        <w:t>CHILDREN   6 - 19</w:t>
      </w:r>
    </w:p>
    <w:p w:rsidR="00000000" w:rsidRDefault="00216019">
      <w:r>
        <w:tab/>
      </w:r>
      <w:r>
        <w:tab/>
      </w:r>
      <w:r>
        <w:tab/>
      </w:r>
      <w:r>
        <w:tab/>
      </w:r>
      <w:r>
        <w:tab/>
      </w:r>
      <w:r>
        <w:tab/>
      </w:r>
      <w:r>
        <w:tab/>
      </w:r>
      <w:r>
        <w:tab/>
      </w:r>
      <w:r>
        <w:tab/>
        <w:t xml:space="preserve">         </w:t>
      </w:r>
    </w:p>
    <w:p w:rsidR="00000000" w:rsidRDefault="00216019">
      <w:pPr>
        <w:pStyle w:val="Heading3"/>
        <w:rPr>
          <w:sz w:val="28"/>
        </w:rPr>
      </w:pPr>
      <w:r>
        <w:t>M     E     D     I     C     A     I     D</w:t>
      </w:r>
    </w:p>
    <w:p w:rsidR="00000000" w:rsidRDefault="00216019">
      <w:pPr>
        <w:pStyle w:val="Header"/>
        <w:tabs>
          <w:tab w:val="clear" w:pos="4320"/>
          <w:tab w:val="clear" w:pos="8640"/>
        </w:tabs>
        <w:rPr>
          <w:i/>
          <w:color w:val="0000FF"/>
          <w:sz w:val="28"/>
        </w:rPr>
      </w:pPr>
      <w:r>
        <w:tab/>
      </w:r>
      <w:r>
        <w:tab/>
      </w:r>
      <w:r>
        <w:tab/>
      </w:r>
      <w:r>
        <w:rPr>
          <w:i/>
          <w:color w:val="0000FF"/>
          <w:sz w:val="28"/>
        </w:rPr>
        <w:t>(Title 19 Funded)</w:t>
      </w:r>
    </w:p>
    <w:p w:rsidR="00000000" w:rsidRDefault="00216019">
      <w:pPr>
        <w:pStyle w:val="Header"/>
        <w:tabs>
          <w:tab w:val="clear" w:pos="4320"/>
          <w:tab w:val="clear" w:pos="8640"/>
        </w:tabs>
        <w:rPr>
          <w:noProof/>
        </w:rPr>
      </w:pPr>
    </w:p>
    <w:p w:rsidR="00000000" w:rsidRDefault="00216019">
      <w:pPr>
        <w:rPr>
          <w:color w:val="0000FF"/>
        </w:rPr>
      </w:pPr>
      <w:r>
        <w:tab/>
      </w:r>
      <w:r>
        <w:tab/>
      </w:r>
      <w:r>
        <w:tab/>
      </w:r>
      <w:r>
        <w:tab/>
      </w:r>
      <w:r>
        <w:tab/>
      </w:r>
      <w:r>
        <w:tab/>
      </w:r>
      <w:r>
        <w:tab/>
      </w:r>
      <w:r>
        <w:tab/>
      </w:r>
      <w:r>
        <w:tab/>
      </w:r>
      <w:r>
        <w:tab/>
      </w:r>
      <w:r>
        <w:rPr>
          <w:color w:val="0000FF"/>
        </w:rPr>
        <w:t xml:space="preserve">  </w:t>
      </w:r>
    </w:p>
    <w:p w:rsidR="00000000" w:rsidRDefault="00216019">
      <w:pPr>
        <w:rPr>
          <w:b/>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p>
    <w:p w:rsidR="00000000" w:rsidRDefault="00216019">
      <w:r>
        <w:tab/>
      </w:r>
      <w:r>
        <w:tab/>
      </w:r>
      <w:r>
        <w:tab/>
      </w:r>
      <w:r>
        <w:tab/>
      </w:r>
      <w:r>
        <w:tab/>
      </w:r>
      <w:r>
        <w:tab/>
      </w:r>
      <w:r>
        <w:tab/>
      </w:r>
      <w:r>
        <w:tab/>
      </w:r>
      <w:r>
        <w:tab/>
      </w:r>
      <w:r>
        <w:tab/>
        <w:t xml:space="preserve"> </w:t>
      </w:r>
    </w:p>
    <w:p w:rsidR="00000000" w:rsidRDefault="00216019">
      <w:pPr>
        <w:pStyle w:val="Header"/>
        <w:tabs>
          <w:tab w:val="clear" w:pos="4320"/>
          <w:tab w:val="clear" w:pos="8640"/>
        </w:tabs>
      </w:pPr>
    </w:p>
    <w:p w:rsidR="00000000" w:rsidRDefault="00216019"/>
    <w:p w:rsidR="00000000" w:rsidRDefault="00216019">
      <w:pPr>
        <w:pStyle w:val="Header"/>
        <w:tabs>
          <w:tab w:val="clear" w:pos="4320"/>
          <w:tab w:val="clear" w:pos="8640"/>
        </w:tabs>
      </w:pPr>
    </w:p>
    <w:p w:rsidR="00000000" w:rsidRDefault="00216019">
      <w:r>
        <w:rPr>
          <w:noProof/>
        </w:rPr>
        <w:pict>
          <v:line id="_x0000_s2089" style="position:absolute;z-index:251573248" from="-3.6pt,7.2pt" to="460.8pt,8.3pt" o:allowincell="f" strokeweight="2pt"/>
        </w:pict>
      </w:r>
      <w:r>
        <w:rPr>
          <w:noProof/>
        </w:rPr>
        <w:pict>
          <v:line id="_x0000_s2093" style="position:absolute;z-index:251577344" from="-3.6pt,7.2pt" to="-3.55pt,14.45pt" o:allowincell="f" strokecolor="red" strokeweight=".5pt"/>
        </w:pict>
      </w:r>
      <w:r>
        <w:rPr>
          <w:noProof/>
        </w:rPr>
        <w:pict>
          <v:line id="_x0000_s2092" style="position:absolute;z-index:251576320" from="349.2pt,7.2pt" to="349.25pt,14.45pt" o:allowincell="f" strokecolor="red" strokeweight="1pt"/>
        </w:pict>
      </w:r>
      <w:r>
        <w:rPr>
          <w:noProof/>
        </w:rPr>
        <w:pict>
          <v:line id="_x0000_s2091" style="position:absolute;z-index:251575296" from="234pt,7.2pt" to="234.05pt,14.45pt" o:allowincell="f" strokecolor="red" strokeweight="1pt"/>
        </w:pict>
      </w:r>
      <w:r>
        <w:rPr>
          <w:noProof/>
        </w:rPr>
        <w:pict>
          <v:line id="_x0000_s2090" style="position:absolute;z-index:251574272" from="97.2pt,7.2pt" to="97.25pt,14.45pt" o:allowincell="f" strokecolor="red" strokeweight="1pt"/>
        </w:pict>
      </w:r>
    </w:p>
    <w:p w:rsidR="00000000" w:rsidRDefault="00216019">
      <w:pPr>
        <w:ind w:hanging="720"/>
        <w:rPr>
          <w:b/>
          <w:sz w:val="28"/>
        </w:rPr>
      </w:pPr>
      <w:r>
        <w:rPr>
          <w:b/>
          <w:sz w:val="28"/>
        </w:rPr>
        <w:t>Age  0</w:t>
      </w:r>
      <w:r>
        <w:rPr>
          <w:b/>
          <w:sz w:val="28"/>
        </w:rPr>
        <w:tab/>
      </w:r>
      <w:r>
        <w:rPr>
          <w:b/>
          <w:sz w:val="28"/>
        </w:rPr>
        <w:tab/>
        <w:t xml:space="preserve">      1</w:t>
      </w:r>
      <w:r>
        <w:rPr>
          <w:b/>
          <w:sz w:val="28"/>
        </w:rPr>
        <w:tab/>
      </w:r>
      <w:r>
        <w:rPr>
          <w:b/>
          <w:sz w:val="28"/>
        </w:rPr>
        <w:tab/>
      </w:r>
      <w:r>
        <w:rPr>
          <w:b/>
          <w:sz w:val="28"/>
        </w:rPr>
        <w:tab/>
      </w:r>
      <w:r>
        <w:rPr>
          <w:b/>
          <w:sz w:val="28"/>
        </w:rPr>
        <w:tab/>
        <w:t xml:space="preserve">     6</w:t>
      </w:r>
      <w:r>
        <w:rPr>
          <w:b/>
          <w:sz w:val="28"/>
        </w:rPr>
        <w:tab/>
      </w:r>
      <w:r>
        <w:rPr>
          <w:b/>
          <w:sz w:val="28"/>
        </w:rPr>
        <w:tab/>
      </w:r>
      <w:r>
        <w:rPr>
          <w:b/>
          <w:sz w:val="28"/>
        </w:rPr>
        <w:tab/>
        <w:t xml:space="preserve">      15                           19</w:t>
      </w:r>
    </w:p>
    <w:p w:rsidR="00000000" w:rsidRDefault="00216019"/>
    <w:p w:rsidR="00000000" w:rsidRDefault="00216019"/>
    <w:p w:rsidR="00000000" w:rsidRDefault="00216019">
      <w:pPr>
        <w:pStyle w:val="Footer"/>
        <w:tabs>
          <w:tab w:val="clear" w:pos="4320"/>
          <w:tab w:val="clear" w:pos="8640"/>
        </w:tabs>
        <w:sectPr w:rsidR="00000000">
          <w:pgSz w:w="12240" w:h="15840" w:code="1"/>
          <w:pgMar w:top="720" w:right="864" w:bottom="720" w:left="1152" w:header="720" w:footer="720" w:gutter="0"/>
          <w:pgNumType w:start="14"/>
          <w:cols w:space="720"/>
          <w:titlePg/>
        </w:sectPr>
      </w:pPr>
    </w:p>
    <w:p w:rsidR="00000000" w:rsidRDefault="00216019">
      <w:pPr>
        <w:pStyle w:val="Footer"/>
        <w:tabs>
          <w:tab w:val="clear" w:pos="4320"/>
          <w:tab w:val="clear" w:pos="8640"/>
        </w:tabs>
      </w:pPr>
    </w:p>
    <w:p w:rsidR="00000000" w:rsidRDefault="00216019">
      <w:pPr>
        <w:pStyle w:val="Footer"/>
        <w:tabs>
          <w:tab w:val="clear" w:pos="4320"/>
          <w:tab w:val="clear" w:pos="8640"/>
        </w:tabs>
      </w:pPr>
      <w:r>
        <w:rPr>
          <w:noProof/>
        </w:rPr>
        <w:drawing>
          <wp:inline distT="0" distB="0" distL="0" distR="0">
            <wp:extent cx="7560310" cy="585724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00000" w:rsidRDefault="00216019">
      <w:pPr>
        <w:pStyle w:val="Footer"/>
        <w:tabs>
          <w:tab w:val="clear" w:pos="4320"/>
          <w:tab w:val="clear" w:pos="8640"/>
        </w:tabs>
        <w:sectPr w:rsidR="00000000">
          <w:pgSz w:w="15840" w:h="12240" w:orient="landscape" w:code="1"/>
          <w:pgMar w:top="864" w:right="720" w:bottom="1152" w:left="720" w:header="720" w:footer="720" w:gutter="0"/>
          <w:pgNumType w:start="14"/>
          <w:cols w:space="720"/>
          <w:titlePg/>
        </w:sectPr>
      </w:pPr>
    </w:p>
    <w:p w:rsidR="00000000" w:rsidRDefault="00216019">
      <w:pPr>
        <w:pStyle w:val="Footer"/>
        <w:tabs>
          <w:tab w:val="clear" w:pos="4320"/>
          <w:tab w:val="clear" w:pos="8640"/>
        </w:tabs>
      </w:pPr>
    </w:p>
    <w:p w:rsidR="00000000" w:rsidRDefault="00216019">
      <w:pPr>
        <w:pStyle w:val="Footer"/>
        <w:tabs>
          <w:tab w:val="clear" w:pos="4320"/>
          <w:tab w:val="clear" w:pos="8640"/>
        </w:tabs>
      </w:pPr>
    </w:p>
    <w:p w:rsidR="00000000" w:rsidRDefault="00216019">
      <w:pPr>
        <w:pStyle w:val="Footer"/>
        <w:tabs>
          <w:tab w:val="clear" w:pos="4320"/>
          <w:tab w:val="clear" w:pos="8640"/>
        </w:tabs>
      </w:pPr>
    </w:p>
    <w:p w:rsidR="00000000" w:rsidRDefault="00216019">
      <w:pPr>
        <w:pStyle w:val="Footer"/>
        <w:tabs>
          <w:tab w:val="clear" w:pos="4320"/>
          <w:tab w:val="clear" w:pos="8640"/>
        </w:tabs>
        <w:sectPr w:rsidR="00000000">
          <w:pgSz w:w="15840" w:h="12240" w:orient="landscape" w:code="1"/>
          <w:pgMar w:top="864" w:right="720" w:bottom="1152" w:left="720" w:header="720" w:footer="720" w:gutter="0"/>
          <w:pgNumType w:start="14"/>
          <w:cols w:space="720"/>
          <w:titlePg/>
        </w:sectPr>
      </w:pPr>
      <w:r>
        <w:rPr>
          <w:noProof/>
        </w:rPr>
        <w:drawing>
          <wp:anchor distT="0" distB="0" distL="114300" distR="114300" simplePos="0" relativeHeight="251597824" behindDoc="0" locked="0" layoutInCell="0" allowOverlap="1">
            <wp:simplePos x="0" y="0"/>
            <wp:positionH relativeFrom="column">
              <wp:posOffset>548640</wp:posOffset>
            </wp:positionH>
            <wp:positionV relativeFrom="paragraph">
              <wp:posOffset>201930</wp:posOffset>
            </wp:positionV>
            <wp:extent cx="7859395" cy="5123180"/>
            <wp:effectExtent l="0" t="0" r="0" b="0"/>
            <wp:wrapTopAndBottom/>
            <wp:docPr id="1089" name="Object 10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000000" w:rsidRDefault="00216019">
      <w:pPr>
        <w:pStyle w:val="Footer"/>
        <w:tabs>
          <w:tab w:val="clear" w:pos="4320"/>
          <w:tab w:val="clear" w:pos="8640"/>
        </w:tabs>
      </w:pPr>
    </w:p>
    <w:p w:rsidR="00000000" w:rsidRDefault="00216019">
      <w:pPr>
        <w:pStyle w:val="Footer"/>
        <w:tabs>
          <w:tab w:val="clear" w:pos="4320"/>
          <w:tab w:val="clear" w:pos="8640"/>
        </w:tabs>
      </w:pPr>
    </w:p>
    <w:p w:rsidR="00000000" w:rsidRDefault="00216019">
      <w:pPr>
        <w:pStyle w:val="Footer"/>
        <w:tabs>
          <w:tab w:val="clear" w:pos="4320"/>
          <w:tab w:val="clear" w:pos="8640"/>
        </w:tabs>
      </w:pPr>
      <w:r>
        <w:rPr>
          <w:noProof/>
        </w:rPr>
        <w:drawing>
          <wp:anchor distT="0" distB="0" distL="114300" distR="114300" simplePos="0" relativeHeight="251596800" behindDoc="0" locked="0" layoutInCell="1" allowOverlap="1">
            <wp:simplePos x="0" y="0"/>
            <wp:positionH relativeFrom="column">
              <wp:posOffset>51435</wp:posOffset>
            </wp:positionH>
            <wp:positionV relativeFrom="paragraph">
              <wp:posOffset>-38100</wp:posOffset>
            </wp:positionV>
            <wp:extent cx="7926070" cy="5053330"/>
            <wp:effectExtent l="0" t="0" r="0" b="0"/>
            <wp:wrapNone/>
            <wp:docPr id="1088" name="Object 10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000000" w:rsidRDefault="00216019">
      <w:pPr>
        <w:rPr>
          <w:sz w:val="16"/>
        </w:rPr>
        <w:sectPr w:rsidR="00000000">
          <w:pgSz w:w="15840" w:h="12240" w:orient="landscape" w:code="1"/>
          <w:pgMar w:top="864" w:right="720" w:bottom="1152" w:left="720" w:header="720" w:footer="720" w:gutter="0"/>
          <w:pgNumType w:start="14"/>
          <w:cols w:space="720"/>
          <w:titlePg/>
        </w:sectPr>
      </w:pPr>
    </w:p>
    <w:p w:rsidR="00000000" w:rsidRDefault="00216019">
      <w:pPr>
        <w:rPr>
          <w:sz w:val="36"/>
        </w:rPr>
      </w:pPr>
    </w:p>
    <w:p w:rsidR="00000000" w:rsidRDefault="00216019">
      <w:pPr>
        <w:ind w:left="720" w:hanging="720"/>
        <w:jc w:val="center"/>
        <w:rPr>
          <w:sz w:val="36"/>
        </w:rPr>
      </w:pPr>
    </w:p>
    <w:p w:rsidR="00000000" w:rsidRDefault="00216019">
      <w:pPr>
        <w:ind w:left="720" w:hanging="720"/>
        <w:jc w:val="center"/>
        <w:rPr>
          <w:sz w:val="36"/>
        </w:rPr>
      </w:pPr>
    </w:p>
    <w:p w:rsidR="00000000" w:rsidRDefault="00216019">
      <w:pPr>
        <w:ind w:left="720" w:hanging="720"/>
        <w:jc w:val="center"/>
        <w:rPr>
          <w:sz w:val="36"/>
        </w:rPr>
      </w:pPr>
    </w:p>
    <w:p w:rsidR="00000000" w:rsidRDefault="00216019">
      <w:pPr>
        <w:ind w:left="720" w:hanging="720"/>
        <w:jc w:val="center"/>
        <w:rPr>
          <w:sz w:val="36"/>
        </w:rPr>
      </w:pPr>
    </w:p>
    <w:p w:rsidR="00000000" w:rsidRDefault="00216019">
      <w:pPr>
        <w:ind w:left="720" w:hanging="720"/>
        <w:jc w:val="center"/>
        <w:rPr>
          <w:sz w:val="36"/>
        </w:rPr>
      </w:pPr>
    </w:p>
    <w:p w:rsidR="00000000" w:rsidRDefault="00216019">
      <w:pPr>
        <w:ind w:left="720" w:hanging="720"/>
        <w:jc w:val="center"/>
        <w:rPr>
          <w:sz w:val="36"/>
        </w:rPr>
      </w:pPr>
    </w:p>
    <w:p w:rsidR="00000000" w:rsidRDefault="00216019">
      <w:pPr>
        <w:ind w:left="720" w:hanging="720"/>
        <w:jc w:val="center"/>
        <w:rPr>
          <w:sz w:val="36"/>
        </w:rPr>
      </w:pPr>
    </w:p>
    <w:p w:rsidR="00000000" w:rsidRDefault="00216019">
      <w:pPr>
        <w:ind w:left="720" w:hanging="720"/>
        <w:jc w:val="center"/>
        <w:rPr>
          <w:sz w:val="36"/>
        </w:rPr>
      </w:pPr>
    </w:p>
    <w:p w:rsidR="00000000" w:rsidRDefault="00216019">
      <w:pPr>
        <w:ind w:left="720" w:hanging="720"/>
        <w:jc w:val="center"/>
        <w:rPr>
          <w:sz w:val="36"/>
        </w:rPr>
      </w:pPr>
    </w:p>
    <w:p w:rsidR="00000000" w:rsidRDefault="00216019">
      <w:pPr>
        <w:ind w:left="720" w:hanging="720"/>
        <w:jc w:val="center"/>
        <w:rPr>
          <w:sz w:val="36"/>
        </w:rPr>
      </w:pPr>
    </w:p>
    <w:p w:rsidR="00000000" w:rsidRDefault="00216019">
      <w:pPr>
        <w:jc w:val="center"/>
        <w:rPr>
          <w:i/>
          <w:sz w:val="36"/>
        </w:rPr>
      </w:pPr>
      <w:r>
        <w:rPr>
          <w:i/>
          <w:sz w:val="36"/>
        </w:rPr>
        <w:t>Attachment 5:  County Health Plan Map and Iowa’s Children’s Health Insurance Program Chart</w:t>
      </w:r>
    </w:p>
    <w:p w:rsidR="00000000" w:rsidRDefault="00216019">
      <w:pPr>
        <w:jc w:val="center"/>
        <w:rPr>
          <w:i/>
          <w:sz w:val="36"/>
        </w:rPr>
      </w:pPr>
      <w:r>
        <w:rPr>
          <w:i/>
          <w:sz w:val="36"/>
        </w:rPr>
        <w:t>***</w:t>
      </w:r>
    </w:p>
    <w:p w:rsidR="00000000" w:rsidRDefault="00216019">
      <w:pPr>
        <w:rPr>
          <w:i/>
        </w:rPr>
      </w:pPr>
    </w:p>
    <w:p w:rsidR="00000000" w:rsidRDefault="00216019">
      <w:pPr>
        <w:rPr>
          <w:i/>
        </w:rPr>
      </w:pPr>
    </w:p>
    <w:p w:rsidR="00000000" w:rsidRDefault="00216019">
      <w:pPr>
        <w:rPr>
          <w:i/>
        </w:rPr>
        <w:sectPr w:rsidR="00000000">
          <w:pgSz w:w="12240" w:h="15840" w:code="1"/>
          <w:pgMar w:top="1440" w:right="1440" w:bottom="1440" w:left="1440" w:header="720" w:footer="720" w:gutter="0"/>
          <w:pgNumType w:start="14"/>
          <w:cols w:space="720"/>
          <w:titlePg/>
        </w:sectPr>
      </w:pPr>
    </w:p>
    <w:p w:rsidR="00000000" w:rsidRDefault="00216019">
      <w:pPr>
        <w:rPr>
          <w:i/>
        </w:rPr>
      </w:pPr>
    </w:p>
    <w:p w:rsidR="00000000" w:rsidRDefault="00216019"/>
    <w:p w:rsidR="00000000" w:rsidRDefault="00216019">
      <w:r>
        <w:rPr>
          <w:noProof/>
          <w:sz w:val="20"/>
        </w:rPr>
        <w:pict>
          <v:shape id="_x0000_s2560" type="#_x0000_t202" style="position:absolute;margin-left:-37.25pt;margin-top:293.25pt;width:99.95pt;height:30.75pt;z-index:251822080;v-text-anchor:top-baseline" filled="f" fillcolor="#0c9" stroked="f">
            <v:textbox>
              <w:txbxContent>
                <w:p w:rsidR="00000000" w:rsidRDefault="00216019">
                  <w:pPr>
                    <w:autoSpaceDE w:val="0"/>
                    <w:autoSpaceDN w:val="0"/>
                    <w:adjustRightInd w:val="0"/>
                    <w:rPr>
                      <w:color w:val="000000"/>
                      <w:sz w:val="18"/>
                      <w:szCs w:val="18"/>
                    </w:rPr>
                  </w:pPr>
                  <w:r>
                    <w:rPr>
                      <w:color w:val="000000"/>
                      <w:sz w:val="18"/>
                      <w:szCs w:val="18"/>
                    </w:rPr>
                    <w:t>Wellmark Classic Blue</w:t>
                  </w:r>
                </w:p>
              </w:txbxContent>
            </v:textbox>
          </v:shape>
        </w:pict>
      </w:r>
      <w:r>
        <w:rPr>
          <w:noProof/>
          <w:sz w:val="20"/>
        </w:rPr>
        <w:pict>
          <v:shape id="_x0000_s2562" type="#_x0000_t202" style="position:absolute;margin-left:-37.25pt;margin-top:323.25pt;width:102.8pt;height:27.75pt;z-index:251824128;v-text-anchor:top-baseline" filled="f" fillcolor="#0c9" stroked="f">
            <v:textbox>
              <w:txbxContent>
                <w:p w:rsidR="00000000" w:rsidRDefault="00216019">
                  <w:pPr>
                    <w:autoSpaceDE w:val="0"/>
                    <w:autoSpaceDN w:val="0"/>
                    <w:adjustRightInd w:val="0"/>
                    <w:rPr>
                      <w:color w:val="000000"/>
                      <w:sz w:val="18"/>
                      <w:szCs w:val="18"/>
                    </w:rPr>
                  </w:pPr>
                  <w:r>
                    <w:rPr>
                      <w:color w:val="000000"/>
                      <w:sz w:val="18"/>
                      <w:szCs w:val="18"/>
                    </w:rPr>
                    <w:t>Iowa Health Solutions</w:t>
                  </w:r>
                </w:p>
              </w:txbxContent>
            </v:textbox>
          </v:shape>
        </w:pict>
      </w:r>
      <w:r>
        <w:rPr>
          <w:noProof/>
          <w:sz w:val="20"/>
        </w:rPr>
        <w:pict>
          <v:shape id="_x0000_s2567" type="#_x0000_t202" style="position:absolute;margin-left:538.75pt;margin-top:407.25pt;width:74pt;height:28.75pt;z-index:251829248;v-text-anchor:top-baseline" filled="f" fillcolor="#0c9" stroked="f">
            <v:textbox>
              <w:txbxContent>
                <w:p w:rsidR="00000000" w:rsidRDefault="00216019">
                  <w:pPr>
                    <w:autoSpaceDE w:val="0"/>
                    <w:autoSpaceDN w:val="0"/>
                    <w:adjustRightInd w:val="0"/>
                    <w:jc w:val="center"/>
                    <w:rPr>
                      <w:color w:val="000000"/>
                      <w:sz w:val="18"/>
                      <w:szCs w:val="18"/>
                    </w:rPr>
                  </w:pPr>
                  <w:r>
                    <w:rPr>
                      <w:color w:val="000000"/>
                      <w:sz w:val="18"/>
                      <w:szCs w:val="18"/>
                    </w:rPr>
                    <w:t>Revised</w:t>
                  </w:r>
                </w:p>
                <w:p w:rsidR="00000000" w:rsidRDefault="00216019">
                  <w:pPr>
                    <w:autoSpaceDE w:val="0"/>
                    <w:autoSpaceDN w:val="0"/>
                    <w:adjustRightInd w:val="0"/>
                    <w:jc w:val="center"/>
                    <w:rPr>
                      <w:color w:val="000000"/>
                      <w:sz w:val="18"/>
                      <w:szCs w:val="18"/>
                    </w:rPr>
                  </w:pPr>
                  <w:r>
                    <w:rPr>
                      <w:color w:val="000000"/>
                      <w:sz w:val="18"/>
                      <w:szCs w:val="18"/>
                    </w:rPr>
                    <w:t>6-1-03</w:t>
                  </w:r>
                </w:p>
              </w:txbxContent>
            </v:textbox>
          </v:shape>
        </w:pict>
      </w:r>
      <w:r>
        <w:rPr>
          <w:noProof/>
          <w:sz w:val="20"/>
        </w:rPr>
        <w:pict>
          <v:line id="_x0000_s2569" style="position:absolute;z-index:251831296;v-text-anchor:middle" from="1in,438pt" to="1in,438pt"/>
        </w:pict>
      </w:r>
      <w:r>
        <w:rPr>
          <w:noProof/>
          <w:sz w:val="20"/>
        </w:rPr>
        <w:pict>
          <v:line id="_x0000_s2568" style="position:absolute;z-index:251830272;v-text-anchor:middle" from="6in,264pt" to="6in,264pt"/>
        </w:pict>
      </w:r>
      <w:r>
        <w:rPr>
          <w:noProof/>
          <w:sz w:val="20"/>
        </w:rPr>
        <w:pict>
          <v:rect id="_x0000_s2565" style="position:absolute;margin-left:-54pt;margin-top:384pt;width:12pt;height:12pt;z-index:251827200;v-text-anchor:middle" fillcolor="#fcf"/>
        </w:pict>
      </w:r>
      <w:r>
        <w:rPr>
          <w:noProof/>
          <w:sz w:val="20"/>
        </w:rPr>
        <w:pict>
          <v:rect id="_x0000_s2563" style="position:absolute;margin-left:-54pt;margin-top:354pt;width:12pt;height:12pt;z-index:251825152;v-text-anchor:middle" fillcolor="#0c9"/>
        </w:pict>
      </w:r>
      <w:r>
        <w:rPr>
          <w:noProof/>
          <w:sz w:val="20"/>
        </w:rPr>
        <w:pict>
          <v:rect id="_x0000_s2561" style="position:absolute;margin-left:-54pt;margin-top:323.5pt;width:12pt;height:12pt;z-index:251823104;v-text-anchor:middle" fillcolor="#fc9"/>
        </w:pict>
      </w:r>
      <w:r>
        <w:rPr>
          <w:noProof/>
          <w:sz w:val="20"/>
        </w:rPr>
        <w:pict>
          <v:rect id="_x0000_s2559" style="position:absolute;margin-left:198pt;margin-top:127.65pt;width:14.5pt;height:23.95pt;z-index:251821056;v-text-anchor:top-baseline" filled="f" fillcolor="#0c9" stroked="f">
            <v:textbox>
              <w:txbxContent>
                <w:p w:rsidR="00000000" w:rsidRDefault="00216019">
                  <w:pPr>
                    <w:autoSpaceDE w:val="0"/>
                    <w:autoSpaceDN w:val="0"/>
                    <w:adjustRightInd w:val="0"/>
                    <w:rPr>
                      <w:color w:val="000000"/>
                      <w:sz w:val="28"/>
                      <w:szCs w:val="28"/>
                    </w:rPr>
                  </w:pPr>
                </w:p>
              </w:txbxContent>
            </v:textbox>
          </v:rect>
        </w:pict>
      </w:r>
      <w:r>
        <w:rPr>
          <w:noProof/>
          <w:sz w:val="20"/>
        </w:rPr>
        <w:pict>
          <v:line id="_x0000_s2558" style="position:absolute;z-index:251820032;v-text-anchor:middle" from="462pt,287.5pt" to="468pt,287.5pt" strokeweight="4.5pt"/>
        </w:pict>
      </w:r>
      <w:r>
        <w:rPr>
          <w:noProof/>
          <w:sz w:val="20"/>
        </w:rPr>
        <w:pict>
          <v:shape id="_x0000_s2557" type="#_x0000_t202" style="position:absolute;margin-left:462pt;margin-top:306pt;width:41.25pt;height:18pt;z-index:251819008;v-text-anchor:top-baseline" filled="f" fillcolor="#fc9" stroked="f">
            <v:textbox>
              <w:txbxContent>
                <w:p w:rsidR="00000000" w:rsidRDefault="00216019">
                  <w:pPr>
                    <w:autoSpaceDE w:val="0"/>
                    <w:autoSpaceDN w:val="0"/>
                    <w:adjustRightInd w:val="0"/>
                    <w:rPr>
                      <w:color w:val="000000"/>
                      <w:sz w:val="18"/>
                      <w:szCs w:val="18"/>
                    </w:rPr>
                  </w:pPr>
                  <w:r>
                    <w:rPr>
                      <w:color w:val="000000"/>
                      <w:sz w:val="18"/>
                      <w:szCs w:val="18"/>
                    </w:rPr>
                    <w:t xml:space="preserve"> Louisa</w:t>
                  </w:r>
                </w:p>
              </w:txbxContent>
            </v:textbox>
          </v:shape>
        </w:pict>
      </w:r>
      <w:r>
        <w:rPr>
          <w:noProof/>
          <w:sz w:val="20"/>
        </w:rPr>
        <w:pict>
          <v:line id="_x0000_s2556" style="position:absolute;z-index:251817984;v-text-anchor:middle" from="462pt,287.5pt" to="468pt,287.5pt"/>
        </w:pict>
      </w:r>
      <w:r>
        <w:rPr>
          <w:noProof/>
          <w:sz w:val="20"/>
        </w:rPr>
        <w:pict>
          <v:line id="_x0000_s2555" style="position:absolute;flip:x;z-index:251816960;v-text-anchor:middle" from="462pt,287.5pt" to="468pt,287.5pt"/>
        </w:pict>
      </w:r>
      <w:r>
        <w:rPr>
          <w:noProof/>
          <w:sz w:val="20"/>
        </w:rPr>
        <w:pict>
          <v:shape id="_x0000_s2554" type="#_x0000_t202" style="position:absolute;margin-left:472.75pt;margin-top:324.15pt;width:38.5pt;height:26.45pt;z-index:251815936;v-text-anchor:top-baseline" filled="f" fillcolor="#0c9" stroked="f">
            <v:textbox>
              <w:txbxContent>
                <w:p w:rsidR="00000000" w:rsidRDefault="00216019">
                  <w:pPr>
                    <w:autoSpaceDE w:val="0"/>
                    <w:autoSpaceDN w:val="0"/>
                    <w:adjustRightInd w:val="0"/>
                    <w:rPr>
                      <w:color w:val="000000"/>
                      <w:sz w:val="16"/>
                      <w:szCs w:val="16"/>
                    </w:rPr>
                  </w:pPr>
                  <w:r>
                    <w:rPr>
                      <w:color w:val="000000"/>
                      <w:sz w:val="16"/>
                      <w:szCs w:val="16"/>
                    </w:rPr>
                    <w:t>Des</w:t>
                  </w:r>
                </w:p>
                <w:p w:rsidR="00000000" w:rsidRDefault="00216019">
                  <w:pPr>
                    <w:autoSpaceDE w:val="0"/>
                    <w:autoSpaceDN w:val="0"/>
                    <w:adjustRightInd w:val="0"/>
                    <w:rPr>
                      <w:color w:val="000000"/>
                      <w:sz w:val="16"/>
                      <w:szCs w:val="16"/>
                    </w:rPr>
                  </w:pPr>
                  <w:r>
                    <w:rPr>
                      <w:color w:val="000000"/>
                      <w:sz w:val="16"/>
                      <w:szCs w:val="16"/>
                    </w:rPr>
                    <w:t>Moines</w:t>
                  </w:r>
                </w:p>
              </w:txbxContent>
            </v:textbox>
          </v:shape>
        </w:pict>
      </w:r>
      <w:r>
        <w:rPr>
          <w:noProof/>
          <w:sz w:val="20"/>
        </w:rPr>
        <w:pict>
          <v:shape id="_x0000_s2553" type="#_x0000_t202" style="position:absolute;margin-left:114pt;margin-top:-36pt;width:366pt;height:81.5pt;z-index:251814912" filled="f" fillcolor="#0c9" stroked="f">
            <v:textbox>
              <w:txbxContent>
                <w:p w:rsidR="00000000" w:rsidRDefault="00216019">
                  <w:pPr>
                    <w:autoSpaceDE w:val="0"/>
                    <w:autoSpaceDN w:val="0"/>
                    <w:adjustRightInd w:val="0"/>
                    <w:jc w:val="center"/>
                    <w:rPr>
                      <w:b/>
                      <w:bCs/>
                      <w:color w:val="000000"/>
                      <w:sz w:val="48"/>
                      <w:szCs w:val="48"/>
                    </w:rPr>
                  </w:pPr>
                  <w:r>
                    <w:rPr>
                      <w:b/>
                      <w:bCs/>
                      <w:color w:val="000000"/>
                      <w:sz w:val="48"/>
                      <w:szCs w:val="48"/>
                    </w:rPr>
                    <w:t>Health Plan Coverage Areas</w:t>
                  </w:r>
                </w:p>
                <w:p w:rsidR="00000000" w:rsidRDefault="00216019">
                  <w:pPr>
                    <w:autoSpaceDE w:val="0"/>
                    <w:autoSpaceDN w:val="0"/>
                    <w:adjustRightInd w:val="0"/>
                    <w:jc w:val="center"/>
                    <w:rPr>
                      <w:b/>
                      <w:bCs/>
                      <w:color w:val="000000"/>
                      <w:sz w:val="48"/>
                      <w:szCs w:val="48"/>
                    </w:rPr>
                  </w:pPr>
                  <w:r>
                    <w:rPr>
                      <w:b/>
                      <w:bCs/>
                      <w:color w:val="000000"/>
                      <w:sz w:val="28"/>
                      <w:szCs w:val="28"/>
                    </w:rPr>
                    <w:t>Effective June 1, 2003</w:t>
                  </w:r>
                </w:p>
                <w:p w:rsidR="00000000" w:rsidRDefault="00216019">
                  <w:pPr>
                    <w:autoSpaceDE w:val="0"/>
                    <w:autoSpaceDN w:val="0"/>
                    <w:adjustRightInd w:val="0"/>
                    <w:rPr>
                      <w:b/>
                      <w:bCs/>
                      <w:color w:val="000000"/>
                      <w:sz w:val="48"/>
                      <w:szCs w:val="48"/>
                    </w:rPr>
                  </w:pPr>
                </w:p>
              </w:txbxContent>
            </v:textbox>
          </v:shape>
        </w:pict>
      </w:r>
      <w:r>
        <w:rPr>
          <w:noProof/>
          <w:sz w:val="20"/>
        </w:rPr>
        <w:pict>
          <v:line id="_x0000_s2552" style="position:absolute;z-index:251813888;v-text-anchor:middle" from="114pt,23.5pt" to="114pt,53.5pt" strokeweight=".35275mm">
            <v:stroke startarrowwidth="narrow" startarrowlength="short" endarrowwidth="narrow" endarrowlength="short"/>
          </v:line>
        </w:pict>
      </w:r>
      <w:r>
        <w:rPr>
          <w:noProof/>
          <w:sz w:val="20"/>
        </w:rPr>
        <w:pict>
          <v:line id="_x0000_s2551" style="position:absolute;z-index:251812864;v-text-anchor:middle" from="78pt,23.5pt" to="78pt,53.5pt" strokeweight=".35275mm">
            <v:stroke startarrowwidth="narrow" startarrowlength="short" endarrowwidth="narrow" endarrowlength="short"/>
          </v:line>
        </w:pict>
      </w:r>
      <w:r>
        <w:rPr>
          <w:noProof/>
          <w:sz w:val="20"/>
        </w:rPr>
        <w:pict>
          <v:rect id="_x0000_s2550" style="position:absolute;margin-left:76.9pt;margin-top:415.4pt;width:14.5pt;height:23.95pt;z-index:251811840;v-text-anchor:middle" filled="f" fillcolor="#0c9" stroked="f"/>
        </w:pict>
      </w:r>
      <w:r>
        <w:rPr>
          <w:noProof/>
          <w:sz w:val="20"/>
        </w:rPr>
        <w:pict>
          <v:rect id="_x0000_s2549" style="position:absolute;margin-left:-54pt;margin-top:293.5pt;width:12pt;height:12pt;z-index:251810816;v-text-anchor:middle" fillcolor="#9cf" strokeweight=".35275mm">
            <v:textbox inset="7.25pt,1.2788mm,7.25pt,1.2788mm">
              <w:txbxContent>
                <w:p w:rsidR="00000000" w:rsidRDefault="00216019">
                  <w:pPr>
                    <w:autoSpaceDE w:val="0"/>
                    <w:autoSpaceDN w:val="0"/>
                    <w:adjustRightInd w:val="0"/>
                    <w:jc w:val="center"/>
                    <w:rPr>
                      <w:color w:val="000000"/>
                      <w:sz w:val="28"/>
                      <w:szCs w:val="28"/>
                    </w:rPr>
                  </w:pPr>
                </w:p>
              </w:txbxContent>
            </v:textbox>
          </v:rect>
        </w:pict>
      </w:r>
      <w:r>
        <w:rPr>
          <w:noProof/>
          <w:sz w:val="20"/>
        </w:rPr>
        <w:pict>
          <v:rect id="_x0000_s2548" style="position:absolute;margin-left:168pt;margin-top:-1in;width:264pt;height:36pt;z-index:251809792" filled="f" fillcolor="#0c9" stroked="f">
            <v:textbox inset="7.25pt,1.2788mm,7.25pt,1.2788mm">
              <w:txbxContent>
                <w:p w:rsidR="00000000" w:rsidRDefault="00216019">
                  <w:pPr>
                    <w:autoSpaceDE w:val="0"/>
                    <w:autoSpaceDN w:val="0"/>
                    <w:adjustRightInd w:val="0"/>
                    <w:jc w:val="center"/>
                    <w:rPr>
                      <w:b/>
                      <w:bCs/>
                      <w:i/>
                      <w:iCs/>
                      <w:color w:val="000000"/>
                      <w:sz w:val="48"/>
                      <w:szCs w:val="48"/>
                    </w:rPr>
                  </w:pPr>
                  <w:r>
                    <w:rPr>
                      <w:b/>
                      <w:bCs/>
                      <w:i/>
                      <w:iCs/>
                      <w:color w:val="000000"/>
                      <w:sz w:val="48"/>
                      <w:szCs w:val="48"/>
                    </w:rPr>
                    <w:t>hawk-i</w:t>
                  </w:r>
                </w:p>
              </w:txbxContent>
            </v:textbox>
          </v:rect>
        </w:pict>
      </w:r>
      <w:r>
        <w:rPr>
          <w:noProof/>
          <w:sz w:val="20"/>
        </w:rPr>
        <w:pict>
          <v:line id="_x0000_s2547" style="position:absolute;z-index:251808768;v-text-anchor:middle" from="357.75pt,323.5pt" to="357.75pt,348.25pt" strokeweight=".35275mm">
            <v:stroke startarrowwidth="narrow" startarrowlength="short" endarrowwidth="narrow" endarrowlength="short"/>
          </v:line>
        </w:pict>
      </w:r>
      <w:r>
        <w:rPr>
          <w:noProof/>
          <w:sz w:val="20"/>
        </w:rPr>
        <w:pict>
          <v:line id="_x0000_s2546" style="position:absolute;z-index:251807744;v-text-anchor:middle" from="474pt,323.5pt" to="474pt,360.25pt" strokeweight=".35275mm">
            <v:stroke startarrowwidth="narrow" startarrowlength="short" endarrowwidth="narrow" endarrowlength="short"/>
          </v:line>
        </w:pict>
      </w:r>
      <w:r>
        <w:rPr>
          <w:noProof/>
          <w:sz w:val="20"/>
        </w:rPr>
        <w:pict>
          <v:rect id="_x0000_s2545" style="position:absolute;margin-left:135.25pt;margin-top:-55.1pt;width:340.1pt;height:31.2pt;z-index:251806720;v-text-anchor:middle" filled="f" fillcolor="#0c9" stroked="f"/>
        </w:pict>
      </w:r>
      <w:r>
        <w:rPr>
          <w:noProof/>
          <w:sz w:val="20"/>
        </w:rPr>
        <w:pict>
          <v:rect id="_x0000_s2544" style="position:absolute;margin-left:297.25pt;margin-top:-3.65pt;width:51.25pt;height:21.65pt;z-index:251805696;v-text-anchor:middle" filled="f" fillcolor="#0c9" stroked="f"/>
        </w:pict>
      </w:r>
      <w:r>
        <w:rPr>
          <w:noProof/>
          <w:sz w:val="20"/>
        </w:rPr>
        <w:pict>
          <v:rect id="_x0000_s2543" style="position:absolute;margin-left:544.75pt;margin-top:117.15pt;width:51.25pt;height:21.6pt;z-index:251804672;v-text-anchor:middle" filled="f" fillcolor="#0c9" stroked="f"/>
        </w:pict>
      </w:r>
      <w:r>
        <w:rPr>
          <w:noProof/>
          <w:sz w:val="20"/>
        </w:rPr>
        <w:pict>
          <v:rect id="_x0000_s2542" style="position:absolute;margin-left:544.75pt;margin-top:302.35pt;width:44.5pt;height:21.65pt;z-index:251803648;v-text-anchor:middle" filled="f" fillcolor="#0c9" stroked="f"/>
        </w:pict>
      </w:r>
      <w:r>
        <w:rPr>
          <w:noProof/>
          <w:sz w:val="20"/>
        </w:rPr>
        <w:pict>
          <v:rect id="_x0000_s2541" style="position:absolute;margin-left:362.5pt;margin-top:61.9pt;width:48.4pt;height:15.6pt;z-index:25180262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Chickasaw</w:t>
                  </w:r>
                </w:p>
              </w:txbxContent>
            </v:textbox>
          </v:rect>
        </w:pict>
      </w:r>
      <w:r>
        <w:rPr>
          <w:noProof/>
          <w:sz w:val="20"/>
        </w:rPr>
        <w:pict>
          <v:rect id="_x0000_s2540" style="position:absolute;margin-left:330.25pt;margin-top:61.9pt;width:31.6pt;height:15.6pt;z-index:25180160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Floyd</w:t>
                  </w:r>
                </w:p>
              </w:txbxContent>
            </v:textbox>
          </v:rect>
        </w:pict>
      </w:r>
      <w:r>
        <w:rPr>
          <w:noProof/>
          <w:sz w:val="20"/>
        </w:rPr>
        <w:pict>
          <v:rect id="_x0000_s2539" style="position:absolute;margin-left:364.75pt;margin-top:25.9pt;width:38.6pt;height:15.6pt;z-index:25180057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Howard</w:t>
                  </w:r>
                </w:p>
              </w:txbxContent>
            </v:textbox>
          </v:rect>
        </w:pict>
      </w:r>
      <w:r>
        <w:rPr>
          <w:noProof/>
          <w:sz w:val="20"/>
        </w:rPr>
        <w:pict>
          <v:rect id="_x0000_s2538" style="position:absolute;margin-left:328.75pt;margin-top:25.9pt;width:38.25pt;height:15.6pt;z-index:25179955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Mitchell</w:t>
                  </w:r>
                </w:p>
              </w:txbxContent>
            </v:textbox>
          </v:rect>
        </w:pict>
      </w:r>
      <w:r>
        <w:rPr>
          <w:noProof/>
          <w:sz w:val="20"/>
        </w:rPr>
        <w:pict>
          <v:rect id="_x0000_s2537" style="position:absolute;margin-left:280.75pt;margin-top:55.85pt;width:34pt;height:24.05pt;z-index:25179852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Cerro</w:t>
                  </w:r>
                </w:p>
                <w:p w:rsidR="00000000" w:rsidRDefault="00216019">
                  <w:pPr>
                    <w:autoSpaceDE w:val="0"/>
                    <w:autoSpaceDN w:val="0"/>
                    <w:adjustRightInd w:val="0"/>
                    <w:rPr>
                      <w:color w:val="000000"/>
                      <w:sz w:val="14"/>
                      <w:szCs w:val="14"/>
                    </w:rPr>
                  </w:pPr>
                  <w:r>
                    <w:rPr>
                      <w:color w:val="000000"/>
                      <w:sz w:val="14"/>
                      <w:szCs w:val="14"/>
                    </w:rPr>
                    <w:t>Gordo</w:t>
                  </w:r>
                </w:p>
              </w:txbxContent>
            </v:textbox>
          </v:rect>
        </w:pict>
      </w:r>
      <w:r>
        <w:rPr>
          <w:noProof/>
          <w:sz w:val="20"/>
        </w:rPr>
        <w:pict>
          <v:rect id="_x0000_s2536" style="position:absolute;margin-left:239pt;margin-top:55.85pt;width:41.75pt;height:15.65pt;z-index:25179750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Hancock</w:t>
                  </w:r>
                </w:p>
              </w:txbxContent>
            </v:textbox>
          </v:rect>
        </w:pict>
      </w:r>
      <w:r>
        <w:rPr>
          <w:noProof/>
          <w:sz w:val="20"/>
        </w:rPr>
        <w:pict>
          <v:rect id="_x0000_s2535" style="position:absolute;margin-left:286.75pt;margin-top:25.9pt;width:33.15pt;height:15.6pt;z-index:25179648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Worth</w:t>
                  </w:r>
                </w:p>
              </w:txbxContent>
            </v:textbox>
          </v:rect>
        </w:pict>
      </w:r>
      <w:r>
        <w:rPr>
          <w:noProof/>
          <w:sz w:val="20"/>
        </w:rPr>
        <w:pict>
          <v:rect id="_x0000_s2534" style="position:absolute;margin-left:236pt;margin-top:25.9pt;width:49.75pt;height:15.6pt;z-index:25179545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Winnebago</w:t>
                  </w:r>
                </w:p>
              </w:txbxContent>
            </v:textbox>
          </v:rect>
        </w:pict>
      </w:r>
      <w:r>
        <w:rPr>
          <w:noProof/>
          <w:sz w:val="20"/>
        </w:rPr>
        <w:pict>
          <v:rect id="_x0000_s2533" style="position:absolute;margin-left:197pt;margin-top:25.9pt;width:39.75pt;height:15.6pt;z-index:25179443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Kossuth</w:t>
                  </w:r>
                </w:p>
              </w:txbxContent>
            </v:textbox>
          </v:rect>
        </w:pict>
      </w:r>
      <w:r>
        <w:rPr>
          <w:noProof/>
          <w:sz w:val="20"/>
        </w:rPr>
        <w:pict>
          <v:rect id="_x0000_s2532" style="position:absolute;margin-left:155pt;margin-top:55.85pt;width:42.5pt;height:15.65pt;z-index:25179340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Palo Alto</w:t>
                  </w:r>
                </w:p>
              </w:txbxContent>
            </v:textbox>
          </v:rect>
        </w:pict>
      </w:r>
      <w:r>
        <w:rPr>
          <w:noProof/>
          <w:sz w:val="20"/>
        </w:rPr>
        <w:pict>
          <v:rect id="_x0000_s2531" style="position:absolute;margin-left:155pt;margin-top:25.9pt;width:36.75pt;height:15.6pt;z-index:25179238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Emmet</w:t>
                  </w:r>
                </w:p>
              </w:txbxContent>
            </v:textbox>
          </v:rect>
        </w:pict>
      </w:r>
      <w:r>
        <w:rPr>
          <w:noProof/>
          <w:sz w:val="20"/>
        </w:rPr>
        <w:pict>
          <v:rect id="_x0000_s2530" style="position:absolute;margin-left:113pt;margin-top:25.9pt;width:44.9pt;height:15.6pt;z-index:25179136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Dickinson</w:t>
                  </w:r>
                </w:p>
              </w:txbxContent>
            </v:textbox>
          </v:rect>
        </w:pict>
      </w:r>
      <w:r>
        <w:rPr>
          <w:noProof/>
          <w:sz w:val="20"/>
        </w:rPr>
        <w:pict>
          <v:rect id="_x0000_s2529" style="position:absolute;margin-left:119pt;margin-top:55.85pt;width:28.5pt;height:15.65pt;z-index:25179033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Clay</w:t>
                  </w:r>
                </w:p>
              </w:txbxContent>
            </v:textbox>
          </v:rect>
        </w:pict>
      </w:r>
      <w:r>
        <w:rPr>
          <w:noProof/>
          <w:sz w:val="20"/>
        </w:rPr>
        <w:pict>
          <v:rect id="_x0000_s2528" style="position:absolute;margin-left:404.15pt;margin-top:25.5pt;width:50.5pt;height:15.6pt;z-index:25178931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Winneshiek</w:t>
                  </w:r>
                </w:p>
              </w:txbxContent>
            </v:textbox>
          </v:rect>
        </w:pict>
      </w:r>
      <w:r>
        <w:rPr>
          <w:noProof/>
          <w:sz w:val="20"/>
        </w:rPr>
        <w:pict>
          <v:rect id="_x0000_s2527" style="position:absolute;margin-left:448.75pt;margin-top:43.9pt;width:47pt;height:15.6pt;z-index:25178828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Allamakee</w:t>
                  </w:r>
                </w:p>
              </w:txbxContent>
            </v:textbox>
          </v:rect>
        </w:pict>
      </w:r>
      <w:r>
        <w:rPr>
          <w:noProof/>
          <w:sz w:val="20"/>
        </w:rPr>
        <w:pict>
          <v:rect id="_x0000_s2526" style="position:absolute;margin-left:448.75pt;margin-top:79.9pt;width:38.25pt;height:15.6pt;z-index:25178726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Clayton</w:t>
                  </w:r>
                </w:p>
              </w:txbxContent>
            </v:textbox>
          </v:rect>
        </w:pict>
      </w:r>
      <w:r>
        <w:rPr>
          <w:noProof/>
          <w:sz w:val="20"/>
        </w:rPr>
        <w:pict>
          <v:rect id="_x0000_s2525" style="position:absolute;margin-left:408.65pt;margin-top:79.9pt;width:37.85pt;height:15.6pt;z-index:25178624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Fayette</w:t>
                  </w:r>
                </w:p>
              </w:txbxContent>
            </v:textbox>
          </v:rect>
        </w:pict>
      </w:r>
      <w:r>
        <w:rPr>
          <w:noProof/>
          <w:sz w:val="20"/>
        </w:rPr>
        <w:pict>
          <v:rect id="_x0000_s2524" style="position:absolute;margin-left:490.75pt;margin-top:133.9pt;width:42.9pt;height:15.6pt;z-index:25178521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Dubuque</w:t>
                  </w:r>
                </w:p>
              </w:txbxContent>
            </v:textbox>
          </v:rect>
        </w:pict>
      </w:r>
      <w:r>
        <w:rPr>
          <w:noProof/>
          <w:sz w:val="20"/>
        </w:rPr>
        <w:pict>
          <v:rect id="_x0000_s2523" style="position:absolute;margin-left:448.75pt;margin-top:133.9pt;width:44.15pt;height:15.6pt;z-index:25178419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Delaware</w:t>
                  </w:r>
                </w:p>
              </w:txbxContent>
            </v:textbox>
          </v:rect>
        </w:pict>
      </w:r>
      <w:r>
        <w:rPr>
          <w:noProof/>
          <w:sz w:val="20"/>
        </w:rPr>
        <w:pict>
          <v:rect id="_x0000_s2522" style="position:absolute;margin-left:404.15pt;margin-top:135pt;width:46pt;height:15.6pt;z-index:25178316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Buchanan</w:t>
                  </w:r>
                </w:p>
              </w:txbxContent>
            </v:textbox>
          </v:rect>
        </w:pict>
      </w:r>
      <w:r>
        <w:rPr>
          <w:noProof/>
          <w:sz w:val="20"/>
        </w:rPr>
        <w:pict>
          <v:rect id="_x0000_s2521" style="position:absolute;margin-left:361.4pt;margin-top:135.4pt;width:51.1pt;height:15.6pt;z-index:25178214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Black Hawk</w:t>
                  </w:r>
                </w:p>
              </w:txbxContent>
            </v:textbox>
          </v:rect>
        </w:pict>
      </w:r>
      <w:r>
        <w:rPr>
          <w:noProof/>
          <w:sz w:val="20"/>
        </w:rPr>
        <w:pict>
          <v:rect id="_x0000_s2520" style="position:absolute;margin-left:5in;margin-top:101.5pt;width:37.5pt;height:15.65pt;z-index:25178112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Bremer</w:t>
                  </w:r>
                </w:p>
              </w:txbxContent>
            </v:textbox>
          </v:rect>
        </w:pict>
      </w:r>
      <w:r>
        <w:rPr>
          <w:noProof/>
          <w:sz w:val="20"/>
        </w:rPr>
        <w:pict>
          <v:rect id="_x0000_s2519" style="position:absolute;margin-left:328.75pt;margin-top:143.5pt;width:37.5pt;height:15.65pt;z-index:25178009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Grundy</w:t>
                  </w:r>
                </w:p>
              </w:txbxContent>
            </v:textbox>
          </v:rect>
        </w:pict>
      </w:r>
      <w:r>
        <w:rPr>
          <w:noProof/>
          <w:sz w:val="20"/>
        </w:rPr>
        <w:pict>
          <v:rect id="_x0000_s2518" style="position:absolute;margin-left:286.75pt;margin-top:145.85pt;width:35pt;height:15.65pt;z-index:25177907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Hardin</w:t>
                  </w:r>
                </w:p>
              </w:txbxContent>
            </v:textbox>
          </v:rect>
        </w:pict>
      </w:r>
      <w:r>
        <w:rPr>
          <w:noProof/>
          <w:sz w:val="20"/>
        </w:rPr>
        <w:pict>
          <v:rect id="_x0000_s2517" style="position:absolute;margin-left:328.75pt;margin-top:103.9pt;width:32.75pt;height:15.6pt;z-index:25177804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Butler</w:t>
                  </w:r>
                </w:p>
              </w:txbxContent>
            </v:textbox>
          </v:rect>
        </w:pict>
      </w:r>
      <w:r>
        <w:rPr>
          <w:noProof/>
          <w:sz w:val="20"/>
        </w:rPr>
        <w:pict>
          <v:rect id="_x0000_s2516" style="position:absolute;margin-left:283pt;margin-top:102.4pt;width:39.35pt;height:15.6pt;z-index:25177702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Franklin</w:t>
                  </w:r>
                </w:p>
              </w:txbxContent>
            </v:textbox>
          </v:rect>
        </w:pict>
      </w:r>
      <w:r>
        <w:rPr>
          <w:noProof/>
          <w:sz w:val="20"/>
        </w:rPr>
        <w:pict>
          <v:rect id="_x0000_s2515" style="position:absolute;margin-left:242pt;margin-top:145.85pt;width:42.1pt;height:15.65pt;z-index:25177600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Hamilton</w:t>
                  </w:r>
                </w:p>
              </w:txbxContent>
            </v:textbox>
          </v:rect>
        </w:pict>
      </w:r>
      <w:r>
        <w:rPr>
          <w:noProof/>
          <w:sz w:val="20"/>
        </w:rPr>
        <w:pict>
          <v:rect id="_x0000_s2514" style="position:absolute;margin-left:242.75pt;margin-top:103.9pt;width:34.75pt;height:15.6pt;z-index:25177497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Wright</w:t>
                  </w:r>
                </w:p>
              </w:txbxContent>
            </v:textbox>
          </v:rect>
        </w:pict>
      </w:r>
      <w:r>
        <w:rPr>
          <w:noProof/>
          <w:sz w:val="20"/>
        </w:rPr>
        <w:pict>
          <v:rect id="_x0000_s2513" style="position:absolute;margin-left:203pt;margin-top:145.85pt;width:40.5pt;height:15.65pt;z-index:25177395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Webster</w:t>
                  </w:r>
                </w:p>
              </w:txbxContent>
            </v:textbox>
          </v:rect>
        </w:pict>
      </w:r>
      <w:r>
        <w:rPr>
          <w:noProof/>
          <w:sz w:val="20"/>
        </w:rPr>
        <w:pict>
          <v:rect id="_x0000_s2512" style="position:absolute;margin-left:197pt;margin-top:103.9pt;width:44.35pt;height:15.6pt;z-index:25177292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Humboldt</w:t>
                  </w:r>
                </w:p>
              </w:txbxContent>
            </v:textbox>
          </v:rect>
        </w:pict>
      </w:r>
      <w:r>
        <w:rPr>
          <w:noProof/>
          <w:sz w:val="20"/>
        </w:rPr>
        <w:pict>
          <v:rect id="_x0000_s2511" style="position:absolute;margin-left:161pt;margin-top:145.85pt;width:40.4pt;height:15.65pt;z-index:25177190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Calhoun</w:t>
                  </w:r>
                </w:p>
              </w:txbxContent>
            </v:textbox>
          </v:rect>
        </w:pict>
      </w:r>
      <w:r>
        <w:rPr>
          <w:noProof/>
          <w:sz w:val="20"/>
        </w:rPr>
        <w:pict>
          <v:rect id="_x0000_s2510" style="position:absolute;margin-left:151.25pt;margin-top:103.9pt;width:51.5pt;height:15.6pt;z-index:25177088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Pocahontas</w:t>
                  </w:r>
                </w:p>
              </w:txbxContent>
            </v:textbox>
          </v:rect>
        </w:pict>
      </w:r>
      <w:r>
        <w:rPr>
          <w:noProof/>
          <w:sz w:val="20"/>
        </w:rPr>
        <w:pict>
          <v:rect id="_x0000_s2509" style="position:absolute;margin-left:119pt;margin-top:103.9pt;width:34.75pt;height:23.95pt;z-index:25176985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Buena</w:t>
                  </w:r>
                </w:p>
                <w:p w:rsidR="00000000" w:rsidRDefault="00216019">
                  <w:pPr>
                    <w:autoSpaceDE w:val="0"/>
                    <w:autoSpaceDN w:val="0"/>
                    <w:adjustRightInd w:val="0"/>
                    <w:rPr>
                      <w:color w:val="000000"/>
                      <w:sz w:val="14"/>
                      <w:szCs w:val="14"/>
                    </w:rPr>
                  </w:pPr>
                  <w:r>
                    <w:rPr>
                      <w:color w:val="000000"/>
                      <w:sz w:val="14"/>
                      <w:szCs w:val="14"/>
                    </w:rPr>
                    <w:t>Vista</w:t>
                  </w:r>
                </w:p>
              </w:txbxContent>
            </v:textbox>
          </v:rect>
        </w:pict>
      </w:r>
      <w:r>
        <w:rPr>
          <w:noProof/>
          <w:sz w:val="20"/>
        </w:rPr>
        <w:pict>
          <v:rect id="_x0000_s2508" style="position:absolute;margin-left:125pt;margin-top:145.85pt;width:26.5pt;height:15.65pt;z-index:25176883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Sac</w:t>
                  </w:r>
                </w:p>
              </w:txbxContent>
            </v:textbox>
          </v:rect>
        </w:pict>
      </w:r>
      <w:r>
        <w:rPr>
          <w:noProof/>
          <w:sz w:val="20"/>
        </w:rPr>
        <w:pict>
          <v:rect id="_x0000_s2507" style="position:absolute;margin-left:346.75pt;margin-top:175.9pt;width:32.4pt;height:15.6pt;z-index:25176780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Tama</w:t>
                  </w:r>
                </w:p>
              </w:txbxContent>
            </v:textbox>
          </v:rect>
        </w:pict>
      </w:r>
      <w:r>
        <w:rPr>
          <w:noProof/>
          <w:sz w:val="20"/>
        </w:rPr>
        <w:pict>
          <v:rect id="_x0000_s2506" style="position:absolute;margin-left:514.75pt;margin-top:175.9pt;width:40.15pt;height:15.6pt;z-index:25176678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Jackson</w:t>
                  </w:r>
                </w:p>
              </w:txbxContent>
            </v:textbox>
          </v:rect>
        </w:pict>
      </w:r>
      <w:r>
        <w:rPr>
          <w:noProof/>
          <w:sz w:val="20"/>
        </w:rPr>
        <w:pict>
          <v:rect id="_x0000_s2505" style="position:absolute;margin-left:472.75pt;margin-top:175.9pt;width:33.1pt;height:15.6pt;z-index:25176576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Jones</w:t>
                  </w:r>
                </w:p>
              </w:txbxContent>
            </v:textbox>
          </v:rect>
        </w:pict>
      </w:r>
      <w:r>
        <w:rPr>
          <w:noProof/>
          <w:sz w:val="20"/>
        </w:rPr>
        <w:pict>
          <v:rect id="_x0000_s2504" style="position:absolute;margin-left:430.75pt;margin-top:175.9pt;width:27.65pt;height:15.6pt;z-index:25176473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Linn</w:t>
                  </w:r>
                </w:p>
              </w:txbxContent>
            </v:textbox>
          </v:rect>
        </w:pict>
      </w:r>
      <w:r>
        <w:rPr>
          <w:noProof/>
          <w:sz w:val="20"/>
        </w:rPr>
        <w:pict>
          <v:rect id="_x0000_s2503" style="position:absolute;margin-left:388.75pt;margin-top:175.9pt;width:36.65pt;height:15.6pt;z-index:25176371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Benton</w:t>
                  </w:r>
                </w:p>
              </w:txbxContent>
            </v:textbox>
          </v:rect>
        </w:pict>
      </w:r>
      <w:r>
        <w:rPr>
          <w:noProof/>
          <w:sz w:val="20"/>
        </w:rPr>
        <w:pict>
          <v:rect id="_x0000_s2502" style="position:absolute;margin-left:514.75pt;margin-top:211.65pt;width:36.25pt;height:15.6pt;z-index:25176268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Clinton</w:t>
                  </w:r>
                </w:p>
              </w:txbxContent>
            </v:textbox>
          </v:rect>
        </w:pict>
      </w:r>
      <w:r>
        <w:rPr>
          <w:noProof/>
          <w:sz w:val="20"/>
        </w:rPr>
        <w:pict>
          <v:rect id="_x0000_s2501" style="position:absolute;margin-left:472.75pt;margin-top:223.6pt;width:33.65pt;height:15.65pt;z-index:25176166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Cedar</w:t>
                  </w:r>
                </w:p>
              </w:txbxContent>
            </v:textbox>
          </v:rect>
        </w:pict>
      </w:r>
      <w:r>
        <w:rPr>
          <w:noProof/>
          <w:sz w:val="20"/>
        </w:rPr>
        <w:pict>
          <v:rect id="_x0000_s2500" style="position:absolute;margin-left:430.75pt;margin-top:235.65pt;width:41pt;height:15.6pt;z-index:25176064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Johnson</w:t>
                  </w:r>
                </w:p>
              </w:txbxContent>
            </v:textbox>
          </v:rect>
        </w:pict>
      </w:r>
      <w:r>
        <w:rPr>
          <w:noProof/>
          <w:sz w:val="20"/>
        </w:rPr>
        <w:pict>
          <v:rect id="_x0000_s2499" style="position:absolute;margin-left:394.75pt;margin-top:235.65pt;width:29.25pt;height:15.6pt;z-index:25175961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Iowa</w:t>
                  </w:r>
                </w:p>
              </w:txbxContent>
            </v:textbox>
          </v:rect>
        </w:pict>
      </w:r>
      <w:r>
        <w:rPr>
          <w:noProof/>
          <w:sz w:val="20"/>
        </w:rPr>
        <w:pict>
          <v:rect id="_x0000_s2498" style="position:absolute;margin-left:344.1pt;margin-top:235.65pt;width:48.15pt;height:15.6pt;z-index:25175859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Poweshiek</w:t>
                  </w:r>
                </w:p>
              </w:txbxContent>
            </v:textbox>
          </v:rect>
        </w:pict>
      </w:r>
      <w:r>
        <w:rPr>
          <w:noProof/>
          <w:sz w:val="20"/>
        </w:rPr>
        <w:pict>
          <v:rect id="_x0000_s2497" style="position:absolute;margin-left:304.75pt;margin-top:235.65pt;width:35.5pt;height:15.6pt;z-index:25175756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Jasper</w:t>
                  </w:r>
                </w:p>
              </w:txbxContent>
            </v:textbox>
          </v:rect>
        </w:pict>
      </w:r>
      <w:r>
        <w:rPr>
          <w:noProof/>
          <w:sz w:val="20"/>
        </w:rPr>
        <w:pict>
          <v:rect id="_x0000_s2496" style="position:absolute;margin-left:263pt;margin-top:235.65pt;width:28pt;height:15.6pt;z-index:25175654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Polk</w:t>
                  </w:r>
                </w:p>
              </w:txbxContent>
            </v:textbox>
          </v:rect>
        </w:pict>
      </w:r>
      <w:r>
        <w:rPr>
          <w:noProof/>
          <w:sz w:val="20"/>
        </w:rPr>
        <w:pict>
          <v:rect id="_x0000_s2495" style="position:absolute;margin-left:304.75pt;margin-top:193.65pt;width:41pt;height:15.6pt;z-index:25175552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Marshall</w:t>
                  </w:r>
                </w:p>
              </w:txbxContent>
            </v:textbox>
          </v:rect>
        </w:pict>
      </w:r>
      <w:r>
        <w:rPr>
          <w:noProof/>
          <w:sz w:val="20"/>
        </w:rPr>
        <w:pict>
          <v:rect id="_x0000_s2494" style="position:absolute;margin-left:269pt;margin-top:193.65pt;width:30.85pt;height:15.6pt;z-index:25175449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St</w:t>
                  </w:r>
                  <w:r>
                    <w:rPr>
                      <w:color w:val="000000"/>
                      <w:sz w:val="14"/>
                      <w:szCs w:val="14"/>
                    </w:rPr>
                    <w:t>ory</w:t>
                  </w:r>
                </w:p>
              </w:txbxContent>
            </v:textbox>
          </v:rect>
        </w:pict>
      </w:r>
      <w:r>
        <w:rPr>
          <w:noProof/>
          <w:sz w:val="20"/>
        </w:rPr>
        <w:pict>
          <v:rect id="_x0000_s2493" style="position:absolute;margin-left:215pt;margin-top:235.65pt;width:34pt;height:15.6pt;z-index:25175347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Dallas</w:t>
                  </w:r>
                </w:p>
              </w:txbxContent>
            </v:textbox>
          </v:rect>
        </w:pict>
      </w:r>
      <w:r>
        <w:rPr>
          <w:noProof/>
          <w:sz w:val="20"/>
        </w:rPr>
        <w:pict>
          <v:rect id="_x0000_s2492" style="position:absolute;margin-left:227pt;margin-top:193.65pt;width:34.75pt;height:15.6pt;z-index:25175244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Boone</w:t>
                  </w:r>
                </w:p>
              </w:txbxContent>
            </v:textbox>
          </v:rect>
        </w:pict>
      </w:r>
      <w:r>
        <w:rPr>
          <w:noProof/>
          <w:sz w:val="20"/>
        </w:rPr>
        <w:pict>
          <v:rect id="_x0000_s2491" style="position:absolute;margin-left:173pt;margin-top:235.65pt;width:37.5pt;height:15.6pt;z-index:25175142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Guthrie</w:t>
                  </w:r>
                </w:p>
              </w:txbxContent>
            </v:textbox>
          </v:rect>
        </w:pict>
      </w:r>
      <w:r>
        <w:rPr>
          <w:noProof/>
          <w:sz w:val="20"/>
        </w:rPr>
        <w:pict>
          <v:rect id="_x0000_s2490" style="position:absolute;margin-left:182pt;margin-top:192.9pt;width:37.9pt;height:15.6pt;z-index:25175040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Greene</w:t>
                  </w:r>
                </w:p>
              </w:txbxContent>
            </v:textbox>
          </v:rect>
        </w:pict>
      </w:r>
      <w:r>
        <w:rPr>
          <w:noProof/>
          <w:sz w:val="20"/>
        </w:rPr>
        <w:pict>
          <v:rect id="_x0000_s2489" style="position:absolute;margin-left:135.5pt;margin-top:236.75pt;width:42.5pt;height:15.65pt;z-index:25174937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Audubon</w:t>
                  </w:r>
                </w:p>
              </w:txbxContent>
            </v:textbox>
          </v:rect>
        </w:pict>
      </w:r>
      <w:r>
        <w:rPr>
          <w:noProof/>
          <w:sz w:val="20"/>
        </w:rPr>
        <w:pict>
          <v:rect id="_x0000_s2488" style="position:absolute;margin-left:141.9pt;margin-top:192.9pt;width:35pt;height:15.6pt;z-index:251748352" fillcolor="#9cf"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Carroll</w:t>
                  </w:r>
                </w:p>
              </w:txbxContent>
            </v:textbox>
          </v:rect>
        </w:pict>
      </w:r>
      <w:r>
        <w:rPr>
          <w:noProof/>
          <w:sz w:val="20"/>
        </w:rPr>
        <w:pict>
          <v:rect id="_x0000_s2487" style="position:absolute;margin-left:508pt;margin-top:243.85pt;width:30.5pt;height:15.65pt;z-index:25174732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Scott</w:t>
                  </w:r>
                </w:p>
              </w:txbxContent>
            </v:textbox>
          </v:rect>
        </w:pict>
      </w:r>
      <w:r>
        <w:rPr>
          <w:noProof/>
          <w:sz w:val="20"/>
        </w:rPr>
        <w:pict>
          <v:rect id="_x0000_s2486" style="position:absolute;margin-left:466.75pt;margin-top:263pt;width:46.4pt;height:15.6pt;z-index:25174630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Muscatine</w:t>
                  </w:r>
                </w:p>
              </w:txbxContent>
            </v:textbox>
          </v:rect>
        </w:pict>
      </w:r>
      <w:r>
        <w:rPr>
          <w:noProof/>
          <w:sz w:val="20"/>
        </w:rPr>
        <w:pict>
          <v:rect id="_x0000_s2485" style="position:absolute;margin-left:416.5pt;margin-top:281.75pt;width:51.5pt;height:15.65pt;z-index:25174528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Washington</w:t>
                  </w:r>
                </w:p>
              </w:txbxContent>
            </v:textbox>
          </v:rect>
        </w:pict>
      </w:r>
      <w:r>
        <w:rPr>
          <w:noProof/>
          <w:sz w:val="20"/>
        </w:rPr>
        <w:pict>
          <v:rect id="_x0000_s2484" style="position:absolute;margin-left:380.1pt;margin-top:277.25pt;width:37.8pt;height:15.65pt;z-index:25174425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Keokuk</w:t>
                  </w:r>
                </w:p>
              </w:txbxContent>
            </v:textbox>
          </v:rect>
        </w:pict>
      </w:r>
      <w:r>
        <w:rPr>
          <w:noProof/>
          <w:sz w:val="20"/>
        </w:rPr>
        <w:pict>
          <v:rect id="_x0000_s2483" style="position:absolute;margin-left:436.35pt;margin-top:366.15pt;width:26.15pt;height:15.6pt;z-index:25174323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Lee</w:t>
                  </w:r>
                </w:p>
              </w:txbxContent>
            </v:textbox>
          </v:rect>
        </w:pict>
      </w:r>
      <w:r>
        <w:rPr>
          <w:noProof/>
          <w:sz w:val="20"/>
        </w:rPr>
        <w:pict>
          <v:rect id="_x0000_s2482" style="position:absolute;margin-left:437.5pt;margin-top:325.65pt;width:33.15pt;height:15.6pt;z-index:25174220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Henry</w:t>
                  </w:r>
                </w:p>
              </w:txbxContent>
            </v:textbox>
          </v:rect>
        </w:pict>
      </w:r>
      <w:r>
        <w:rPr>
          <w:noProof/>
          <w:sz w:val="20"/>
        </w:rPr>
        <w:pict>
          <v:rect id="_x0000_s2481" style="position:absolute;margin-left:402pt;margin-top:359.5pt;width:36pt;height:24pt;z-index:251741184" fillcolor="#f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Van Buren</w:t>
                  </w:r>
                </w:p>
              </w:txbxContent>
            </v:textbox>
          </v:rect>
        </w:pict>
      </w:r>
      <w:r>
        <w:rPr>
          <w:noProof/>
          <w:sz w:val="20"/>
        </w:rPr>
        <w:pict>
          <v:rect id="_x0000_s2480" style="position:absolute;margin-left:397pt;margin-top:325.65pt;width:43.25pt;height:15.6pt;z-index:25174016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Jefferson</w:t>
                  </w:r>
                </w:p>
              </w:txbxContent>
            </v:textbox>
          </v:rect>
        </w:pict>
      </w:r>
      <w:r>
        <w:rPr>
          <w:noProof/>
          <w:sz w:val="20"/>
        </w:rPr>
        <w:pict>
          <v:rect id="_x0000_s2479" style="position:absolute;margin-left:359.15pt;margin-top:362pt;width:31.95pt;height:15.6pt;z-index:25173913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Davis</w:t>
                  </w:r>
                </w:p>
              </w:txbxContent>
            </v:textbox>
          </v:rect>
        </w:pict>
      </w:r>
      <w:r>
        <w:rPr>
          <w:noProof/>
          <w:sz w:val="20"/>
        </w:rPr>
        <w:pict>
          <v:rect id="_x0000_s2478" style="position:absolute;margin-left:355.35pt;margin-top:325.65pt;width:39.65pt;height:15.6pt;z-index:251738112" fillcolor="#9cf"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Wapello</w:t>
                  </w:r>
                </w:p>
              </w:txbxContent>
            </v:textbox>
          </v:rect>
        </w:pict>
      </w:r>
      <w:r>
        <w:rPr>
          <w:noProof/>
          <w:sz w:val="20"/>
        </w:rPr>
        <w:pict>
          <v:rect id="_x0000_s2477" style="position:absolute;margin-left:338.5pt;margin-top:278pt;width:42.9pt;height:15.65pt;z-index:25173708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Mahaska</w:t>
                  </w:r>
                </w:p>
              </w:txbxContent>
            </v:textbox>
          </v:rect>
        </w:pict>
      </w:r>
      <w:r>
        <w:rPr>
          <w:noProof/>
          <w:sz w:val="20"/>
        </w:rPr>
        <w:pict>
          <v:rect id="_x0000_s2476" style="position:absolute;margin-left:300.25pt;margin-top:277.6pt;width:35.85pt;height:15.65pt;z-index:25173606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Marion</w:t>
                  </w:r>
                </w:p>
              </w:txbxContent>
            </v:textbox>
          </v:rect>
        </w:pict>
      </w:r>
      <w:r>
        <w:rPr>
          <w:noProof/>
          <w:sz w:val="20"/>
        </w:rPr>
        <w:pict>
          <v:rect id="_x0000_s2475" style="position:absolute;margin-left:257pt;margin-top:277.25pt;width:37.5pt;height:15.65pt;z-index:25173504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Warren</w:t>
                  </w:r>
                </w:p>
              </w:txbxContent>
            </v:textbox>
          </v:rect>
        </w:pict>
      </w:r>
      <w:r>
        <w:rPr>
          <w:noProof/>
          <w:sz w:val="20"/>
        </w:rPr>
        <w:pict>
          <v:rect id="_x0000_s2474" style="position:absolute;margin-left:312.6pt;margin-top:361.65pt;width:49.8pt;height:15.6pt;z-index:25173401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Appanoose</w:t>
                  </w:r>
                </w:p>
              </w:txbxContent>
            </v:textbox>
          </v:rect>
        </w:pict>
      </w:r>
      <w:r>
        <w:rPr>
          <w:noProof/>
          <w:sz w:val="20"/>
        </w:rPr>
        <w:pict>
          <v:rect id="_x0000_s2473" style="position:absolute;margin-left:316.75pt;margin-top:325.65pt;width:38.25pt;height:15.6pt;z-index:25173299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Monroe</w:t>
                  </w:r>
                </w:p>
              </w:txbxContent>
            </v:textbox>
          </v:rect>
        </w:pict>
      </w:r>
      <w:r>
        <w:rPr>
          <w:noProof/>
          <w:sz w:val="20"/>
        </w:rPr>
        <w:pict>
          <v:rect id="_x0000_s2472" style="position:absolute;margin-left:276.6pt;margin-top:361.65pt;width:36.3pt;height:15.6pt;z-index:25173196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Wayne</w:t>
                  </w:r>
                </w:p>
              </w:txbxContent>
            </v:textbox>
          </v:rect>
        </w:pict>
      </w:r>
      <w:r>
        <w:rPr>
          <w:noProof/>
          <w:sz w:val="20"/>
        </w:rPr>
        <w:pict>
          <v:rect id="_x0000_s2471" style="position:absolute;margin-left:279.6pt;margin-top:325.65pt;width:33.15pt;height:15.6pt;z-index:25173094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Lucas</w:t>
                  </w:r>
                </w:p>
              </w:txbxContent>
            </v:textbox>
          </v:rect>
        </w:pict>
      </w:r>
      <w:r>
        <w:rPr>
          <w:noProof/>
          <w:sz w:val="20"/>
        </w:rPr>
        <w:pict>
          <v:rect id="_x0000_s2470" style="position:absolute;margin-left:239pt;margin-top:325.65pt;width:34.75pt;height:15.6pt;z-index:25172992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Clarke</w:t>
                  </w:r>
                </w:p>
              </w:txbxContent>
            </v:textbox>
          </v:rect>
        </w:pict>
      </w:r>
      <w:r>
        <w:rPr>
          <w:noProof/>
          <w:sz w:val="20"/>
        </w:rPr>
        <w:pict>
          <v:rect id="_x0000_s2469" style="position:absolute;margin-left:239pt;margin-top:361.65pt;width:39pt;height:15.6pt;z-index:25172889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Decatur</w:t>
                  </w:r>
                </w:p>
              </w:txbxContent>
            </v:textbox>
          </v:rect>
        </w:pict>
      </w:r>
      <w:r>
        <w:rPr>
          <w:noProof/>
          <w:sz w:val="20"/>
        </w:rPr>
        <w:pict>
          <v:rect id="_x0000_s2468" style="position:absolute;margin-left:215pt;margin-top:277.6pt;width:41pt;height:15.65pt;z-index:25172787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Madison</w:t>
                  </w:r>
                </w:p>
              </w:txbxContent>
            </v:textbox>
          </v:rect>
        </w:pict>
      </w:r>
      <w:r>
        <w:rPr>
          <w:noProof/>
          <w:sz w:val="20"/>
        </w:rPr>
        <w:pict>
          <v:rect id="_x0000_s2467" style="position:absolute;margin-left:179.4pt;margin-top:277.6pt;width:30.7pt;height:15.65pt;z-index:25172684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Adair</w:t>
                  </w:r>
                </w:p>
              </w:txbxContent>
            </v:textbox>
          </v:rect>
        </w:pict>
      </w:r>
      <w:r>
        <w:rPr>
          <w:noProof/>
          <w:sz w:val="20"/>
        </w:rPr>
        <w:pict>
          <v:rect id="_x0000_s2466" style="position:absolute;margin-left:139.25pt;margin-top:277.6pt;width:30.35pt;height:15.65pt;z-index:25172582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Cass</w:t>
                  </w:r>
                </w:p>
              </w:txbxContent>
            </v:textbox>
          </v:rect>
        </w:pict>
      </w:r>
      <w:r>
        <w:rPr>
          <w:noProof/>
          <w:sz w:val="20"/>
        </w:rPr>
        <w:pict>
          <v:rect id="_x0000_s2465" style="position:absolute;margin-left:197pt;margin-top:361.65pt;width:41.9pt;height:15.6pt;z-index:25172480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Ringgold</w:t>
                  </w:r>
                </w:p>
              </w:txbxContent>
            </v:textbox>
          </v:rect>
        </w:pict>
      </w:r>
      <w:r>
        <w:rPr>
          <w:noProof/>
          <w:sz w:val="20"/>
        </w:rPr>
        <w:pict>
          <v:rect id="_x0000_s2464" style="position:absolute;margin-left:199.25pt;margin-top:325.65pt;width:32.75pt;height:15.6pt;z-index:25172377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Union</w:t>
                  </w:r>
                </w:p>
              </w:txbxContent>
            </v:textbox>
          </v:rect>
        </w:pict>
      </w:r>
      <w:r>
        <w:rPr>
          <w:noProof/>
          <w:sz w:val="20"/>
        </w:rPr>
        <w:pict>
          <v:rect id="_x0000_s2463" style="position:absolute;margin-left:157.65pt;margin-top:361.65pt;width:34pt;height:15.6pt;z-index:25172275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Taylor</w:t>
                  </w:r>
                </w:p>
              </w:txbxContent>
            </v:textbox>
          </v:rect>
        </w:pict>
      </w:r>
      <w:r>
        <w:rPr>
          <w:noProof/>
          <w:sz w:val="20"/>
        </w:rPr>
        <w:pict>
          <v:rect id="_x0000_s2462" style="position:absolute;margin-left:159.15pt;margin-top:325.65pt;width:36.2pt;height:15.6pt;z-index:25172172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Adams</w:t>
                  </w:r>
                </w:p>
              </w:txbxContent>
            </v:textbox>
          </v:rect>
        </w:pict>
      </w:r>
      <w:r>
        <w:rPr>
          <w:noProof/>
          <w:sz w:val="20"/>
        </w:rPr>
        <w:pict>
          <v:rect id="_x0000_s2461" style="position:absolute;margin-left:113pt;margin-top:325.65pt;width:53.35pt;height:15.6pt;z-index:25172070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Montgomery</w:t>
                  </w:r>
                </w:p>
              </w:txbxContent>
            </v:textbox>
          </v:rect>
        </w:pict>
      </w:r>
      <w:r>
        <w:rPr>
          <w:noProof/>
          <w:sz w:val="20"/>
        </w:rPr>
        <w:pict>
          <v:rect id="_x0000_s2460" style="position:absolute;margin-left:116.75pt;margin-top:361.65pt;width:30.9pt;height:15.6pt;z-index:25171968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Page</w:t>
                  </w:r>
                </w:p>
              </w:txbxContent>
            </v:textbox>
          </v:rect>
        </w:pict>
      </w:r>
      <w:r>
        <w:rPr>
          <w:noProof/>
          <w:sz w:val="20"/>
        </w:rPr>
        <w:pict>
          <v:rect id="_x0000_s2459" style="position:absolute;margin-left:71pt;margin-top:361.65pt;width:40.5pt;height:15.6pt;z-index:25171865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Fremont</w:t>
                  </w:r>
                </w:p>
              </w:txbxContent>
            </v:textbox>
          </v:rect>
        </w:pict>
      </w:r>
      <w:r>
        <w:rPr>
          <w:noProof/>
          <w:sz w:val="20"/>
        </w:rPr>
        <w:pict>
          <v:rect id="_x0000_s2458" style="position:absolute;margin-left:77pt;margin-top:325.65pt;width:28.5pt;height:15.6pt;z-index:25171763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Mills</w:t>
                  </w:r>
                </w:p>
              </w:txbxContent>
            </v:textbox>
          </v:rect>
        </w:pict>
      </w:r>
      <w:r>
        <w:rPr>
          <w:noProof/>
          <w:sz w:val="20"/>
        </w:rPr>
        <w:pict>
          <v:rect id="_x0000_s2457" style="position:absolute;margin-left:65pt;margin-top:277.6pt;width:58.9pt;height:15.65pt;z-index:25171660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Pottawattamie</w:t>
                  </w:r>
                </w:p>
              </w:txbxContent>
            </v:textbox>
          </v:rect>
        </w:pict>
      </w:r>
      <w:r>
        <w:rPr>
          <w:noProof/>
          <w:sz w:val="20"/>
        </w:rPr>
        <w:pict>
          <v:rect id="_x0000_s2456" style="position:absolute;margin-left:101pt;margin-top:235.65pt;width:35.85pt;height:15.6pt;z-index:25171558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Shelby</w:t>
                  </w:r>
                </w:p>
              </w:txbxContent>
            </v:textbox>
          </v:rect>
        </w:pict>
      </w:r>
      <w:r>
        <w:rPr>
          <w:noProof/>
          <w:sz w:val="20"/>
        </w:rPr>
        <w:pict>
          <v:rect id="_x0000_s2455" style="position:absolute;margin-left:53pt;margin-top:235.65pt;width:41pt;height:15.6pt;z-index:25171456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Harrison</w:t>
                  </w:r>
                </w:p>
              </w:txbxContent>
            </v:textbox>
          </v:rect>
        </w:pict>
      </w:r>
      <w:r>
        <w:rPr>
          <w:noProof/>
          <w:sz w:val="20"/>
        </w:rPr>
        <w:pict>
          <v:rect id="_x0000_s2454" style="position:absolute;margin-left:95pt;margin-top:193.65pt;width:42.85pt;height:15.6pt;z-index:25171353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Crawford</w:t>
                  </w:r>
                </w:p>
              </w:txbxContent>
            </v:textbox>
          </v:rect>
        </w:pict>
      </w:r>
      <w:r>
        <w:rPr>
          <w:noProof/>
          <w:sz w:val="20"/>
        </w:rPr>
        <w:pict>
          <v:rect id="_x0000_s2453" style="position:absolute;margin-left:41pt;margin-top:193.65pt;width:39.75pt;height:15.6pt;z-index:25171251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Monona</w:t>
                  </w:r>
                </w:p>
              </w:txbxContent>
            </v:textbox>
          </v:rect>
        </w:pict>
      </w:r>
      <w:r>
        <w:rPr>
          <w:noProof/>
          <w:sz w:val="20"/>
        </w:rPr>
        <w:pict>
          <v:rect id="_x0000_s2452" style="position:absolute;margin-left:89pt;margin-top:145.85pt;width:24.25pt;height:15.65pt;z-index:25171148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Ida</w:t>
                  </w:r>
                </w:p>
              </w:txbxContent>
            </v:textbox>
          </v:rect>
        </w:pict>
      </w:r>
      <w:r>
        <w:rPr>
          <w:noProof/>
          <w:sz w:val="20"/>
        </w:rPr>
        <w:pict>
          <v:rect id="_x0000_s2451" style="position:absolute;margin-left:29pt;margin-top:145.85pt;width:46.4pt;height:15.65pt;z-index:251710464"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Woodbury</w:t>
                  </w:r>
                </w:p>
              </w:txbxContent>
            </v:textbox>
          </v:rect>
        </w:pict>
      </w:r>
      <w:r>
        <w:rPr>
          <w:noProof/>
          <w:sz w:val="20"/>
        </w:rPr>
        <w:pict>
          <v:rect id="_x0000_s2450" style="position:absolute;margin-left:74.75pt;margin-top:103.9pt;width:44.9pt;height:15.6pt;z-index:25170944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Cherokee</w:t>
                  </w:r>
                </w:p>
              </w:txbxContent>
            </v:textbox>
          </v:rect>
        </w:pict>
      </w:r>
      <w:r>
        <w:rPr>
          <w:noProof/>
          <w:sz w:val="20"/>
        </w:rPr>
        <w:pict>
          <v:rect id="_x0000_s2449" style="position:absolute;margin-left:23pt;margin-top:103.9pt;width:43.65pt;height:15.6pt;z-index:251708416"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Plymouth</w:t>
                  </w:r>
                </w:p>
              </w:txbxContent>
            </v:textbox>
          </v:rect>
        </w:pict>
      </w:r>
      <w:r>
        <w:rPr>
          <w:noProof/>
          <w:sz w:val="20"/>
        </w:rPr>
        <w:pict>
          <v:rect id="_x0000_s2448" style="position:absolute;margin-left:35pt;margin-top:55.85pt;width:32pt;height:15.65pt;z-index:251707392"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Sioux</w:t>
                  </w:r>
                </w:p>
              </w:txbxContent>
            </v:textbox>
          </v:rect>
        </w:pict>
      </w:r>
      <w:r>
        <w:rPr>
          <w:noProof/>
          <w:sz w:val="20"/>
        </w:rPr>
        <w:pict>
          <v:rect id="_x0000_s2447" style="position:absolute;margin-left:77pt;margin-top:55.85pt;width:37.9pt;height:15.65pt;z-index:251706368"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O’Brien</w:t>
                  </w:r>
                </w:p>
              </w:txbxContent>
            </v:textbox>
          </v:rect>
        </w:pict>
      </w:r>
      <w:r>
        <w:rPr>
          <w:noProof/>
          <w:sz w:val="20"/>
        </w:rPr>
        <w:pict>
          <v:rect id="_x0000_s2446" style="position:absolute;margin-left:78pt;margin-top:25.9pt;width:42pt;height:15.6pt;z-index:251705344" fillcolor="#9cf"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Osceola</w:t>
                  </w:r>
                </w:p>
              </w:txbxContent>
            </v:textbox>
          </v:rect>
        </w:pict>
      </w:r>
      <w:r>
        <w:rPr>
          <w:noProof/>
          <w:sz w:val="20"/>
        </w:rPr>
        <w:pict>
          <v:rect id="_x0000_s2445" style="position:absolute;margin-left:35pt;margin-top:25.9pt;width:29.65pt;height:15.6pt;z-index:251704320" filled="f" fillcolor="#0c9" stroked="f">
            <v:textbox inset="7.25pt,1.2788mm,7.25pt,1.2788mm">
              <w:txbxContent>
                <w:p w:rsidR="00000000" w:rsidRDefault="00216019">
                  <w:pPr>
                    <w:autoSpaceDE w:val="0"/>
                    <w:autoSpaceDN w:val="0"/>
                    <w:adjustRightInd w:val="0"/>
                    <w:rPr>
                      <w:color w:val="000000"/>
                      <w:sz w:val="14"/>
                      <w:szCs w:val="14"/>
                    </w:rPr>
                  </w:pPr>
                  <w:r>
                    <w:rPr>
                      <w:color w:val="000000"/>
                      <w:sz w:val="14"/>
                      <w:szCs w:val="14"/>
                    </w:rPr>
                    <w:t>Lyon</w:t>
                  </w:r>
                </w:p>
              </w:txbxContent>
            </v:textbox>
          </v:rect>
        </w:pict>
      </w:r>
      <w:r>
        <w:rPr>
          <w:noProof/>
          <w:sz w:val="20"/>
        </w:rPr>
        <w:pict>
          <v:shape id="_x0000_s2444" style="position:absolute;margin-left:239.65pt;margin-top:101pt;width:44.45pt;height:45.75pt;z-index:251703296" coordsize="356,366" path="m,hel,282r,83l355,360,355,5,,e" fillcolor="#9cf" strokeweight=".35275mm">
            <v:stroke endcap="round"/>
            <v:path arrowok="t"/>
          </v:shape>
        </w:pict>
      </w:r>
      <w:r>
        <w:rPr>
          <w:noProof/>
          <w:sz w:val="20"/>
        </w:rPr>
        <w:pict>
          <v:shape id="_x0000_s2443" style="position:absolute;margin-left:282.65pt;margin-top:23.5pt;width:44.6pt;height:33pt;z-index:251702272" coordsize="357,264" path="m356,hel356,263,,258,5,,331,r25,e" fillcolor="#9cf" strokeweight=".35275mm">
            <v:stroke endcap="round"/>
            <v:path arrowok="t"/>
          </v:shape>
        </w:pict>
      </w:r>
      <w:r>
        <w:rPr>
          <w:noProof/>
          <w:sz w:val="20"/>
        </w:rPr>
        <w:pict>
          <v:shape id="_x0000_s2442" style="position:absolute;margin-left:20.25pt;margin-top:143.5pt;width:73.4pt;height:47.25pt;z-index:251701248" coordsize="587,378" path="m,10hel,29,5,49,20,83r10,5l55,103r5,19l60,142r-5,24l45,186r,29l45,245r45,68l95,328r-5,5l110,372r476,5l586,83r-50,l531,,451,,,10e" fillcolor="#9cf" strokeweight=".35275mm">
            <v:stroke endcap="round"/>
            <v:path arrowok="t"/>
          </v:shape>
        </w:pict>
      </w:r>
      <w:r>
        <w:rPr>
          <w:noProof/>
          <w:sz w:val="20"/>
        </w:rPr>
        <w:pict>
          <v:shape id="_x0000_s2441" style="position:absolute;margin-left:407.65pt;margin-top:23.5pt;width:44.6pt;height:53.75pt;z-index:251700224" coordsize="357,430" path="m351,hel261,,,5,,293,5,429r351,l356,161r-10,l351,e" fillcolor="#9cf" strokeweight=".35275mm">
            <v:stroke endcap="round"/>
            <v:path arrowok="t"/>
          </v:shape>
        </w:pict>
      </w:r>
      <w:r>
        <w:rPr>
          <w:noProof/>
          <w:sz w:val="20"/>
        </w:rPr>
        <w:pict>
          <v:shape id="_x0000_s2440" style="position:absolute;margin-left:239.65pt;margin-top:23.5pt;width:44.45pt;height:33pt;z-index:251699200" coordsize="356,264" path="m355,hel350,263,,263,,,250,,355,e" fillcolor="#9cf" strokeweight=".35275mm">
            <v:stroke endcap="round"/>
            <v:path arrowok="t"/>
          </v:shape>
        </w:pict>
      </w:r>
      <w:r>
        <w:rPr>
          <w:noProof/>
          <w:sz w:val="20"/>
        </w:rPr>
        <w:pict>
          <v:shape id="_x0000_s2439" style="position:absolute;margin-left:199.65pt;margin-top:133.9pt;width:45.75pt;height:56.85pt;z-index:251698176" coordsize="366,455" path="m335,88hel335,,,,,93r5,88l30,176r,278l200,454r165,l365,186r-25,l335,88e" fillcolor="#9cf" strokeweight=".35275mm">
            <v:stroke endcap="round"/>
            <v:path arrowok="t"/>
          </v:shape>
        </w:pict>
      </w:r>
      <w:r>
        <w:rPr>
          <w:noProof/>
          <w:sz w:val="20"/>
        </w:rPr>
        <w:pict>
          <v:shape id="_x0000_s2438" style="position:absolute;margin-left:277pt;margin-top:356.25pt;width:40.85pt;height:42.85pt;z-index:251697152" coordsize="327,343" path="m,hel,342r135,l326,342,321,,,e" fillcolor="#9cf" strokeweight=".35275mm">
            <v:stroke endcap="round"/>
            <v:path arrowok="t"/>
          </v:shape>
        </w:pict>
      </w:r>
      <w:r>
        <w:rPr>
          <w:noProof/>
          <w:sz w:val="20"/>
        </w:rPr>
        <w:pict>
          <v:shape id="_x0000_s2437" style="position:absolute;margin-left:420pt;margin-top:270pt;width:47.25pt;height:48pt;z-index:251696128" coordsize="330,381" path="m,hel,380r160,l329,380,324,102,314,78,309,58r-5,-9l309,24r-5,-9l294,,75,,,e" fillcolor="#0c9" strokeweight=".35275mm">
            <v:stroke endcap="round"/>
            <v:path arrowok="t"/>
          </v:shape>
        </w:pict>
      </w:r>
      <w:r>
        <w:rPr>
          <w:noProof/>
          <w:sz w:val="20"/>
        </w:rPr>
        <w:pict>
          <v:shape id="_x0000_s2436" style="position:absolute;margin-left:255.75pt;margin-top:274.65pt;width:44pt;height:47.6pt;z-index:251695104" coordsize="352,381" path="m,10hel,375r181,5l351,380r,-351l301,10,251,,,10e" fillcolor="#fcf" strokeweight=".35275mm">
            <v:stroke endcap="round"/>
            <v:path arrowok="t"/>
          </v:shape>
        </w:pict>
      </w:r>
      <w:r>
        <w:rPr>
          <w:noProof/>
          <w:sz w:val="20"/>
        </w:rPr>
        <w:pict>
          <v:shape id="_x0000_s2435" style="position:absolute;margin-left:357pt;margin-top:319.1pt;width:44.65pt;height:37.25pt;z-index:251694080" coordsize="357,298" path="m356,hel356,292,5,297,,,181,,356,e" fillcolor="#9cf" strokeweight=".35275mm">
            <v:stroke endcap="round"/>
            <v:path arrowok="t"/>
          </v:shape>
        </w:pict>
      </w:r>
      <w:r>
        <w:rPr>
          <w:noProof/>
          <w:sz w:val="20"/>
        </w:rPr>
        <w:pict>
          <v:shape id="_x0000_s2434" style="position:absolute;margin-left:399.5pt;margin-top:356.25pt;width:41.35pt;height:38pt;z-index:251693056" coordsize="331,304" path="m,hel,303r165,-5l330,303r,-215l330,,,e" fillcolor="#fc9" strokeweight=".35275mm">
            <v:stroke endcap="round"/>
            <v:path arrowok="t"/>
          </v:shape>
        </w:pict>
      </w:r>
      <w:r>
        <w:rPr>
          <w:noProof/>
          <w:sz w:val="20"/>
        </w:rPr>
        <w:pict>
          <v:shape id="_x0000_s2433" style="position:absolute;margin-left:194pt;margin-top:319.1pt;width:45.75pt;height:37.25pt;z-index:251692032" coordsize="366,298" path="m365,hel365,297,,297,,,190,,365,e" fillcolor="#9cf" strokeweight=".35275mm">
            <v:stroke endcap="round"/>
            <v:path arrowok="t"/>
          </v:shape>
        </w:pict>
      </w:r>
      <w:r>
        <w:rPr>
          <w:noProof/>
          <w:sz w:val="20"/>
        </w:rPr>
        <w:pict>
          <v:shape id="_x0000_s2432" style="position:absolute;margin-left:155.25pt;margin-top:356.25pt;width:43.25pt;height:44.1pt;z-index:251691008" coordsize="346,353" path="m,hel,186r10,l10,342r220,10l345,347,345,,,e" fillcolor="#9cf" strokeweight=".35275mm">
            <v:stroke endcap="round"/>
            <v:path arrowok="t"/>
          </v:shape>
        </w:pict>
      </w:r>
      <w:r>
        <w:rPr>
          <w:noProof/>
          <w:sz w:val="20"/>
        </w:rPr>
        <w:pict>
          <v:shape id="_x0000_s2431" style="position:absolute;margin-left:345.75pt;margin-top:174.65pt;width:44.5pt;height:57.35pt;z-index:251689984" coordsize="356,459" path="m,93hel,,175,,355,r,453l,458,,93e" fillcolor="#fc9" strokeweight=".35275mm">
            <v:stroke endcap="round"/>
            <v:path arrowok="t"/>
          </v:shape>
        </w:pict>
      </w:r>
      <w:r>
        <w:rPr>
          <w:noProof/>
          <w:sz w:val="20"/>
        </w:rPr>
        <w:pict>
          <v:shape id="_x0000_s2430" style="position:absolute;margin-left:265.1pt;margin-top:188.75pt;width:42.05pt;height:45.1pt;z-index:251688960" coordsize="336,361" path="m,5hel165,,330,r5,360l250,360,,360,,5e" fillcolor="#fc9" strokeweight=".35275mm">
            <v:stroke endcap="round"/>
            <v:path arrowok="t"/>
          </v:shape>
        </w:pict>
      </w:r>
      <w:r>
        <w:rPr>
          <w:noProof/>
          <w:sz w:val="20"/>
        </w:rPr>
        <w:pict>
          <v:shape id="_x0000_s2429" style="position:absolute;margin-left:20.25pt;margin-top:55.85pt;width:57pt;height:46.4pt;z-index:251687936" coordsize="456,371" path="m,5hel5,34,20,44r25,l60,49r5,14l70,93r10,29l85,146r-5,15l80,190r-5,19l30,239r10,19l40,287r,44l30,351r-5,19l455,360,455,,,5e" fillcolor="#9cf" strokeweight=".35275mm">
            <v:stroke endcap="round"/>
            <v:path arrowok="t"/>
          </v:shape>
        </w:pict>
      </w:r>
      <w:r>
        <w:rPr>
          <w:noProof/>
          <w:sz w:val="20"/>
        </w:rPr>
        <w:pict>
          <v:shape id="_x0000_s2428" style="position:absolute;margin-left:99pt;margin-top:231.9pt;width:45.15pt;height:47.1pt;z-index:251686912" coordsize="361,377" path="m325,hel,,5,273r45,l45,376r235,l360,376r,-107l325,269,325,e" fillcolor="#9cf" strokeweight=".35275mm">
            <v:stroke endcap="round"/>
            <v:path arrowok="t"/>
          </v:shape>
        </w:pict>
      </w:r>
      <w:r>
        <w:rPr>
          <w:noProof/>
          <w:sz w:val="20"/>
        </w:rPr>
        <w:pict>
          <v:shape id="_x0000_s2427" style="position:absolute;margin-left:508.25pt;margin-top:238.65pt;width:54.5pt;height:44pt;z-index:251685888" coordsize="436,352" path="m85,351hel130,351r50,-10l210,312r50,-29l325,268r40,-29l405,210r15,-25l430,107r5,-39l395,49,375,44,360,20,350,10,340,20r-10,l330,5,320,,305,5r-10,5l275,5,260,15r-10,5l235,15r-20,5l190,15r-15,9l160,34,125,49,115,44,95,10r-85,l,205r95,l85,351e" fillcolor="#fcf" strokeweight=".35275mm">
            <v:stroke endcap="round"/>
            <v:path arrowok="t"/>
          </v:shape>
        </w:pict>
      </w:r>
      <w:r>
        <w:rPr>
          <w:noProof/>
          <w:sz w:val="20"/>
        </w:rPr>
        <w:pict>
          <v:shape id="_x0000_s2426" style="position:absolute;margin-left:115.9pt;margin-top:142.5pt;width:45.7pt;height:48.25pt;z-index:251684864" coordsize="366,386" path="m325,5hel,,,93r40,l40,385r160,l360,380,365,93r-40,l325,5e" fillcolor="#9cf" strokeweight=".35275mm">
            <v:stroke endcap="round"/>
            <v:path arrowok="t"/>
          </v:shape>
        </w:pict>
      </w:r>
      <w:r>
        <w:rPr>
          <w:noProof/>
          <w:sz w:val="20"/>
        </w:rPr>
        <w:pict>
          <v:shape id="_x0000_s2425" style="position:absolute;margin-left:194pt;margin-top:356.25pt;width:45.75pt;height:44.1pt;z-index:251683840" coordsize="366,353" path="m,hel,352r195,l365,347,365,,,e" fillcolor="#9cf" strokeweight=".35275mm">
            <v:stroke endcap="round"/>
            <v:path arrowok="t"/>
          </v:shape>
        </w:pict>
      </w:r>
      <w:r>
        <w:rPr>
          <w:noProof/>
          <w:sz w:val="20"/>
        </w:rPr>
        <w:pict>
          <v:shape id="_x0000_s2424" style="position:absolute;margin-left:345.75pt;margin-top:228.25pt;width:46.35pt;height:47pt;z-index:251682816" coordsize="371,376" path="m16,375hel16,253,,253,,5,360,r-6,273l365,273r5,97l266,370,16,375e" fillcolor="#9cf" strokeweight=".35275mm">
            <v:stroke endcap="round"/>
            <v:path arrowok="t"/>
          </v:shape>
        </w:pict>
      </w:r>
      <w:r>
        <w:rPr>
          <w:noProof/>
          <w:sz w:val="20"/>
        </w:rPr>
        <w:pict>
          <v:shape id="_x0000_s2423" style="position:absolute;margin-left:60.25pt;margin-top:274.65pt;width:78.15pt;height:47.6pt;z-index:251681792" coordsize="625,381" path="m,hel5,19,45,49,55,73r,20l65,136r,20l55,166r5,14l80,190r15,10l100,214r-5,15l80,268r,44l90,356r5,24l464,380r160,l619,,374,,,e" fillcolor="#9cf" strokeweight=".35275mm">
            <v:stroke endcap="round"/>
            <v:path arrowok="t"/>
          </v:shape>
        </w:pict>
      </w:r>
      <w:r>
        <w:rPr>
          <w:noProof/>
          <w:sz w:val="20"/>
        </w:rPr>
        <w:pict>
          <v:shape id="_x0000_s2422" style="position:absolute;margin-left:255.25pt;margin-top:231.9pt;width:44.5pt;height:48.95pt;z-index:251680768" coordsize="356,392" path="m10,371hel10,264,,264,,,85,,345,r-5,264l355,264r,107l355,391,310,371r-55,-9l10,371e" fillcolor="#fcf" strokeweight=".35275mm">
            <v:stroke endcap="round"/>
            <v:path arrowok="t"/>
          </v:shape>
        </w:pict>
      </w:r>
      <w:r>
        <w:rPr>
          <w:noProof/>
          <w:sz w:val="20"/>
        </w:rPr>
        <w:pict>
          <v:shape id="_x0000_s2421" style="position:absolute;margin-left:155.25pt;margin-top:101pt;width:44.5pt;height:45.75pt;z-index:251679744" coordsize="356,366" path="m,hel,360r355,5l355,277,355,,,e" fillcolor="#9cf" strokeweight=".35275mm">
            <v:stroke endcap="round"/>
            <v:path arrowok="t"/>
          </v:shape>
        </w:pict>
      </w:r>
      <w:r>
        <w:rPr>
          <w:noProof/>
          <w:sz w:val="20"/>
        </w:rPr>
        <w:pict>
          <v:shape id="_x0000_s2420" style="position:absolute;margin-left:18.4pt;margin-top:97.9pt;width:58.85pt;height:48.85pt;z-index:251678720" coordsize="471,391" path="m50,10hel55,39,30,102,10,141,,185r,34l15,244r15,19l85,366r,24l470,380,470,,50,10e" fillcolor="#9cf" strokeweight=".35275mm">
            <v:stroke endcap="round"/>
            <v:path arrowok="t"/>
          </v:shape>
        </w:pict>
      </w:r>
      <w:r>
        <w:rPr>
          <w:noProof/>
          <w:sz w:val="20"/>
        </w:rPr>
        <w:pict>
          <v:shape id="_x0000_s2419" style="position:absolute;margin-left:155.25pt;margin-top:55.85pt;width:45.6pt;height:46.4pt;z-index:251677696" coordsize="365,371" path="m,hel,370r364,l359,,,e" fillcolor="#9cf" strokeweight=".35275mm">
            <v:stroke endcap="round"/>
            <v:path arrowok="t"/>
          </v:shape>
        </w:pict>
      </w:r>
      <w:r>
        <w:rPr>
          <w:noProof/>
          <w:sz w:val="20"/>
        </w:rPr>
        <w:pict>
          <v:shape id="_x0000_s2418" style="position:absolute;margin-left:115.9pt;margin-top:357.5pt;width:45pt;height:41.6pt;z-index:251676672" coordsize="360,333" path="m,5hel349,r,181l359,181r,151l140,332,10,327,5,171r-5,l,5e" fillcolor="#9cf" strokeweight=".35275mm">
            <v:stroke endcap="round"/>
            <v:path arrowok="t"/>
          </v:shape>
        </w:pict>
      </w:r>
      <w:r>
        <w:rPr>
          <w:noProof/>
          <w:sz w:val="20"/>
        </w:rPr>
        <w:pict>
          <v:shape id="_x0000_s2417" style="position:absolute;margin-left:77.1pt;margin-top:23.5pt;width:38.9pt;height:33pt;z-index:251675648" coordsize="311,264" path="m310,hel260,,,,,263r310,l310,e" fillcolor="#9cf" strokeweight=".35275mm">
            <v:stroke endcap="round"/>
            <v:path arrowok="t"/>
          </v:shape>
        </w:pict>
      </w:r>
      <w:r>
        <w:rPr>
          <w:noProof/>
          <w:sz w:val="20"/>
        </w:rPr>
        <w:pict>
          <v:shape id="_x0000_s2416" style="position:absolute;margin-left:77.1pt;margin-top:55.85pt;width:38.9pt;height:46.4pt;z-index:251674624" coordsize="311,371" path="m,hel,370r310,l310,,,e" fillcolor="#9cf" strokeweight=".35275mm">
            <v:stroke endcap="round"/>
            <v:path arrowok="t"/>
          </v:shape>
        </w:pict>
      </w:r>
      <w:r>
        <w:rPr>
          <w:noProof/>
          <w:sz w:val="20"/>
        </w:rPr>
        <w:pict>
          <v:shape id="_x0000_s2415" style="position:absolute;margin-left:468pt;margin-top:264pt;width:53.75pt;height:36.1pt;z-index:251673600" coordsize="430,289" path="m210,288hel,283,,195,5,,339,5r90,l419,161r-45,5l349,171r-40,19l269,185r-20,5l229,210r-19,78e" fillcolor="#fc9" strokeweight=".35275mm">
            <v:stroke endcap="round"/>
            <v:path arrowok="t"/>
          </v:shape>
        </w:pict>
      </w:r>
      <w:r>
        <w:rPr>
          <w:noProof/>
          <w:sz w:val="20"/>
        </w:rPr>
        <w:pict>
          <v:shape id="_x0000_s2414" style="position:absolute;margin-left:115.9pt;margin-top:319.1pt;width:45pt;height:40.3pt;z-index:251672576" coordsize="360,322" path="m359,hel359,316,,321,,,175,,359,e" fillcolor="#9cf" strokeweight=".35275mm">
            <v:stroke endcap="round"/>
            <v:path arrowok="t"/>
          </v:shape>
        </w:pict>
      </w:r>
      <w:r>
        <w:rPr>
          <w:noProof/>
          <w:sz w:val="20"/>
        </w:rPr>
        <w:pict>
          <v:shape id="_x0000_s2413" style="position:absolute;margin-left:317.75pt;margin-top:319.1pt;width:43.1pt;height:37.25pt;z-index:251671552" coordsize="345,298" path="m339,hel179,,,,,297r344,l339,e" fillcolor="#9cf" strokeweight=".35275mm">
            <v:stroke endcap="round"/>
            <v:path arrowok="t"/>
          </v:shape>
        </w:pict>
      </w:r>
      <w:r>
        <w:rPr>
          <w:noProof/>
          <w:sz w:val="20"/>
        </w:rPr>
        <w:pict>
          <v:shape id="_x0000_s2412" style="position:absolute;margin-left:32.1pt;margin-top:188.75pt;width:61.55pt;height:45.1pt;z-index:251670528" coordsize="492,361" path="m20,hel20,15,,34,,49,5,63,35,88r15,58l60,156r25,24l90,215r25,l130,229r10,20l140,273r-10,28l155,360r331,l491,5,20,e" fillcolor="#9cf" strokeweight=".35275mm">
            <v:stroke endcap="round"/>
            <v:path arrowok="t"/>
          </v:shape>
        </w:pict>
      </w:r>
      <w:r>
        <w:rPr>
          <w:noProof/>
          <w:sz w:val="20"/>
        </w:rPr>
        <w:pict>
          <v:shape id="_x0000_s2411" style="position:absolute;margin-left:323.4pt;margin-top:23.5pt;width:44.35pt;height:39.75pt;z-index:251669504" coordsize="355,318" path="m354,hel,,,278r,34l349,317,354,e" fillcolor="#9cf" strokeweight=".35275mm">
            <v:stroke endcap="round"/>
            <v:path arrowok="t"/>
          </v:shape>
        </w:pict>
      </w:r>
      <w:r>
        <w:rPr>
          <w:noProof/>
          <w:sz w:val="20"/>
        </w:rPr>
        <w:pict>
          <v:shape id="_x0000_s2410" style="position:absolute;margin-left:71.5pt;margin-top:319.1pt;width:44.5pt;height:37.25pt;z-index:251668480" coordsize="356,298" path="m,hel5,29,20,68,5,97r,30l5,146r25,58l40,239r,19l40,282r315,15l355,,,e" fillcolor="#9cf" strokeweight=".35275mm">
            <v:stroke endcap="round"/>
            <v:path arrowok="t"/>
          </v:shape>
        </w:pict>
      </w:r>
      <w:r>
        <w:rPr>
          <w:noProof/>
          <w:sz w:val="20"/>
        </w:rPr>
        <w:pict>
          <v:shape id="_x0000_s2409" style="position:absolute;margin-left:306.4pt;margin-top:185.65pt;width:39.5pt;height:46.35pt;z-index:251667456" coordsize="316,371" path="m,5hel155,,315,r,365l5,370,,5e" fillcolor="#fc9" strokeweight=".35275mm">
            <v:stroke endcap="round"/>
            <v:path arrowok="t"/>
          </v:shape>
        </w:pict>
      </w:r>
      <w:r>
        <w:rPr>
          <w:noProof/>
          <w:sz w:val="20"/>
        </w:rPr>
        <w:pict>
          <v:shape id="_x0000_s2408" style="position:absolute;margin-left:295.15pt;margin-top:274.65pt;width:45.2pt;height:47.6pt;z-index:251666432" coordsize="362,381" path="m,29hel5,380r165,l361,375,361,,,10,,29e" fillcolor="#fc9" strokeweight=".35275mm">
            <v:stroke endcap="round"/>
            <v:path arrowok="t"/>
          </v:shape>
        </w:pict>
      </w:r>
      <w:r>
        <w:rPr>
          <w:noProof/>
          <w:sz w:val="20"/>
        </w:rPr>
        <w:pict>
          <v:shape id="_x0000_s2407" style="position:absolute;margin-left:340.25pt;margin-top:272.85pt;width:42pt;height:46.4pt;z-index:251665408" coordsize="336,371" path="m,5hel85,5,324,r11,370l160,370,,370,,5e" fillcolor="#fc9" strokeweight=".35275mm">
            <v:stroke endcap="round"/>
            <v:path arrowok="t"/>
          </v:shape>
        </w:pict>
      </w:r>
      <w:r>
        <w:rPr>
          <w:noProof/>
          <w:sz w:val="20"/>
        </w:rPr>
        <w:pict>
          <v:shape id="_x0000_s2406" style="position:absolute;margin-left:217pt;margin-top:274.65pt;width:38.9pt;height:47.6pt;z-index:251664384" coordsize="311,381" path="m,5hel,380r160,l310,375,310,,265,,180,5,,5e" fillcolor="#fcf" strokeweight=".35275mm">
            <v:stroke endcap="round"/>
            <v:path arrowok="t"/>
          </v:shape>
        </w:pict>
      </w:r>
      <w:r>
        <w:rPr>
          <w:noProof/>
          <w:sz w:val="20"/>
        </w:rPr>
        <w:pict>
          <v:shape id="_x0000_s2405" style="position:absolute;margin-left:18.4pt;margin-top:23.5pt;width:58.85pt;height:33pt;z-index:251663360" coordsize="471,264" path="m470,hel350,5,105,10,5,10,,44,15,83r20,24l50,136r,39l40,209,25,224,15,234r5,29l470,258,470,e" fillcolor="#9cf" strokeweight=".35275mm">
            <v:stroke endcap="round"/>
            <v:path arrowok="t"/>
          </v:shape>
        </w:pict>
      </w:r>
      <w:r>
        <w:rPr>
          <w:noProof/>
          <w:sz w:val="20"/>
        </w:rPr>
        <w:pict>
          <v:shape id="_x0000_s2404" style="position:absolute;margin-left:277pt;margin-top:319.1pt;width:40.85pt;height:37.25pt;z-index:251662336" coordsize="327,298" path="m326,hel326,297,,297,,5,166,,326,e" fillcolor="#fc9" strokeweight=".35275mm">
            <v:stroke endcap="round"/>
            <v:path arrowok="t"/>
          </v:shape>
        </w:pict>
      </w:r>
      <w:r>
        <w:rPr>
          <w:noProof/>
          <w:sz w:val="20"/>
        </w:rPr>
        <w:pict>
          <v:shape id="_x0000_s2403" style="position:absolute;margin-left:456pt;margin-top:276pt;width:50.75pt;height:42pt;z-index:251661312" coordsize="406,304" path="m405,303hel90,299r,-73l5,222,,,90,r5,69l315,76r,12l315,107r-20,30l300,176r25,23l350,218r25,15l395,272r10,31e" fillcolor="#fc9" strokeweight=".35275mm">
            <v:stroke endcap="round"/>
            <v:path arrowok="t"/>
          </v:shape>
        </w:pict>
      </w:r>
      <w:r>
        <w:rPr>
          <w:noProof/>
          <w:sz w:val="20"/>
        </w:rPr>
        <w:pict>
          <v:shape id="_x0000_s2402" style="position:absolute;margin-left:429.5pt;margin-top:174.65pt;width:43.85pt;height:57.35pt;z-index:251660288" coordsize="351,459" path="m,hel175,,350,r,361l350,458,,458,,e" fillcolor="#fcf" strokeweight=".35275mm">
            <v:stroke endcap="round"/>
            <v:path arrowok="t"/>
          </v:shape>
        </w:pict>
      </w:r>
      <w:r>
        <w:rPr>
          <w:noProof/>
          <w:sz w:val="20"/>
        </w:rPr>
        <w:pict>
          <v:shape id="_x0000_s2401" style="position:absolute;margin-left:440.25pt;margin-top:366.6pt;width:55.6pt;height:61.15pt;z-index:251659264" coordsize="445,489" path="m444,127hel444,146r-30,35l384,205r-55,5l294,210r-30,19l244,254r-34,24l210,298r34,58l234,410r,24l239,459r-15,19l215,488,160,439,135,386,90,342,70,283,25,273,,229,,,229,r30,10l274,20r15,9l294,49r35,24l349,73r20,15l384,102r20,l414,98r10,9l444,127e" fillcolor="#fc9" strokeweight=".35275mm">
            <v:stroke endcap="round"/>
            <v:path arrowok="t"/>
          </v:shape>
        </w:pict>
      </w:r>
      <w:r>
        <w:rPr>
          <w:noProof/>
          <w:sz w:val="20"/>
        </w:rPr>
        <w:pict>
          <v:shape id="_x0000_s2400" style="position:absolute;margin-left:198.4pt;margin-top:23.5pt;width:44.35pt;height:78.75pt;z-index:251658240" coordsize="355,630" path="m349,hel354,263r,366l10,629,5,263,,5r140,l349,e" fillcolor="#9cf" strokeweight=".35275mm">
            <v:stroke endcap="round"/>
            <v:path arrowok="t"/>
          </v:shape>
        </w:pict>
      </w:r>
      <w:r>
        <w:rPr>
          <w:noProof/>
          <w:sz w:val="20"/>
        </w:rPr>
        <w:pict>
          <v:shape id="_x0000_s2399" style="position:absolute;margin-left:379pt;margin-top:272.85pt;width:44.4pt;height:46.4pt;z-index:251657216" coordsize="355,371" path="m,hel10,370r169,l354,370,354,,105,,,e" fillcolor="#9cf" strokeweight=".35275mm">
            <v:stroke endcap="round"/>
            <v:path arrowok="t"/>
          </v:shape>
        </w:pict>
      </w:r>
      <w:r>
        <w:rPr>
          <w:noProof/>
          <w:sz w:val="20"/>
        </w:rPr>
        <w:pict>
          <v:shape id="_x0000_s2398" style="position:absolute;margin-left:473.25pt;margin-top:174.65pt;width:40.75pt;height:46.45pt;z-index:251656192" coordsize="326,372" path="m,hel160,,325,5r,278l320,371,,366,,e" fillcolor="#0c9" strokeweight=".35275mm">
            <v:stroke endcap="round"/>
            <v:path arrowok="t"/>
          </v:shape>
        </w:pict>
      </w:r>
      <w:r>
        <w:rPr>
          <w:noProof/>
          <w:sz w:val="20"/>
        </w:rPr>
        <w:pict>
          <v:shape id="_x0000_s2397" style="position:absolute;margin-left:429.5pt;margin-top:230.1pt;width:43.85pt;height:57.4pt;z-index:251655168" coordsize="351,459" path="m345,hel,,,268r5,l,361r225,l240,370r5,10l240,409r5,5l250,439r10,19l345,458r5,-185l345,e" fillcolor="#0c9" strokeweight=".35275mm">
            <v:stroke endcap="round"/>
            <v:path arrowok="t"/>
          </v:shape>
        </w:pict>
      </w:r>
      <w:r>
        <w:rPr>
          <w:noProof/>
          <w:sz w:val="20"/>
        </w:rPr>
        <w:pict>
          <v:shape id="_x0000_s2396" style="position:absolute;margin-left:399.5pt;margin-top:319.1pt;width:41.35pt;height:37.25pt;z-index:251654144" coordsize="331,298" path="m330,hel170,,,,,297r330,l330,e" fillcolor="#9cf" strokeweight=".35275mm">
            <v:stroke endcap="round"/>
            <v:path arrowok="t"/>
          </v:shape>
        </w:pict>
      </w:r>
      <w:r>
        <w:rPr>
          <w:noProof/>
          <w:sz w:val="20"/>
        </w:rPr>
        <w:pict>
          <v:shape id="_x0000_s2395" style="position:absolute;margin-left:295.15pt;margin-top:230.1pt;width:55.85pt;height:47.15pt;z-index:251653120" coordsize="447,377" path="m10,376hel15,269,,269,,10,90,5,431,r,244l446,244r,122l361,366,10,376e" fillcolor="#9cf" strokeweight=".35275mm">
            <v:stroke endcap="round"/>
            <v:path arrowok="t"/>
          </v:shape>
        </w:pict>
      </w:r>
      <w:r>
        <w:rPr>
          <w:noProof/>
          <w:sz w:val="20"/>
        </w:rPr>
        <w:pict>
          <v:shape id="_x0000_s2394" style="position:absolute;margin-left:512pt;margin-top:163.75pt;width:67pt;height:46.35pt;z-index:251652096" coordsize="536,371" path="m535,370hel530,302,520,268,465,224,405,195,370,175,345,146r-5,-44l335,58,315,24,290,10,180,r-5,93l,97,,370r535,e" fillcolor="#fcf" strokeweight=".35275mm">
            <v:stroke endcap="round"/>
            <v:path arrowok="t"/>
          </v:shape>
        </w:pict>
      </w:r>
      <w:r>
        <w:rPr>
          <w:noProof/>
          <w:sz w:val="20"/>
        </w:rPr>
        <w:pict>
          <v:shape id="_x0000_s2393" style="position:absolute;margin-left:389.65pt;margin-top:230.1pt;width:40.6pt;height:45.15pt;z-index:251651072" coordsize="325,361" path="m10,360hel10,263,,263,5,,319,5r,263l324,268r-5,92l249,360r-239,e" fillcolor="#0c9" strokeweight=".35275mm">
            <v:stroke endcap="round"/>
            <v:path arrowok="t"/>
          </v:shape>
        </w:pict>
      </w:r>
      <w:r>
        <w:rPr>
          <w:noProof/>
          <w:sz w:val="20"/>
        </w:rPr>
        <w:pict>
          <v:shape id="_x0000_s2392" style="position:absolute;margin-left:82.15pt;margin-top:142.5pt;width:40.1pt;height:48.25pt;z-index:251650048" coordsize="321,386" path="m275,hel,5,,93r55,l55,385r265,l320,93r-45,l275,e" fillcolor="#9cf" strokeweight=".35275mm">
            <v:stroke endcap="round"/>
            <v:path arrowok="t"/>
          </v:shape>
        </w:pict>
      </w:r>
      <w:r>
        <w:rPr>
          <w:noProof/>
          <w:sz w:val="20"/>
        </w:rPr>
        <w:pict>
          <v:shape id="_x0000_s2391" style="position:absolute;margin-left:199.65pt;margin-top:101pt;width:43.1pt;height:33.6pt;z-index:251649024" coordsize="345,269" path="m,hel344,r,268l,268,,e" fillcolor="#9cf" strokeweight=".35275mm">
            <v:stroke endcap="round"/>
            <v:path arrowok="t"/>
          </v:shape>
        </w:pict>
      </w:r>
      <w:r>
        <w:rPr>
          <w:noProof/>
          <w:sz w:val="20"/>
        </w:rPr>
        <w:pict>
          <v:shape id="_x0000_s2390" style="position:absolute;margin-left:362.65pt;margin-top:23.5pt;width:45.1pt;height:39.75pt;z-index:251648000" coordsize="361,318" path="m360,5hel75,,5,,,317r360,l360,5e" fillcolor="#9cf" strokeweight=".35275mm">
            <v:stroke endcap="round"/>
            <v:path arrowok="t"/>
          </v:shape>
        </w:pict>
      </w:r>
      <w:r>
        <w:rPr>
          <w:noProof/>
          <w:sz w:val="20"/>
        </w:rPr>
        <w:pict>
          <v:shape id="_x0000_s2389" style="position:absolute;margin-left:440.25pt;margin-top:319.1pt;width:33.1pt;height:51.4pt;z-index:251646976" coordsize="265,411" path="m264,98hel264,410,229,400,,400,,308,5,,179,r85,l264,98e" fillcolor="#9cf" strokeweight=".35275mm">
            <v:stroke endcap="round"/>
            <v:path arrowok="t"/>
          </v:shape>
        </w:pict>
      </w:r>
      <w:r>
        <w:rPr>
          <w:noProof/>
          <w:sz w:val="20"/>
        </w:rPr>
        <w:pict>
          <v:shape id="_x0000_s2388" style="position:absolute;margin-left:48.9pt;margin-top:231.9pt;width:61.35pt;height:47.1pt;z-index:251645952" coordsize="491,377" path="m,hel30,39,25,83r5,34l10,151,5,205r,29l25,254r25,l60,254r,15l40,308r-5,19l65,342r20,5l95,376r390,l490,278r-50,-5l440,,345,,,e" fillcolor="#9cf" strokeweight=".35275mm">
            <v:stroke endcap="round"/>
            <v:path arrowok="t"/>
          </v:shape>
        </w:pict>
      </w:r>
      <w:r>
        <w:rPr>
          <w:noProof/>
          <w:sz w:val="20"/>
        </w:rPr>
        <w:pict>
          <v:shape id="_x0000_s2387" style="position:absolute;margin-left:282.65pt;margin-top:143.5pt;width:46.35pt;height:47.25pt;z-index:251644928" coordsize="371,378" path="m350,hel,,,118r25,l25,377r170,l370,372r,-279l355,93,350,e" fillcolor="#fc9" strokeweight=".35275mm">
            <v:stroke endcap="round"/>
            <v:path arrowok="t"/>
          </v:shape>
        </w:pict>
      </w:r>
      <w:r>
        <w:rPr>
          <w:noProof/>
          <w:sz w:val="20"/>
        </w:rPr>
        <w:pict>
          <v:shape id="_x0000_s2386" style="position:absolute;margin-left:239.65pt;margin-top:55.85pt;width:44.45pt;height:46.4pt;z-index:251643904" coordsize="356,371" path="m,hel,365r355,5l350,,,e" fillcolor="#9cf" strokeweight=".35275mm">
            <v:stroke endcap="round"/>
            <v:path arrowok="t"/>
          </v:shape>
        </w:pict>
      </w:r>
      <w:r>
        <w:rPr>
          <w:noProof/>
          <w:sz w:val="20"/>
        </w:rPr>
        <w:pict>
          <v:shape id="_x0000_s2385" style="position:absolute;margin-left:239.65pt;margin-top:143.5pt;width:48.85pt;height:47.25pt;z-index:251642880" coordsize="391,378" path="m360,hel,5r,98l30,98r,274l205,377r185,-5l390,118r-30,l360,e" fillcolor="#fc9" strokeweight=".35275mm">
            <v:stroke endcap="round"/>
            <v:path arrowok="t"/>
          </v:shape>
        </w:pict>
      </w:r>
      <w:r>
        <w:rPr>
          <w:noProof/>
          <w:sz w:val="20"/>
        </w:rPr>
        <w:pict>
          <v:shape id="_x0000_s2384" style="position:absolute;margin-left:172.15pt;margin-top:231.9pt;width:45pt;height:47.1pt;z-index:251641856" coordsize="360,377" path="m,hel85,,324,5r,268l359,273r-5,103l35,376r,-107l,269,,e" fillcolor="#9cf" strokeweight=".35275mm">
            <v:stroke endcap="round"/>
            <v:path arrowok="t"/>
          </v:shape>
        </w:pict>
      </w:r>
      <w:r>
        <w:rPr>
          <w:noProof/>
          <w:sz w:val="20"/>
        </w:rPr>
        <w:pict>
          <v:shape id="_x0000_s2383" style="position:absolute;margin-left:323.4pt;margin-top:143.5pt;width:44.35pt;height:47.25pt;z-index:251640832" coordsize="355,378" path="m334,hel,,,93r20,l15,377r169,l184,279r170,l354,93,339,88,334,e" fillcolor="#0c9" strokeweight=".35275mm">
            <v:stroke endcap="round"/>
            <v:path arrowok="t"/>
          </v:shape>
        </w:pict>
      </w:r>
      <w:r>
        <w:rPr>
          <w:noProof/>
          <w:sz w:val="20"/>
        </w:rPr>
        <w:pict>
          <v:shape id="_x0000_s2382" style="position:absolute;margin-left:178.35pt;margin-top:188.75pt;width:44.55pt;height:45.1pt;z-index:251639808" coordsize="356,361" path="m10,5hel175,,355,r-5,360l260,360,,355,10,5e" fillcolor="#9cf" strokeweight=".35275mm">
            <v:stroke endcap="round"/>
            <v:path arrowok="t"/>
          </v:shape>
        </w:pict>
      </w:r>
      <w:r>
        <w:rPr>
          <w:noProof/>
          <w:sz w:val="20"/>
        </w:rPr>
        <w:pict>
          <v:shape id="_x0000_s2381" style="position:absolute;margin-left:71.5pt;margin-top:353.25pt;width:44.5pt;height:45.85pt;z-index:251638784" coordsize="356,367" path="m35,hel15,68r5,54l5,171,,190r5,39l30,264r25,29l75,327r5,39l85,361r270,5l355,195r-5,l350,15,35,e" fillcolor="#9cf" strokeweight=".35275mm">
            <v:stroke endcap="round"/>
            <v:path arrowok="t"/>
          </v:shape>
        </w:pict>
      </w:r>
      <w:r>
        <w:rPr>
          <w:noProof/>
          <w:sz w:val="20"/>
        </w:rPr>
        <w:pict>
          <v:shape id="_x0000_s2380" style="position:absolute;margin-left:282.65pt;margin-top:101pt;width:44.6pt;height:42.6pt;z-index:251637760" coordsize="357,341" path="m,hel,340r356,l356,,,e" fillcolor="#9cf" strokeweight=".35275mm">
            <v:stroke endcap="round"/>
            <v:path arrowok="t"/>
          </v:shape>
        </w:pict>
      </w:r>
      <w:r>
        <w:rPr>
          <w:noProof/>
          <w:sz w:val="20"/>
        </w:rPr>
        <w:pict>
          <v:shape id="_x0000_s2379" style="position:absolute;margin-left:323.4pt;margin-top:60.15pt;width:44.35pt;height:42.1pt;z-index:251636736" coordsize="355,337" path="m,hel,336r354,l354,5,,e" fillcolor="#9cf" strokeweight=".35275mm">
            <v:stroke endcap="round"/>
            <v:path arrowok="t"/>
          </v:shape>
        </w:pict>
      </w:r>
      <w:r>
        <w:rPr>
          <w:noProof/>
          <w:sz w:val="20"/>
        </w:rPr>
        <w:pict>
          <v:shape id="_x0000_s2378" style="position:absolute;margin-left:407.65pt;margin-top:77.1pt;width:43.85pt;height:56.9pt;z-index:251635712" coordsize="351,455" path="m350,hel5,,,181,,454r350,l350,e" fillcolor="#9cf" strokeweight=".35275mm">
            <v:stroke endcap="round"/>
            <v:path arrowok="t"/>
          </v:shape>
        </w:pict>
      </w:r>
      <w:r>
        <w:rPr>
          <w:noProof/>
          <w:sz w:val="20"/>
        </w:rPr>
        <w:pict>
          <v:shape id="_x0000_s2377" style="position:absolute;margin-left:155.25pt;margin-top:23.5pt;width:44.5pt;height:33pt;z-index:251634688" coordsize="356,264" path="m350,hel355,263,,263,,,45,,350,e" fillcolor="#9cf" strokeweight=".35275mm">
            <v:stroke endcap="round"/>
            <v:path arrowok="t"/>
          </v:shape>
        </w:pict>
      </w:r>
      <w:r>
        <w:rPr>
          <w:noProof/>
          <w:sz w:val="20"/>
        </w:rPr>
        <w:pict>
          <v:shape id="_x0000_s2376" style="position:absolute;margin-left:490.1pt;margin-top:128.4pt;width:57.05pt;height:48.25pt;z-index:251633664" coordsize="456,386" path="m455,297hel345,205r-5,-30l345,175,330,136r-5,-24l305,68,265,29,215,10,175,r5,24l170,29,,34,5,190r,5l5,380r175,5l345,380r5,-88l455,297e" fillcolor="#fcf" strokeweight=".35275mm">
            <v:stroke endcap="round"/>
            <v:path arrowok="t"/>
          </v:shape>
        </w:pict>
      </w:r>
      <w:r>
        <w:rPr>
          <w:noProof/>
          <w:sz w:val="20"/>
        </w:rPr>
        <w:pict>
          <v:shape id="_x0000_s2375" style="position:absolute;margin-left:115.9pt;margin-top:23.5pt;width:45pt;height:33pt;z-index:251632640" coordsize="360,264" path="m359,hel359,263,,263,,,359,e" fillcolor="#9cf" strokeweight=".35275mm">
            <v:stroke endcap="round"/>
            <v:path arrowok="t"/>
          </v:shape>
        </w:pict>
      </w:r>
      <w:r>
        <w:rPr>
          <w:noProof/>
          <w:sz w:val="20"/>
        </w:rPr>
        <w:pict>
          <v:shape id="_x0000_s2374" style="position:absolute;margin-left:468pt;margin-top:317.5pt;width:40.35pt;height:66.15pt;z-index:251631616" coordsize="323,481" path="m193,480hel198,422r11,-85l250,268r51,-74l322,154r,-131l322,5,,,,348r15,6l30,365r5,23l71,416r21,l112,434r21,17l153,451r10,-5l168,456r25,24e" fillcolor="#fc9" strokeweight=".35275mm">
            <v:stroke endcap="round"/>
            <v:path arrowok="t"/>
          </v:shape>
        </w:pict>
      </w:r>
      <w:r>
        <w:rPr>
          <w:noProof/>
          <w:sz w:val="20"/>
        </w:rPr>
        <w:pict>
          <v:shape id="_x0000_s2373" style="position:absolute;margin-left:450.75pt;margin-top:131.35pt;width:45.1pt;height:45.3pt;z-index:251630592" coordsize="361,362" path="m350,hel,,,171r10,5l10,361r175,l360,361r,-190l355,161,350,e" fillcolor="#0c9" strokeweight=".35275mm">
            <v:stroke endcap="round"/>
            <v:path arrowok="t"/>
          </v:shape>
        </w:pict>
      </w:r>
      <w:r>
        <w:rPr>
          <w:noProof/>
          <w:sz w:val="20"/>
        </w:rPr>
        <w:pict>
          <v:shape id="_x0000_s2372" style="position:absolute;margin-left:234pt;margin-top:356.25pt;width:44.4pt;height:42.85pt;z-index:251629568" coordsize="355,343" path="m,hel,342r189,l354,342,354,,,e" fillcolor="#9cf" strokeweight=".35275mm">
            <v:stroke endcap="round"/>
            <v:path arrowok="t"/>
          </v:shape>
        </w:pict>
      </w:r>
      <w:r>
        <w:rPr>
          <w:noProof/>
          <w:sz w:val="20"/>
        </w:rPr>
        <w:pict>
          <v:shape id="_x0000_s2371" style="position:absolute;margin-left:357pt;margin-top:356.25pt;width:44.65pt;height:42.85pt;z-index:251628544" coordsize="357,343" path="m,5hel356,r,327l221,337,,342,,5e" fillcolor="#9cf" strokeweight=".35275mm">
            <v:stroke endcap="round"/>
            <v:path arrowok="t"/>
          </v:shape>
        </w:pict>
      </w:r>
      <w:r>
        <w:rPr>
          <w:noProof/>
          <w:sz w:val="20"/>
        </w:rPr>
        <w:pict>
          <v:shape id="_x0000_s2370" style="position:absolute;margin-left:211.5pt;margin-top:231.9pt;width:44.4pt;height:47.1pt;z-index:251627520" coordsize="355,377" path="m30,376hel35,273,,273,,,85,,344,r,264l354,264r,112l309,371r-95,5l30,376e" fillcolor="#fcf" strokeweight=".35275mm">
            <v:stroke endcap="round"/>
            <v:path arrowok="t"/>
          </v:shape>
        </w:pict>
      </w:r>
      <w:r>
        <w:rPr>
          <w:noProof/>
          <w:sz w:val="20"/>
        </w:rPr>
        <w:pict>
          <v:shape id="_x0000_s2369" style="position:absolute;margin-left:87.6pt;margin-top:188.75pt;width:51.5pt;height:45.1pt;z-index:251626496" coordsize="412,361" path="m5,hel,360r85,l406,360,411,,241,,5,e" fillcolor="#9cf" strokeweight=".35275mm">
            <v:stroke endcap="round"/>
            <v:path arrowok="t"/>
          </v:shape>
        </w:pict>
      </w:r>
      <w:r>
        <w:rPr>
          <w:noProof/>
          <w:sz w:val="20"/>
        </w:rPr>
        <w:pict>
          <v:shape id="_x0000_s2368" style="position:absolute;margin-left:512pt;margin-top:210pt;width:68.25pt;height:40.25pt;z-index:251625472" coordsize="546,322" path="m410,321hel375,301r-20,-4l340,272,330,262r-10,10l310,267r,-14l300,253r-15,l275,262r-20,-9l245,267r-10,5l220,267r-20,l175,267r-10,5l145,287r-30,10l105,297,90,262r-85,l,88,5,,530,r15,34l530,78r-5,29l530,145r-15,64l505,223r-35,30l445,267r-25,20l410,321e" fillcolor="#fc9" strokeweight=".35275mm">
            <v:stroke endcap="round"/>
            <v:path arrowok="t"/>
          </v:shape>
        </w:pict>
      </w:r>
      <w:r>
        <w:rPr>
          <w:noProof/>
          <w:sz w:val="20"/>
        </w:rPr>
        <w:pict>
          <v:shape id="_x0000_s2367" style="position:absolute;margin-left:450pt;margin-top:77.5pt;width:66.4pt;height:59.25pt;z-index:251624448" coordsize="531,474" path="m530,434hel530,458r-10,10l345,473,,473,,,310,5r20,93l345,180r25,49l380,322r15,39l430,380r40,30l510,424r20,10e" fillcolor="#fcf" strokeweight=".35275mm">
            <v:stroke endcap="round"/>
            <v:path arrowok="t"/>
          </v:shape>
        </w:pict>
      </w:r>
      <w:r>
        <w:rPr>
          <w:noProof/>
          <w:sz w:val="20"/>
        </w:rPr>
        <w:pict>
          <v:shape id="_x0000_s2366" style="position:absolute;margin-left:115.9pt;margin-top:55.85pt;width:45pt;height:46.4pt;z-index:251623424" coordsize="360,371" path="m,hel,370,359,360,359,,,e" fillcolor="#9cf" strokeweight=".35275mm">
            <v:stroke endcap="round"/>
            <v:path arrowok="t"/>
          </v:shape>
        </w:pict>
      </w:r>
      <w:r>
        <w:rPr>
          <w:noProof/>
          <w:sz w:val="20"/>
        </w:rPr>
        <w:pict>
          <v:shape id="_x0000_s2365" style="position:absolute;margin-left:234pt;margin-top:319.1pt;width:44.4pt;height:37.25pt;z-index:251622400" coordsize="355,298" path="m354,5hel165,,,5,,297r354,l354,5e" fillcolor="#9cf" strokeweight=".35275mm">
            <v:stroke endcap="round"/>
            <v:path arrowok="t"/>
          </v:shape>
        </w:pict>
      </w:r>
      <w:r>
        <w:rPr>
          <w:noProof/>
          <w:sz w:val="20"/>
        </w:rPr>
        <w:pict>
          <v:shape id="_x0000_s2364" style="position:absolute;margin-left:362.65pt;margin-top:60.6pt;width:47.7pt;height:41.65pt;z-index:251621376" coordsize="382,333" path="m,hel376,r5,142l381,332,,332,,e" fillcolor="#9cf" strokeweight=".35275mm">
            <v:stroke endcap="round"/>
            <v:path arrowok="t"/>
          </v:shape>
        </w:pict>
      </w:r>
      <w:r>
        <w:rPr>
          <w:noProof/>
          <w:sz w:val="20"/>
        </w:rPr>
        <w:pict>
          <v:shape id="_x0000_s2363" style="position:absolute;margin-left:77.1pt;margin-top:101pt;width:38.9pt;height:45.75pt;z-index:251620352" coordsize="311,366" path="m,hel,365r75,l310,355,310,,,e" fillcolor="#9cf" strokeweight=".35275mm">
            <v:stroke endcap="round"/>
            <v:path arrowok="t"/>
          </v:shape>
        </w:pict>
      </w:r>
      <w:r>
        <w:rPr>
          <w:noProof/>
          <w:sz w:val="20"/>
        </w:rPr>
        <w:pict>
          <v:shape id="_x0000_s2362" style="position:absolute;margin-left:282pt;margin-top:54pt;width:44.65pt;height:46.4pt;z-index:251619328" coordsize="357,371" path="m,hel5,370r351,l356,39r,-34l,e" fillcolor="#9cf" strokeweight=".35275mm">
            <v:stroke endcap="round"/>
            <v:path arrowok="t"/>
          </v:shape>
        </w:pict>
      </w:r>
      <w:r>
        <w:rPr>
          <w:noProof/>
          <w:sz w:val="20"/>
        </w:rPr>
        <w:pict>
          <v:shape id="_x0000_s2361" style="position:absolute;margin-left:469pt;margin-top:219.25pt;width:45pt;height:46.85pt;z-index:251618304" coordsize="360,375" path="m,hel354,5r5,174l349,374,5,369,,92,,e" fillcolor="#0c9" strokeweight=".35275mm">
            <v:stroke endcap="round"/>
            <v:path arrowok="t"/>
          </v:shape>
        </w:pict>
      </w:r>
      <w:r>
        <w:rPr>
          <w:noProof/>
          <w:sz w:val="20"/>
        </w:rPr>
        <w:pict>
          <v:shape id="_x0000_s2360" style="position:absolute;margin-left:138.25pt;margin-top:277.15pt;width:39.5pt;height:45.1pt;z-index:251617280" coordsize="316,361" path="m,hel5,360r155,l315,355,310,,75,,,e" fillcolor="#9cf" strokeweight=".35275mm">
            <v:stroke endcap="round"/>
            <v:path arrowok="t"/>
          </v:shape>
        </w:pict>
      </w:r>
      <w:r>
        <w:rPr>
          <w:noProof/>
          <w:sz w:val="20"/>
        </w:rPr>
        <w:pict>
          <v:shape id="_x0000_s2359" style="position:absolute;margin-left:138.25pt;margin-top:188.75pt;width:45.25pt;height:45.1pt;z-index:251616256" coordsize="362,361" path="m5,5hel181,,361,,351,355r-85,l,360,5,5e" fillcolor="#9cf" strokeweight=".35275mm">
            <v:stroke endcap="round"/>
            <v:path arrowok="t"/>
          </v:shape>
        </w:pict>
      </w:r>
      <w:r>
        <w:rPr>
          <w:noProof/>
          <w:sz w:val="20"/>
        </w:rPr>
        <w:pict>
          <v:shape id="_x0000_s2358" style="position:absolute;margin-left:155.25pt;margin-top:143.5pt;width:50pt;height:47.25pt;z-index:251615232" coordsize="400,378" path="m369,5hel,,,88r45,l40,377r184,l399,377r,-284l369,93r,-88e" fillcolor="#fc9" strokeweight=".35275mm">
            <v:stroke endcap="round"/>
            <v:path arrowok="t"/>
          </v:shape>
        </w:pict>
      </w:r>
      <w:r>
        <w:rPr>
          <w:noProof/>
          <w:sz w:val="20"/>
        </w:rPr>
        <w:pict>
          <v:shape id="_x0000_s2357" style="position:absolute;margin-left:323.4pt;margin-top:101pt;width:44.35pt;height:42.6pt;z-index:251614208" coordsize="355,341" path="m349,hel,,,340r349,l354,262,349,e" fillcolor="#0c9" strokeweight=".35275mm">
            <v:stroke endcap="round"/>
            <v:path arrowok="t"/>
          </v:shape>
        </w:pict>
      </w:r>
      <w:r>
        <w:rPr>
          <w:noProof/>
          <w:sz w:val="20"/>
        </w:rPr>
        <w:pict>
          <v:shape id="_x0000_s2356" style="position:absolute;margin-left:115.9pt;margin-top:99.75pt;width:39.5pt;height:43.85pt;z-index:251613184" coordsize="316,351" path="m,10hel,345r315,5l315,,,10e" fillcolor="#9cf" strokeweight=".35275mm">
            <v:stroke endcap="round"/>
            <v:path arrowok="t"/>
          </v:shape>
        </w:pict>
      </w:r>
      <w:r>
        <w:rPr>
          <w:noProof/>
          <w:sz w:val="20"/>
        </w:rPr>
        <w:pict>
          <v:shape id="_x0000_s2355" style="position:absolute;margin-left:408pt;margin-top:131.5pt;width:45.25pt;height:45.25pt;z-index:251612160" coordsize="362,362" path="m351,hel,,5,176r10,l15,361r171,l356,361r5,-185l351,171,351,e" fillcolor="#fc9" strokeweight=".35275mm">
            <v:stroke endcap="round"/>
            <v:path arrowok="t"/>
          </v:shape>
        </w:pict>
      </w:r>
      <w:r>
        <w:rPr>
          <w:noProof/>
          <w:sz w:val="20"/>
        </w:rPr>
        <w:pict>
          <v:shape id="_x0000_s2354" style="position:absolute;margin-left:362.65pt;margin-top:101pt;width:45.1pt;height:33pt;z-index:251611136" coordsize="361,264" path="m,hel360,r,258l5,263,,e" fillcolor="#0c9" strokeweight=".35275mm">
            <v:stroke endcap="round"/>
            <v:path arrowok="t"/>
          </v:shape>
        </w:pict>
      </w:r>
      <w:r>
        <w:rPr>
          <w:noProof/>
          <w:sz w:val="20"/>
        </w:rPr>
        <w:pict>
          <v:shape id="_x0000_s2353" style="position:absolute;margin-left:222.75pt;margin-top:188.75pt;width:43.75pt;height:45.1pt;z-index:251610112" coordsize="350,361" path="m179,hel349,5r,355l264,360,,360,5,,179,e" fillcolor="#fc9" strokeweight=".35275mm">
            <v:stroke endcap="round"/>
            <v:path arrowok="t"/>
          </v:shape>
        </w:pict>
      </w:r>
      <w:r>
        <w:rPr>
          <w:noProof/>
          <w:sz w:val="20"/>
        </w:rPr>
        <w:pict>
          <v:shape id="_x0000_s2352" style="position:absolute;margin-left:362.65pt;margin-top:131.35pt;width:50.25pt;height:45.3pt;z-index:251609088" coordsize="402,362" path="m386,hel5,5,,88r,88l20,176r,185l221,361r180,l401,176r-15,l386,e" fillcolor="#0c9" strokeweight=".35275mm">
            <v:stroke endcap="round"/>
            <v:path arrowok="t"/>
          </v:shape>
        </w:pict>
      </w:r>
      <w:r>
        <w:rPr>
          <w:noProof/>
          <w:sz w:val="20"/>
        </w:rPr>
        <w:pict>
          <v:shape id="_x0000_s2351" style="position:absolute;margin-left:390pt;margin-top:173.5pt;width:40.6pt;height:57.4pt;z-index:251608064" coordsize="325,459" path="m,hel155,,324,r,458l,453,,e" fillcolor="#fcf" strokeweight=".35275mm">
            <v:stroke endcap="round"/>
            <v:path arrowok="t"/>
          </v:shape>
        </w:pict>
      </w:r>
      <w:r>
        <w:rPr>
          <w:noProof/>
          <w:sz w:val="20"/>
        </w:rPr>
        <w:pict>
          <v:shape id="_x0000_s2350" style="position:absolute;margin-left:138.25pt;margin-top:231.9pt;width:39.5pt;height:47.1pt;z-index:251607040" coordsize="316,377" path="m,5hel280,r,264l315,264r,112l40,376r,-107l,269,,5e" fillcolor="#9cf" strokeweight=".35275mm">
            <v:stroke endcap="round"/>
            <v:path arrowok="t"/>
          </v:shape>
        </w:pict>
      </w:r>
      <w:r>
        <w:rPr>
          <w:noProof/>
          <w:sz w:val="20"/>
        </w:rPr>
        <w:pict>
          <v:shape id="_x0000_s2349" style="position:absolute;margin-left:317.75pt;margin-top:356.25pt;width:43.1pt;height:42.85pt;z-index:251606016" coordsize="345,343" path="m,hel5,342r299,-5l344,342,344,,,e" fillcolor="#9cf" strokeweight=".35275mm">
            <v:stroke endcap="round"/>
            <v:path arrowok="t"/>
          </v:shape>
        </w:pict>
      </w:r>
      <w:r>
        <w:rPr>
          <w:noProof/>
          <w:sz w:val="20"/>
        </w:rPr>
        <w:pict>
          <v:shape id="_x0000_s2348" style="position:absolute;margin-left:450.75pt;margin-top:23.5pt;width:47pt;height:53.75pt;z-index:251604992" coordsize="376,430" path="m295,429hel290,429r10,-44l315,336r45,-63l375,249,365,210,310,151,300,98,280,83,260,63r,-48l5,,,161r10,-5l10,424r285,5e" fillcolor="#9cf" strokeweight=".35275mm">
            <v:stroke endcap="round"/>
            <v:path arrowok="t"/>
          </v:shape>
        </w:pict>
      </w:r>
      <w:r>
        <w:rPr>
          <w:noProof/>
          <w:sz w:val="20"/>
        </w:rPr>
        <w:pict>
          <v:shape id="_x0000_s2347" style="position:absolute;margin-left:155.25pt;margin-top:319.1pt;width:43.25pt;height:37.25pt;z-index:251603968" coordsize="346,298" path="m345,hel175,,,5,,297r345,l345,e" fillcolor="#9cf" strokeweight=".35275mm">
            <v:stroke endcap="round"/>
            <v:path arrowok="t"/>
          </v:shape>
        </w:pict>
      </w:r>
      <w:r>
        <w:rPr>
          <w:noProof/>
          <w:sz w:val="20"/>
        </w:rPr>
        <w:pict>
          <v:shape id="_x0000_s2346" style="position:absolute;margin-left:177.6pt;margin-top:277.15pt;width:39.55pt;height:45.1pt;z-index:251602944" coordsize="316,361" path="m,hel5,360r145,l315,360,315,,,e" fillcolor="#9cf" strokeweight=".35275mm">
            <v:stroke endcap="round"/>
            <v:path arrowok="t"/>
          </v:shape>
        </w:pict>
      </w:r>
      <w:r>
        <w:rPr>
          <w:noProof/>
          <w:sz w:val="20"/>
        </w:rPr>
        <w:pict>
          <v:rect id="_x0000_s2345" style="position:absolute;margin-left:174pt;margin-top:407.5pt;width:228pt;height:48pt;z-index:251601920;v-text-anchor:middle" filled="f" fillcolor="#0c9" stroked="f"/>
        </w:pict>
      </w:r>
      <w:r>
        <w:rPr>
          <w:noProof/>
          <w:sz w:val="20"/>
        </w:rPr>
        <w:pict>
          <v:rect id="_x0000_s2344" style="position:absolute;margin-left:114pt;margin-top:426pt;width:174pt;height:17.5pt;z-index:251600896;v-text-anchor:middle" filled="f" fillcolor="#0c9" stroked="f">
            <v:textbox>
              <w:txbxContent>
                <w:p w:rsidR="00000000" w:rsidRDefault="00216019">
                  <w:pPr>
                    <w:autoSpaceDE w:val="0"/>
                    <w:autoSpaceDN w:val="0"/>
                    <w:adjustRightInd w:val="0"/>
                    <w:jc w:val="center"/>
                    <w:rPr>
                      <w:color w:val="000000"/>
                      <w:sz w:val="48"/>
                      <w:szCs w:val="48"/>
                    </w:rPr>
                  </w:pPr>
                </w:p>
              </w:txbxContent>
            </v:textbox>
          </v:rect>
        </w:pict>
      </w:r>
      <w:r>
        <w:rPr>
          <w:noProof/>
          <w:sz w:val="20"/>
        </w:rPr>
        <w:pict>
          <v:rect id="_x0000_s2343" style="position:absolute;margin-left:174pt;margin-top:407.5pt;width:228pt;height:36pt;z-index:251599872;v-text-anchor:middle" filled="f" fillcolor="#0c9" stroked="f"/>
        </w:pict>
      </w:r>
      <w:r>
        <w:rPr>
          <w:noProof/>
          <w:sz w:val="20"/>
        </w:rPr>
        <w:pict>
          <v:rect id="_x0000_s2342" style="position:absolute;margin-left:114pt;margin-top:426pt;width:150pt;height:17.5pt;z-index:251598848;v-text-anchor:middle" filled="f" fillcolor="#0c9" stroked="f">
            <v:textbox>
              <w:txbxContent>
                <w:p w:rsidR="00000000" w:rsidRDefault="00216019">
                  <w:pPr>
                    <w:autoSpaceDE w:val="0"/>
                    <w:autoSpaceDN w:val="0"/>
                    <w:adjustRightInd w:val="0"/>
                    <w:jc w:val="center"/>
                    <w:rPr>
                      <w:color w:val="000000"/>
                      <w:sz w:val="48"/>
                      <w:szCs w:val="48"/>
                    </w:rPr>
                  </w:pPr>
                </w:p>
              </w:txbxContent>
            </v:textbox>
          </v:rect>
        </w:pict>
      </w:r>
    </w:p>
    <w:p w:rsidR="00000000" w:rsidRDefault="00216019">
      <w:pPr>
        <w:rPr>
          <w:i/>
        </w:rPr>
      </w:pPr>
      <w:r>
        <w:rPr>
          <w:noProof/>
          <w:sz w:val="20"/>
        </w:rPr>
        <w:pict>
          <v:shape id="_x0000_s2566" type="#_x0000_t202" style="position:absolute;margin-left:-45.6pt;margin-top:364.2pt;width:133.95pt;height:44.6pt;z-index:251828224" filled="f" fillcolor="black" stroked="f">
            <v:textbox>
              <w:txbxContent>
                <w:p w:rsidR="00000000" w:rsidRDefault="00216019">
                  <w:pPr>
                    <w:autoSpaceDE w:val="0"/>
                    <w:autoSpaceDN w:val="0"/>
                    <w:adjustRightInd w:val="0"/>
                    <w:rPr>
                      <w:color w:val="000000"/>
                      <w:sz w:val="18"/>
                      <w:szCs w:val="18"/>
                    </w:rPr>
                  </w:pPr>
                  <w:r>
                    <w:rPr>
                      <w:color w:val="000000"/>
                      <w:sz w:val="18"/>
                      <w:szCs w:val="18"/>
                    </w:rPr>
                    <w:t xml:space="preserve">   Iowa Health Solutions</w:t>
                  </w:r>
                </w:p>
                <w:p w:rsidR="00000000" w:rsidRDefault="00216019">
                  <w:pPr>
                    <w:autoSpaceDE w:val="0"/>
                    <w:autoSpaceDN w:val="0"/>
                    <w:adjustRightInd w:val="0"/>
                    <w:rPr>
                      <w:color w:val="000000"/>
                      <w:sz w:val="18"/>
                      <w:szCs w:val="18"/>
                    </w:rPr>
                  </w:pPr>
                  <w:r>
                    <w:rPr>
                      <w:color w:val="000000"/>
                      <w:sz w:val="18"/>
                      <w:szCs w:val="18"/>
                    </w:rPr>
                    <w:t xml:space="preserve">   John Deere</w:t>
                  </w:r>
                </w:p>
              </w:txbxContent>
            </v:textbox>
          </v:shape>
        </w:pict>
      </w:r>
      <w:r>
        <w:rPr>
          <w:noProof/>
          <w:sz w:val="20"/>
        </w:rPr>
        <w:pict>
          <v:shape id="_x0000_s2564" type="#_x0000_t202" style="position:absolute;margin-left:-37.25pt;margin-top:340.2pt;width:104.3pt;height:33pt;z-index:251826176" filled="f" fillcolor="#0c9" stroked="f">
            <v:textbox>
              <w:txbxContent>
                <w:p w:rsidR="00000000" w:rsidRDefault="00216019">
                  <w:pPr>
                    <w:autoSpaceDE w:val="0"/>
                    <w:autoSpaceDN w:val="0"/>
                    <w:adjustRightInd w:val="0"/>
                    <w:rPr>
                      <w:color w:val="000000"/>
                      <w:sz w:val="18"/>
                      <w:szCs w:val="18"/>
                    </w:rPr>
                  </w:pPr>
                  <w:r>
                    <w:rPr>
                      <w:color w:val="000000"/>
                      <w:sz w:val="18"/>
                      <w:szCs w:val="18"/>
                    </w:rPr>
                    <w:t>John Deere</w:t>
                  </w:r>
                </w:p>
              </w:txbxContent>
            </v:textbox>
          </v:shape>
        </w:pict>
      </w:r>
    </w:p>
    <w:p w:rsidR="00000000" w:rsidRDefault="00216019">
      <w:pPr>
        <w:rPr>
          <w:i/>
        </w:rPr>
        <w:sectPr w:rsidR="00000000">
          <w:pgSz w:w="15840" w:h="12240" w:orient="landscape" w:code="1"/>
          <w:pgMar w:top="1440" w:right="1440" w:bottom="1440" w:left="1440" w:header="720" w:footer="720" w:gutter="0"/>
          <w:pgNumType w:start="14"/>
          <w:cols w:space="720"/>
          <w:titlePg/>
        </w:sectPr>
      </w:pPr>
    </w:p>
    <w:p w:rsidR="00000000" w:rsidRDefault="00216019">
      <w:pPr>
        <w:rPr>
          <w:i/>
        </w:rPr>
      </w:pPr>
    </w:p>
    <w:p w:rsidR="00000000" w:rsidRDefault="00216019">
      <w:pPr>
        <w:rPr>
          <w:i/>
        </w:rPr>
      </w:pPr>
      <w:r>
        <w:rPr>
          <w:i/>
          <w:noProof/>
          <w:sz w:val="20"/>
        </w:rPr>
        <w:drawing>
          <wp:anchor distT="0" distB="0" distL="114300" distR="114300" simplePos="0" relativeHeight="251832320" behindDoc="0" locked="0" layoutInCell="1" allowOverlap="1">
            <wp:simplePos x="0" y="0"/>
            <wp:positionH relativeFrom="column">
              <wp:posOffset>51435</wp:posOffset>
            </wp:positionH>
            <wp:positionV relativeFrom="paragraph">
              <wp:posOffset>55880</wp:posOffset>
            </wp:positionV>
            <wp:extent cx="7921625" cy="4643120"/>
            <wp:effectExtent l="0" t="0" r="0" b="0"/>
            <wp:wrapNone/>
            <wp:docPr id="1546" name="Object 15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000000" w:rsidRDefault="00216019">
      <w:pPr>
        <w:rPr>
          <w:i/>
        </w:rPr>
      </w:pPr>
    </w:p>
    <w:p w:rsidR="00000000" w:rsidRDefault="00216019">
      <w:pPr>
        <w:rPr>
          <w:i/>
        </w:rPr>
        <w:sectPr w:rsidR="00000000">
          <w:pgSz w:w="15840" w:h="12240" w:orient="landscape" w:code="1"/>
          <w:pgMar w:top="1440" w:right="1440" w:bottom="1440" w:left="1440" w:header="720" w:footer="720" w:gutter="0"/>
          <w:pgNumType w:start="14"/>
          <w:cols w:space="720"/>
          <w:titlePg/>
        </w:sectPr>
      </w:pPr>
    </w:p>
    <w:p w:rsidR="00000000" w:rsidRDefault="00216019">
      <w:pPr>
        <w:jc w:val="center"/>
        <w:rPr>
          <w:i/>
          <w:sz w:val="36"/>
        </w:rPr>
      </w:pPr>
    </w:p>
    <w:p w:rsidR="00000000" w:rsidRDefault="00216019">
      <w:pPr>
        <w:jc w:val="center"/>
        <w:rPr>
          <w:i/>
          <w:sz w:val="36"/>
        </w:rPr>
      </w:pPr>
    </w:p>
    <w:p w:rsidR="00000000" w:rsidRDefault="00216019">
      <w:pPr>
        <w:jc w:val="center"/>
        <w:rPr>
          <w:i/>
          <w:sz w:val="36"/>
        </w:rPr>
      </w:pPr>
    </w:p>
    <w:p w:rsidR="00000000" w:rsidRDefault="00216019">
      <w:pPr>
        <w:jc w:val="center"/>
        <w:rPr>
          <w:i/>
          <w:sz w:val="36"/>
        </w:rPr>
      </w:pPr>
    </w:p>
    <w:p w:rsidR="00000000" w:rsidRDefault="00216019">
      <w:pPr>
        <w:jc w:val="center"/>
        <w:rPr>
          <w:i/>
          <w:sz w:val="36"/>
        </w:rPr>
      </w:pPr>
    </w:p>
    <w:p w:rsidR="00000000" w:rsidRDefault="00216019">
      <w:pPr>
        <w:jc w:val="center"/>
        <w:rPr>
          <w:i/>
          <w:sz w:val="36"/>
        </w:rPr>
      </w:pPr>
    </w:p>
    <w:p w:rsidR="00000000" w:rsidRDefault="00216019">
      <w:pPr>
        <w:jc w:val="center"/>
        <w:rPr>
          <w:i/>
          <w:sz w:val="36"/>
        </w:rPr>
      </w:pPr>
    </w:p>
    <w:p w:rsidR="00000000" w:rsidRDefault="00216019">
      <w:pPr>
        <w:jc w:val="center"/>
        <w:rPr>
          <w:i/>
          <w:sz w:val="36"/>
        </w:rPr>
      </w:pPr>
    </w:p>
    <w:p w:rsidR="00000000" w:rsidRDefault="00216019">
      <w:pPr>
        <w:jc w:val="center"/>
        <w:rPr>
          <w:i/>
          <w:sz w:val="36"/>
        </w:rPr>
      </w:pPr>
    </w:p>
    <w:p w:rsidR="00000000" w:rsidRDefault="00216019">
      <w:pPr>
        <w:jc w:val="center"/>
        <w:rPr>
          <w:i/>
          <w:sz w:val="36"/>
        </w:rPr>
      </w:pPr>
    </w:p>
    <w:p w:rsidR="00000000" w:rsidRDefault="00216019">
      <w:pPr>
        <w:jc w:val="center"/>
        <w:rPr>
          <w:i/>
          <w:sz w:val="36"/>
        </w:rPr>
      </w:pPr>
      <w:r>
        <w:rPr>
          <w:i/>
          <w:sz w:val="36"/>
        </w:rPr>
        <w:t>Attachment 6:  Health</w:t>
      </w:r>
      <w:r>
        <w:rPr>
          <w:i/>
          <w:sz w:val="36"/>
        </w:rPr>
        <w:t>y and Well Kids in Iowa (</w:t>
      </w:r>
      <w:r>
        <w:rPr>
          <w:b/>
          <w:i/>
          <w:sz w:val="36"/>
        </w:rPr>
        <w:t>hawk-i</w:t>
      </w:r>
      <w:r>
        <w:rPr>
          <w:i/>
          <w:sz w:val="36"/>
        </w:rPr>
        <w:t>) Board Bylaws</w:t>
      </w:r>
    </w:p>
    <w:p w:rsidR="00000000" w:rsidRDefault="00216019">
      <w:pPr>
        <w:jc w:val="center"/>
        <w:rPr>
          <w:i/>
          <w:sz w:val="36"/>
        </w:rPr>
      </w:pPr>
      <w:r>
        <w:rPr>
          <w:i/>
          <w:sz w:val="36"/>
        </w:rPr>
        <w:t>***</w:t>
      </w:r>
    </w:p>
    <w:p w:rsidR="00000000" w:rsidRDefault="00216019">
      <w:pPr>
        <w:jc w:val="center"/>
      </w:pPr>
      <w:r>
        <w:br w:type="page"/>
      </w:r>
      <w:r>
        <w:rPr>
          <w:b/>
        </w:rPr>
        <w:lastRenderedPageBreak/>
        <w:t>BYLAWS</w:t>
      </w:r>
    </w:p>
    <w:p w:rsidR="00000000" w:rsidRDefault="00216019">
      <w:pPr>
        <w:jc w:val="center"/>
      </w:pPr>
    </w:p>
    <w:p w:rsidR="00000000" w:rsidRDefault="00216019">
      <w:pPr>
        <w:jc w:val="center"/>
      </w:pPr>
      <w:r>
        <w:t>Healthy and Well Kids in Iowa (</w:t>
      </w:r>
      <w:r>
        <w:rPr>
          <w:b/>
          <w:i/>
        </w:rPr>
        <w:t xml:space="preserve">hawk-i) </w:t>
      </w:r>
      <w:r>
        <w:t>Board</w:t>
      </w:r>
    </w:p>
    <w:p w:rsidR="00000000" w:rsidRDefault="00216019"/>
    <w:p w:rsidR="00000000" w:rsidRDefault="00216019"/>
    <w:p w:rsidR="00000000" w:rsidRDefault="00216019" w:rsidP="00216019">
      <w:pPr>
        <w:numPr>
          <w:ilvl w:val="0"/>
          <w:numId w:val="22"/>
        </w:numPr>
      </w:pPr>
      <w:r>
        <w:rPr>
          <w:b/>
        </w:rPr>
        <w:t>NAME AND PURPOSE</w:t>
      </w:r>
    </w:p>
    <w:p w:rsidR="00000000" w:rsidRDefault="00216019"/>
    <w:p w:rsidR="00000000" w:rsidRDefault="00216019" w:rsidP="00216019">
      <w:pPr>
        <w:numPr>
          <w:ilvl w:val="0"/>
          <w:numId w:val="23"/>
        </w:numPr>
        <w:ind w:left="1080"/>
      </w:pPr>
      <w:r>
        <w:t xml:space="preserve">The </w:t>
      </w:r>
      <w:r>
        <w:rPr>
          <w:b/>
          <w:i/>
        </w:rPr>
        <w:t xml:space="preserve">hawk-i </w:t>
      </w:r>
      <w:r>
        <w:t xml:space="preserve">Board, hereafter referred to as the Board, is established and operates in accordance with the </w:t>
      </w:r>
      <w:r>
        <w:rPr>
          <w:u w:val="single"/>
        </w:rPr>
        <w:t>Code of Iowa</w:t>
      </w:r>
      <w:r>
        <w:t>.</w:t>
      </w:r>
    </w:p>
    <w:p w:rsidR="00000000" w:rsidRDefault="00216019">
      <w:pPr>
        <w:ind w:left="720"/>
      </w:pPr>
    </w:p>
    <w:p w:rsidR="00000000" w:rsidRDefault="00216019" w:rsidP="00216019">
      <w:pPr>
        <w:numPr>
          <w:ilvl w:val="0"/>
          <w:numId w:val="23"/>
        </w:numPr>
        <w:ind w:left="1080"/>
      </w:pPr>
      <w:r>
        <w:t xml:space="preserve">The Board’s </w:t>
      </w:r>
      <w:r>
        <w:t xml:space="preserve">specific powers and duties are set forth in Chapter 514I of the </w:t>
      </w:r>
      <w:r>
        <w:rPr>
          <w:u w:val="single"/>
        </w:rPr>
        <w:t>Code of Iowa</w:t>
      </w:r>
      <w:r>
        <w:t>.</w:t>
      </w:r>
    </w:p>
    <w:p w:rsidR="00000000" w:rsidRDefault="00216019"/>
    <w:p w:rsidR="00000000" w:rsidRDefault="00216019"/>
    <w:p w:rsidR="00000000" w:rsidRDefault="00216019" w:rsidP="00216019">
      <w:pPr>
        <w:numPr>
          <w:ilvl w:val="0"/>
          <w:numId w:val="22"/>
        </w:numPr>
      </w:pPr>
      <w:r>
        <w:rPr>
          <w:b/>
        </w:rPr>
        <w:t>MEMBERSHIP</w:t>
      </w:r>
    </w:p>
    <w:p w:rsidR="00000000" w:rsidRDefault="00216019"/>
    <w:p w:rsidR="00000000" w:rsidRDefault="00216019" w:rsidP="00216019">
      <w:pPr>
        <w:numPr>
          <w:ilvl w:val="0"/>
          <w:numId w:val="24"/>
        </w:numPr>
        <w:tabs>
          <w:tab w:val="num" w:pos="1080"/>
        </w:tabs>
        <w:ind w:left="1080"/>
      </w:pPr>
      <w:r>
        <w:t>The Board consists of eleven (11) members.  Four members are appointed by the Governor to two-year terms.  Statutory members are the Director of the Department of E</w:t>
      </w:r>
      <w:r>
        <w:t>ducation, the Director of the Department of Public Health, and the Commissioner of Insurance, or their designees.  Ex officio members from the General Assembly are appointed:  two Senate members and two House members.</w:t>
      </w:r>
    </w:p>
    <w:p w:rsidR="00000000" w:rsidRDefault="00216019">
      <w:pPr>
        <w:ind w:left="720"/>
      </w:pPr>
    </w:p>
    <w:p w:rsidR="00000000" w:rsidRDefault="00216019" w:rsidP="00216019">
      <w:pPr>
        <w:numPr>
          <w:ilvl w:val="0"/>
          <w:numId w:val="22"/>
        </w:numPr>
      </w:pPr>
      <w:r>
        <w:rPr>
          <w:b/>
        </w:rPr>
        <w:t>BOARD MEETINGS</w:t>
      </w:r>
    </w:p>
    <w:p w:rsidR="00000000" w:rsidRDefault="00216019"/>
    <w:p w:rsidR="00000000" w:rsidRDefault="00216019" w:rsidP="00216019">
      <w:pPr>
        <w:numPr>
          <w:ilvl w:val="0"/>
          <w:numId w:val="25"/>
        </w:numPr>
        <w:tabs>
          <w:tab w:val="num" w:pos="1080"/>
        </w:tabs>
        <w:ind w:left="1080"/>
      </w:pPr>
      <w:r>
        <w:t>The Board shall condu</w:t>
      </w:r>
      <w:r>
        <w:t>ct its meetings in accordance with Iowa's Open Meetings Law.</w:t>
      </w:r>
    </w:p>
    <w:p w:rsidR="00000000" w:rsidRDefault="00216019">
      <w:pPr>
        <w:ind w:left="720"/>
      </w:pPr>
    </w:p>
    <w:p w:rsidR="00000000" w:rsidRDefault="00216019" w:rsidP="00216019">
      <w:pPr>
        <w:numPr>
          <w:ilvl w:val="0"/>
          <w:numId w:val="25"/>
        </w:numPr>
        <w:tabs>
          <w:tab w:val="num" w:pos="1080"/>
        </w:tabs>
        <w:ind w:left="1080"/>
      </w:pPr>
      <w:r>
        <w:t>The Board shall conduct its meetings according to parliamentary procedures as outlined in Robert's Rules of Order.  These rules may be temporarily suspended by the Chairperson with a majority vo</w:t>
      </w:r>
      <w:r>
        <w:t>te of the Board members in attendance.</w:t>
      </w:r>
    </w:p>
    <w:p w:rsidR="00000000" w:rsidRDefault="00216019">
      <w:pPr>
        <w:ind w:left="720"/>
      </w:pPr>
    </w:p>
    <w:p w:rsidR="00000000" w:rsidRDefault="00216019" w:rsidP="00216019">
      <w:pPr>
        <w:numPr>
          <w:ilvl w:val="0"/>
          <w:numId w:val="25"/>
        </w:numPr>
        <w:tabs>
          <w:tab w:val="num" w:pos="1080"/>
        </w:tabs>
        <w:ind w:left="1080"/>
      </w:pPr>
      <w:r>
        <w:t>The Board shall meet at least six times a year at a time and place determined by the chairperson.</w:t>
      </w:r>
    </w:p>
    <w:p w:rsidR="00000000" w:rsidRDefault="00216019">
      <w:pPr>
        <w:ind w:left="720"/>
      </w:pPr>
    </w:p>
    <w:p w:rsidR="00000000" w:rsidRDefault="00216019" w:rsidP="00216019">
      <w:pPr>
        <w:numPr>
          <w:ilvl w:val="0"/>
          <w:numId w:val="25"/>
        </w:numPr>
        <w:tabs>
          <w:tab w:val="num" w:pos="1080"/>
        </w:tabs>
        <w:ind w:left="1080"/>
      </w:pPr>
      <w:r>
        <w:t>Department of Human Services (DHS) staff will ship the meeting packets (including the agenda) to Board members at lea</w:t>
      </w:r>
      <w:r>
        <w:t>st five days prior to Board  meetings.</w:t>
      </w:r>
    </w:p>
    <w:p w:rsidR="00000000" w:rsidRDefault="00216019">
      <w:pPr>
        <w:ind w:left="720"/>
      </w:pPr>
    </w:p>
    <w:p w:rsidR="00000000" w:rsidRDefault="00216019" w:rsidP="00216019">
      <w:pPr>
        <w:numPr>
          <w:ilvl w:val="0"/>
          <w:numId w:val="25"/>
        </w:numPr>
        <w:tabs>
          <w:tab w:val="num" w:pos="1080"/>
        </w:tabs>
        <w:ind w:left="1080"/>
      </w:pPr>
      <w:r>
        <w:t>Special meetings may be held at any time at the call of the chairperson, the DHS program manager or at the call of any five members of the Board, provided that notice thereof be given to all Board members at least tw</w:t>
      </w:r>
      <w:r>
        <w:t>enty-four hours in advance of the special meeting.</w:t>
      </w:r>
    </w:p>
    <w:p w:rsidR="00000000" w:rsidRDefault="00216019">
      <w:pPr>
        <w:ind w:left="720"/>
      </w:pPr>
    </w:p>
    <w:p w:rsidR="00000000" w:rsidRDefault="00216019" w:rsidP="00216019">
      <w:pPr>
        <w:numPr>
          <w:ilvl w:val="0"/>
          <w:numId w:val="25"/>
        </w:numPr>
        <w:tabs>
          <w:tab w:val="num" w:pos="1080"/>
        </w:tabs>
        <w:ind w:left="1080"/>
      </w:pPr>
      <w:r>
        <w:t>A quorum at any meeting shall consist of five or more voting Board members.</w:t>
      </w:r>
    </w:p>
    <w:p w:rsidR="00000000" w:rsidRDefault="00216019">
      <w:pPr>
        <w:ind w:left="720"/>
      </w:pPr>
    </w:p>
    <w:p w:rsidR="00000000" w:rsidRDefault="00216019" w:rsidP="00216019">
      <w:pPr>
        <w:numPr>
          <w:ilvl w:val="0"/>
          <w:numId w:val="25"/>
        </w:numPr>
        <w:tabs>
          <w:tab w:val="num" w:pos="1080"/>
        </w:tabs>
        <w:ind w:left="1080"/>
      </w:pPr>
      <w:r>
        <w:t>DHS staff shall be present and participating at each meeting of the Board.</w:t>
      </w:r>
    </w:p>
    <w:p w:rsidR="00000000" w:rsidRDefault="00216019">
      <w:pPr>
        <w:ind w:left="720"/>
      </w:pPr>
    </w:p>
    <w:p w:rsidR="00000000" w:rsidRDefault="00216019" w:rsidP="00216019">
      <w:pPr>
        <w:numPr>
          <w:ilvl w:val="0"/>
          <w:numId w:val="25"/>
        </w:numPr>
        <w:tabs>
          <w:tab w:val="num" w:pos="1080"/>
        </w:tabs>
        <w:ind w:left="1080"/>
      </w:pPr>
      <w:r>
        <w:t>The Board shall record its proceedings as minutes a</w:t>
      </w:r>
      <w:r>
        <w:t>nd shall maintain those minutes in accordance with the Iowa Open Records Law.</w:t>
      </w:r>
    </w:p>
    <w:p w:rsidR="00000000" w:rsidRDefault="00216019"/>
    <w:p w:rsidR="00000000" w:rsidRDefault="00216019" w:rsidP="00216019">
      <w:pPr>
        <w:numPr>
          <w:ilvl w:val="0"/>
          <w:numId w:val="22"/>
        </w:numPr>
      </w:pPr>
      <w:r>
        <w:rPr>
          <w:b/>
        </w:rPr>
        <w:t>OFFICERS AND COMMITTEES</w:t>
      </w:r>
    </w:p>
    <w:p w:rsidR="00000000" w:rsidRDefault="00216019"/>
    <w:p w:rsidR="00000000" w:rsidRDefault="00216019" w:rsidP="00216019">
      <w:pPr>
        <w:numPr>
          <w:ilvl w:val="0"/>
          <w:numId w:val="26"/>
        </w:numPr>
        <w:tabs>
          <w:tab w:val="num" w:pos="1080"/>
        </w:tabs>
        <w:ind w:left="1080"/>
      </w:pPr>
      <w:r>
        <w:t xml:space="preserve">The officers of the Board shall be chairperson and vice-chairperson.  DHS staff will serve as Secretary.  The chairperson and vice-chairperson shall be </w:t>
      </w:r>
      <w:r>
        <w:t>elected at the first regular meeting of each fiscal year and shall assume their duties at next meeting or immediately upon the resignation of the current officers.</w:t>
      </w:r>
    </w:p>
    <w:p w:rsidR="00000000" w:rsidRDefault="00216019">
      <w:pPr>
        <w:ind w:left="720"/>
      </w:pPr>
    </w:p>
    <w:p w:rsidR="00000000" w:rsidRDefault="00216019" w:rsidP="00216019">
      <w:pPr>
        <w:numPr>
          <w:ilvl w:val="0"/>
          <w:numId w:val="26"/>
        </w:numPr>
        <w:tabs>
          <w:tab w:val="num" w:pos="1080"/>
        </w:tabs>
        <w:ind w:left="1080"/>
      </w:pPr>
      <w:r>
        <w:t>The duties of all officers shall be such as by custom and law and the provisions of the Act</w:t>
      </w:r>
      <w:r>
        <w:t xml:space="preserve"> as usually devolving upon such officers in accordance with their titles.  </w:t>
      </w:r>
    </w:p>
    <w:p w:rsidR="00000000" w:rsidRDefault="00216019">
      <w:pPr>
        <w:ind w:left="720"/>
      </w:pPr>
    </w:p>
    <w:p w:rsidR="00000000" w:rsidRDefault="00216019" w:rsidP="00216019">
      <w:pPr>
        <w:numPr>
          <w:ilvl w:val="0"/>
          <w:numId w:val="26"/>
        </w:numPr>
        <w:tabs>
          <w:tab w:val="num" w:pos="1080"/>
        </w:tabs>
        <w:ind w:left="1080"/>
      </w:pPr>
      <w:r>
        <w:t>The chairperson shall appoint committees as are needed and/or recommended unless provided for statutorily.</w:t>
      </w:r>
    </w:p>
    <w:p w:rsidR="00000000" w:rsidRDefault="00216019">
      <w:pPr>
        <w:ind w:left="720"/>
      </w:pPr>
    </w:p>
    <w:p w:rsidR="00000000" w:rsidRDefault="00216019" w:rsidP="00216019">
      <w:pPr>
        <w:numPr>
          <w:ilvl w:val="0"/>
          <w:numId w:val="26"/>
        </w:numPr>
        <w:tabs>
          <w:tab w:val="num" w:pos="1080"/>
        </w:tabs>
        <w:ind w:left="1080"/>
      </w:pPr>
      <w:r>
        <w:t>Each committee shall act in an advisory capacity and shall report its r</w:t>
      </w:r>
      <w:r>
        <w:t>ecommendations to the full Board.</w:t>
      </w:r>
    </w:p>
    <w:p w:rsidR="00000000" w:rsidRDefault="00216019"/>
    <w:p w:rsidR="00000000" w:rsidRDefault="00216019" w:rsidP="00216019">
      <w:pPr>
        <w:numPr>
          <w:ilvl w:val="0"/>
          <w:numId w:val="22"/>
        </w:numPr>
      </w:pPr>
      <w:r>
        <w:rPr>
          <w:b/>
        </w:rPr>
        <w:t>DUTIES AND RESPONSIBILITIES</w:t>
      </w:r>
    </w:p>
    <w:p w:rsidR="00000000" w:rsidRDefault="00216019"/>
    <w:p w:rsidR="00000000" w:rsidRDefault="00216019" w:rsidP="00216019">
      <w:pPr>
        <w:numPr>
          <w:ilvl w:val="0"/>
          <w:numId w:val="27"/>
        </w:numPr>
        <w:ind w:left="1080"/>
      </w:pPr>
      <w:r>
        <w:t xml:space="preserve">The Board shall have the opportunity to review, comment, and make recommendations to the proposed </w:t>
      </w:r>
      <w:r>
        <w:rPr>
          <w:b/>
          <w:i/>
        </w:rPr>
        <w:t xml:space="preserve">hawk-i </w:t>
      </w:r>
      <w:r>
        <w:t>budget request.</w:t>
      </w:r>
    </w:p>
    <w:p w:rsidR="00000000" w:rsidRDefault="00216019"/>
    <w:p w:rsidR="00000000" w:rsidRDefault="00216019" w:rsidP="00216019">
      <w:pPr>
        <w:numPr>
          <w:ilvl w:val="0"/>
          <w:numId w:val="27"/>
        </w:numPr>
        <w:ind w:left="1080"/>
      </w:pPr>
      <w:r>
        <w:t>The Board shall set policy and adopt rules.  The DHS program manager w</w:t>
      </w:r>
      <w:r>
        <w:t>ill periodically make policy recommendations to the Board in order to promote efficiency or to bring the program into compliance with state or federal law.</w:t>
      </w:r>
    </w:p>
    <w:p w:rsidR="00000000" w:rsidRDefault="00216019">
      <w:pPr>
        <w:ind w:left="720"/>
      </w:pPr>
    </w:p>
    <w:p w:rsidR="00000000" w:rsidRDefault="00216019" w:rsidP="00216019">
      <w:pPr>
        <w:numPr>
          <w:ilvl w:val="0"/>
          <w:numId w:val="27"/>
        </w:numPr>
        <w:ind w:left="1080"/>
      </w:pPr>
      <w:r>
        <w:t>.DHS staff shall keep the Board informed on budget, program development, and policy needs.</w:t>
      </w:r>
    </w:p>
    <w:p w:rsidR="00000000" w:rsidRDefault="00216019"/>
    <w:p w:rsidR="00000000" w:rsidRDefault="00216019" w:rsidP="00216019">
      <w:pPr>
        <w:numPr>
          <w:ilvl w:val="0"/>
          <w:numId w:val="22"/>
        </w:numPr>
      </w:pPr>
      <w:r>
        <w:rPr>
          <w:b/>
        </w:rPr>
        <w:t>AMENDME</w:t>
      </w:r>
      <w:r>
        <w:rPr>
          <w:b/>
        </w:rPr>
        <w:t>NTS</w:t>
      </w:r>
    </w:p>
    <w:p w:rsidR="00000000" w:rsidRDefault="00216019"/>
    <w:p w:rsidR="00000000" w:rsidRDefault="00216019" w:rsidP="00216019">
      <w:pPr>
        <w:numPr>
          <w:ilvl w:val="0"/>
          <w:numId w:val="28"/>
        </w:numPr>
      </w:pPr>
      <w:r>
        <w:t xml:space="preserve">Amendments to these bylaws may be proposed at any regular meeting but become effective only after a favorable vote at a subsequent meeting.  Any of the foregoing rules may be temporarily suspended by a unanimous vote of all the members present at any </w:t>
      </w:r>
      <w:r>
        <w:t>meeting provided they do not conflict with the provisions of the Act.</w:t>
      </w:r>
    </w:p>
    <w:p w:rsidR="00000000" w:rsidRDefault="00216019"/>
    <w:p w:rsidR="00000000" w:rsidRDefault="00216019">
      <w:pPr>
        <w:tabs>
          <w:tab w:val="left" w:pos="1620"/>
        </w:tabs>
        <w:ind w:left="1627" w:hanging="1627"/>
      </w:pPr>
    </w:p>
    <w:p w:rsidR="00000000" w:rsidRDefault="00216019"/>
    <w:p w:rsidR="00000000" w:rsidRDefault="00216019">
      <w:pPr>
        <w:tabs>
          <w:tab w:val="left" w:pos="1620"/>
        </w:tabs>
        <w:ind w:left="1627" w:hanging="1627"/>
        <w:rPr>
          <w:sz w:val="28"/>
        </w:rPr>
      </w:pPr>
    </w:p>
    <w:sectPr w:rsidR="00000000">
      <w:footerReference w:type="default" r:id="rId34"/>
      <w:pgSz w:w="12240" w:h="15840"/>
      <w:pgMar w:top="1440" w:right="1440" w:bottom="1440" w:left="1440" w:header="720" w:footer="720" w:gutter="0"/>
      <w:pgNumType w:fmt="lowerRoman"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16019">
      <w:r>
        <w:separator/>
      </w:r>
    </w:p>
  </w:endnote>
  <w:endnote w:type="continuationSeparator" w:id="1">
    <w:p w:rsidR="00000000" w:rsidRDefault="00216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6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2160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6019">
    <w:pPr>
      <w:pStyle w:val="Footer"/>
      <w:framePr w:wrap="around" w:vAnchor="text" w:hAnchor="margin" w:xAlign="center" w:y="1"/>
      <w:rPr>
        <w:rStyle w:val="PageNumber"/>
        <w:rFonts w:ascii="Arial" w:hAnsi="Arial" w:cs="Arial"/>
        <w:sz w:val="24"/>
      </w:rPr>
    </w:pPr>
    <w:r>
      <w:rPr>
        <w:rStyle w:val="PageNumber"/>
        <w:rFonts w:ascii="Arial" w:hAnsi="Arial" w:cs="Arial"/>
        <w:sz w:val="24"/>
      </w:rPr>
      <w:fldChar w:fldCharType="begin"/>
    </w:r>
    <w:r>
      <w:rPr>
        <w:rStyle w:val="PageNumber"/>
        <w:rFonts w:ascii="Arial" w:hAnsi="Arial" w:cs="Arial"/>
        <w:sz w:val="24"/>
      </w:rPr>
      <w:instrText xml:space="preserve">PAGE  </w:instrText>
    </w:r>
    <w:r>
      <w:rPr>
        <w:rStyle w:val="PageNumber"/>
        <w:rFonts w:ascii="Arial" w:hAnsi="Arial" w:cs="Arial"/>
        <w:sz w:val="24"/>
      </w:rPr>
      <w:fldChar w:fldCharType="separate"/>
    </w:r>
    <w:r>
      <w:rPr>
        <w:rStyle w:val="PageNumber"/>
        <w:rFonts w:ascii="Arial" w:hAnsi="Arial" w:cs="Arial"/>
        <w:noProof/>
        <w:sz w:val="24"/>
      </w:rPr>
      <w:t>22</w:t>
    </w:r>
    <w:r>
      <w:rPr>
        <w:rStyle w:val="PageNumber"/>
        <w:rFonts w:ascii="Arial" w:hAnsi="Arial" w:cs="Arial"/>
        <w:sz w:val="24"/>
      </w:rPr>
      <w:fldChar w:fldCharType="end"/>
    </w:r>
  </w:p>
  <w:p w:rsidR="00000000" w:rsidRDefault="00216019">
    <w:pPr>
      <w:pStyle w:val="Footer"/>
      <w:ind w:right="360"/>
      <w:jc w:val="center"/>
      <w:rPr>
        <w:rFonts w:ascii="Arial" w:hAnsi="Arial" w:cs="Arial"/>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6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00000" w:rsidRDefault="00216019">
    <w:pPr>
      <w:pStyle w:val="Footer"/>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60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000000" w:rsidRDefault="00216019">
    <w:pPr>
      <w:pStyle w:val="Footer"/>
      <w:widowControl w:val="0"/>
      <w:spacing w:after="60"/>
      <w:ind w:right="360" w:firstLine="360"/>
      <w:jc w:val="right"/>
    </w:pPr>
    <w:r>
      <w:t>The University of Iowa, Public Policy Center</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6019">
    <w:pPr>
      <w:pStyle w:val="Foote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6019">
    <w:pPr>
      <w:pStyle w:val="Footer"/>
      <w:rPr>
        <w:rFonts w:ascii="Arial" w:hAnsi="Arial"/>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16019">
      <w:r>
        <w:separator/>
      </w:r>
    </w:p>
  </w:footnote>
  <w:footnote w:type="continuationSeparator" w:id="1">
    <w:p w:rsidR="00000000" w:rsidRDefault="00216019">
      <w:r>
        <w:continuationSeparator/>
      </w:r>
    </w:p>
  </w:footnote>
  <w:footnote w:id="2">
    <w:p w:rsidR="00000000" w:rsidRDefault="00216019">
      <w:pPr>
        <w:pStyle w:val="FootnoteText"/>
        <w:rPr>
          <w:rFonts w:ascii="Arial" w:hAnsi="Arial"/>
          <w:sz w:val="18"/>
        </w:rPr>
      </w:pPr>
      <w:r>
        <w:rPr>
          <w:rStyle w:val="FootnoteReference"/>
          <w:rFonts w:ascii="Arial" w:hAnsi="Arial"/>
          <w:sz w:val="18"/>
        </w:rPr>
        <w:footnoteRef/>
      </w:r>
      <w:r>
        <w:rPr>
          <w:rFonts w:ascii="Arial" w:hAnsi="Arial"/>
          <w:sz w:val="18"/>
        </w:rPr>
        <w:t xml:space="preserve"> National Committee on Quality Assurance. The Healthplan Employer Data and Information Set (HEDIS). </w:t>
      </w:r>
      <w:hyperlink r:id="rId1" w:history="1">
        <w:r>
          <w:rPr>
            <w:rStyle w:val="Hyperlink"/>
            <w:rFonts w:ascii="Arial" w:hAnsi="Arial"/>
            <w:sz w:val="18"/>
          </w:rPr>
          <w:t>http://www.ncqa.org/Programs/</w:t>
        </w:r>
        <w:r>
          <w:rPr>
            <w:rStyle w:val="Hyperlink"/>
            <w:rFonts w:ascii="Arial" w:hAnsi="Arial"/>
            <w:sz w:val="18"/>
          </w:rPr>
          <w:t>HEDIS/</w:t>
        </w:r>
      </w:hyperlink>
      <w:r>
        <w:rPr>
          <w:rFonts w:ascii="Arial" w:hAnsi="Arial"/>
          <w:sz w:val="18"/>
        </w:rPr>
        <w:t>. Most recently accessed October 3, 2003. Internet.</w:t>
      </w:r>
    </w:p>
  </w:footnote>
  <w:footnote w:id="3">
    <w:p w:rsidR="00000000" w:rsidRDefault="0021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rStyle w:val="FootnoteReference"/>
          <w:sz w:val="18"/>
        </w:rPr>
        <w:footnoteRef/>
      </w:r>
      <w:r>
        <w:rPr>
          <w:sz w:val="18"/>
        </w:rPr>
        <w:t xml:space="preserve"> American Academy of Pediatrics. Policy statement on Recommendations for Preventive Pediatric Health Care. </w:t>
      </w:r>
      <w:r>
        <w:rPr>
          <w:i/>
          <w:sz w:val="18"/>
        </w:rPr>
        <w:t xml:space="preserve">Pediatrics. </w:t>
      </w:r>
      <w:r>
        <w:rPr>
          <w:sz w:val="18"/>
        </w:rPr>
        <w:t xml:space="preserve">Vol. 105, Number 03, March 2000, pp 645. Available at </w:t>
      </w:r>
      <w:hyperlink r:id="rId2" w:history="1">
        <w:r>
          <w:rPr>
            <w:rStyle w:val="Hyperlink"/>
            <w:sz w:val="18"/>
          </w:rPr>
          <w:t>http://www.aap.org/policy/re9939.html</w:t>
        </w:r>
      </w:hyperlink>
      <w:r>
        <w:rPr>
          <w:sz w:val="18"/>
        </w:rPr>
        <w:t>. Most recently accessed October 3, 2003. Internet.</w:t>
      </w:r>
    </w:p>
  </w:footnote>
  <w:footnote w:id="4">
    <w:p w:rsidR="00000000" w:rsidRDefault="00216019">
      <w:pPr>
        <w:pStyle w:val="FootnoteText"/>
        <w:rPr>
          <w:rFonts w:ascii="Arial" w:hAnsi="Arial"/>
          <w:sz w:val="18"/>
        </w:rPr>
      </w:pPr>
      <w:r>
        <w:rPr>
          <w:rStyle w:val="FootnoteReference"/>
          <w:rFonts w:ascii="Arial" w:hAnsi="Arial"/>
          <w:sz w:val="18"/>
        </w:rPr>
        <w:footnoteRef/>
      </w:r>
      <w:r>
        <w:rPr>
          <w:rFonts w:ascii="Arial" w:hAnsi="Arial"/>
          <w:sz w:val="18"/>
        </w:rPr>
        <w:t xml:space="preserve"> American Public Human Services Administration. Available at </w:t>
      </w:r>
      <w:hyperlink r:id="rId3" w:history="1">
        <w:r>
          <w:rPr>
            <w:rStyle w:val="Hyperlink"/>
            <w:rFonts w:ascii="Arial" w:hAnsi="Arial"/>
            <w:sz w:val="18"/>
          </w:rPr>
          <w:t>http://www.aphsa.org/</w:t>
        </w:r>
      </w:hyperlink>
      <w:r>
        <w:rPr>
          <w:rFonts w:ascii="Arial" w:hAnsi="Arial"/>
          <w:sz w:val="18"/>
        </w:rPr>
        <w:t>. Most recent</w:t>
      </w:r>
      <w:r>
        <w:rPr>
          <w:rFonts w:ascii="Arial" w:hAnsi="Arial"/>
          <w:sz w:val="18"/>
        </w:rPr>
        <w:t>ly accessed October 3, 2003. Internet.</w:t>
      </w:r>
    </w:p>
  </w:footnote>
  <w:footnote w:id="5">
    <w:p w:rsidR="00000000" w:rsidRDefault="00216019">
      <w:pPr>
        <w:rPr>
          <w:sz w:val="18"/>
        </w:rPr>
      </w:pPr>
      <w:r>
        <w:rPr>
          <w:rStyle w:val="FootnoteReference"/>
          <w:sz w:val="18"/>
        </w:rPr>
        <w:footnoteRef/>
      </w:r>
      <w:r>
        <w:rPr>
          <w:sz w:val="18"/>
        </w:rPr>
        <w:t xml:space="preserve"> Momany ET, Damiano PC, </w:t>
      </w:r>
      <w:r>
        <w:rPr>
          <w:i/>
          <w:sz w:val="18"/>
        </w:rPr>
        <w:t>Evaluating the Iowa Medicaid Managed Care Program: Outcomes of Care.</w:t>
      </w:r>
      <w:r>
        <w:rPr>
          <w:sz w:val="18"/>
        </w:rPr>
        <w:t xml:space="preserve"> Final report to the Iowa Department of Human Services, January 2003. University of Iowa, Public Policy Center, Iowa City, I</w:t>
      </w:r>
      <w:r>
        <w:rPr>
          <w:sz w:val="18"/>
        </w:rPr>
        <w:t>A.</w:t>
      </w:r>
    </w:p>
    <w:p w:rsidR="00000000" w:rsidRDefault="00216019">
      <w:pPr>
        <w:pStyle w:val="FootnoteText"/>
      </w:pPr>
    </w:p>
  </w:footnote>
  <w:footnote w:id="6">
    <w:p w:rsidR="00000000" w:rsidRDefault="00216019">
      <w:pPr>
        <w:pStyle w:val="FootnoteText"/>
      </w:pPr>
      <w:r>
        <w:rPr>
          <w:rStyle w:val="FootnoteReference"/>
          <w:rFonts w:ascii="Arial" w:hAnsi="Arial"/>
          <w:sz w:val="18"/>
        </w:rPr>
        <w:footnoteRef/>
      </w:r>
      <w:r>
        <w:rPr>
          <w:rFonts w:ascii="Arial" w:hAnsi="Arial"/>
          <w:sz w:val="18"/>
        </w:rPr>
        <w:t xml:space="preserve"> American Academy of Pediatric Dentistry. 2003-2004 Policy guidelines: Periodicity of Examination, Preventive Dental Services, Anticipatory Guidance and Oral Treatment for Children. </w:t>
      </w:r>
      <w:r>
        <w:rPr>
          <w:rFonts w:ascii="Arial" w:hAnsi="Arial"/>
          <w:color w:val="0000FF"/>
          <w:sz w:val="18"/>
        </w:rPr>
        <w:t xml:space="preserve">Available at </w:t>
      </w:r>
      <w:hyperlink r:id="rId4" w:history="1">
        <w:r>
          <w:rPr>
            <w:rStyle w:val="Hyperlink"/>
            <w:rFonts w:ascii="Arial" w:hAnsi="Arial"/>
            <w:sz w:val="18"/>
          </w:rPr>
          <w:t>h</w:t>
        </w:r>
        <w:r>
          <w:rPr>
            <w:rStyle w:val="Hyperlink"/>
            <w:rFonts w:ascii="Arial" w:hAnsi="Arial"/>
            <w:sz w:val="18"/>
          </w:rPr>
          <w:t>ttp://www.aapd.org/media/policies.asp</w:t>
        </w:r>
      </w:hyperlink>
      <w:r>
        <w:rPr>
          <w:rFonts w:ascii="Arial" w:hAnsi="Arial"/>
          <w:sz w:val="18"/>
        </w:rPr>
        <w:t>. Most recently accessed October 3, 2003.</w:t>
      </w:r>
    </w:p>
  </w:footnote>
  <w:footnote w:id="7">
    <w:p w:rsidR="00000000" w:rsidRDefault="00216019" w:rsidP="00216019">
      <w:pPr>
        <w:pStyle w:val="FootnoteText"/>
        <w:numPr>
          <w:ilvl w:val="0"/>
          <w:numId w:val="53"/>
        </w:numPr>
        <w:rPr>
          <w:rFonts w:ascii="Arial" w:hAnsi="Arial" w:cs="Arial"/>
          <w:sz w:val="18"/>
        </w:rPr>
      </w:pPr>
      <w:r>
        <w:rPr>
          <w:rFonts w:ascii="Arial" w:hAnsi="Arial" w:cs="Arial"/>
          <w:sz w:val="18"/>
        </w:rPr>
        <w:t xml:space="preserve">More information about the methods use din the survey can be found in the latest report of data from the survey:  “Damiano PC, Willard JC, Momany ET, Tyler MC </w:t>
      </w:r>
      <w:r>
        <w:rPr>
          <w:rFonts w:ascii="Arial" w:hAnsi="Arial" w:cs="Arial"/>
          <w:b/>
          <w:i/>
          <w:sz w:val="18"/>
        </w:rPr>
        <w:t>hawk</w:t>
      </w:r>
      <w:r>
        <w:rPr>
          <w:rFonts w:ascii="Arial" w:hAnsi="Arial" w:cs="Arial"/>
          <w:b/>
          <w:i/>
          <w:sz w:val="18"/>
        </w:rPr>
        <w:noBreakHyphen/>
        <w:t>i</w:t>
      </w:r>
      <w:r>
        <w:rPr>
          <w:rFonts w:ascii="Arial" w:hAnsi="Arial" w:cs="Arial"/>
          <w:sz w:val="18"/>
        </w:rPr>
        <w:t xml:space="preserve">:  </w:t>
      </w:r>
      <w:r>
        <w:rPr>
          <w:rFonts w:ascii="Arial" w:hAnsi="Arial" w:cs="Arial"/>
          <w:i/>
          <w:iCs/>
          <w:sz w:val="18"/>
        </w:rPr>
        <w:t>Impact o</w:t>
      </w:r>
      <w:r>
        <w:rPr>
          <w:rFonts w:ascii="Arial" w:hAnsi="Arial" w:cs="Arial"/>
          <w:i/>
          <w:iCs/>
          <w:sz w:val="18"/>
        </w:rPr>
        <w:t>n Access and Health Status.</w:t>
      </w:r>
      <w:r>
        <w:rPr>
          <w:rFonts w:ascii="Arial" w:hAnsi="Arial" w:cs="Arial"/>
          <w:sz w:val="18"/>
        </w:rPr>
        <w:t xml:space="preserve">  Third Evaluation Report to the Board of Directors of the Healthy and Well Kids in Iowa Program. December 2002.  University of Iowa, Public Policy Center, Iowa City, IA.  The report can be accessed at http://ppc.uiowa.edu/hawk-i</w:t>
      </w:r>
      <w:r>
        <w:rPr>
          <w:rFonts w:ascii="Arial" w:hAnsi="Arial" w:cs="Arial"/>
          <w:sz w:val="18"/>
        </w:rPr>
        <w:t>/impact3/inex.html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BE2B1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4B1183F"/>
    <w:multiLevelType w:val="singleLevel"/>
    <w:tmpl w:val="31248702"/>
    <w:lvl w:ilvl="0">
      <w:start w:val="1"/>
      <w:numFmt w:val="decimal"/>
      <w:lvlText w:val="%1."/>
      <w:legacy w:legacy="1" w:legacySpace="0" w:legacyIndent="360"/>
      <w:lvlJc w:val="left"/>
      <w:pPr>
        <w:ind w:left="360" w:hanging="360"/>
      </w:pPr>
    </w:lvl>
  </w:abstractNum>
  <w:abstractNum w:abstractNumId="3">
    <w:nsid w:val="04CC48B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7737A3F"/>
    <w:multiLevelType w:val="hybridMultilevel"/>
    <w:tmpl w:val="2FD685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7E17CE8"/>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081843E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09966B29"/>
    <w:multiLevelType w:val="hybridMultilevel"/>
    <w:tmpl w:val="A516E8A4"/>
    <w:lvl w:ilvl="0" w:tplc="04090001">
      <w:start w:val="1"/>
      <w:numFmt w:val="bullet"/>
      <w:lvlText w:val=""/>
      <w:lvlJc w:val="left"/>
      <w:pPr>
        <w:tabs>
          <w:tab w:val="num" w:pos="1359"/>
        </w:tabs>
        <w:ind w:left="1359" w:hanging="360"/>
      </w:pPr>
      <w:rPr>
        <w:rFonts w:ascii="Symbol" w:hAnsi="Symbol" w:hint="default"/>
      </w:rPr>
    </w:lvl>
    <w:lvl w:ilvl="1" w:tplc="04090003" w:tentative="1">
      <w:start w:val="1"/>
      <w:numFmt w:val="bullet"/>
      <w:lvlText w:val="o"/>
      <w:lvlJc w:val="left"/>
      <w:pPr>
        <w:tabs>
          <w:tab w:val="num" w:pos="2079"/>
        </w:tabs>
        <w:ind w:left="2079" w:hanging="360"/>
      </w:pPr>
      <w:rPr>
        <w:rFonts w:ascii="Courier New" w:hAnsi="Courier New" w:hint="default"/>
      </w:rPr>
    </w:lvl>
    <w:lvl w:ilvl="2" w:tplc="04090005" w:tentative="1">
      <w:start w:val="1"/>
      <w:numFmt w:val="bullet"/>
      <w:lvlText w:val=""/>
      <w:lvlJc w:val="left"/>
      <w:pPr>
        <w:tabs>
          <w:tab w:val="num" w:pos="2799"/>
        </w:tabs>
        <w:ind w:left="2799" w:hanging="360"/>
      </w:pPr>
      <w:rPr>
        <w:rFonts w:ascii="Wingdings" w:hAnsi="Wingdings" w:hint="default"/>
      </w:rPr>
    </w:lvl>
    <w:lvl w:ilvl="3" w:tplc="04090001" w:tentative="1">
      <w:start w:val="1"/>
      <w:numFmt w:val="bullet"/>
      <w:lvlText w:val=""/>
      <w:lvlJc w:val="left"/>
      <w:pPr>
        <w:tabs>
          <w:tab w:val="num" w:pos="3519"/>
        </w:tabs>
        <w:ind w:left="3519" w:hanging="360"/>
      </w:pPr>
      <w:rPr>
        <w:rFonts w:ascii="Symbol" w:hAnsi="Symbol" w:hint="default"/>
      </w:rPr>
    </w:lvl>
    <w:lvl w:ilvl="4" w:tplc="04090003" w:tentative="1">
      <w:start w:val="1"/>
      <w:numFmt w:val="bullet"/>
      <w:lvlText w:val="o"/>
      <w:lvlJc w:val="left"/>
      <w:pPr>
        <w:tabs>
          <w:tab w:val="num" w:pos="4239"/>
        </w:tabs>
        <w:ind w:left="4239" w:hanging="360"/>
      </w:pPr>
      <w:rPr>
        <w:rFonts w:ascii="Courier New" w:hAnsi="Courier New" w:hint="default"/>
      </w:rPr>
    </w:lvl>
    <w:lvl w:ilvl="5" w:tplc="04090005" w:tentative="1">
      <w:start w:val="1"/>
      <w:numFmt w:val="bullet"/>
      <w:lvlText w:val=""/>
      <w:lvlJc w:val="left"/>
      <w:pPr>
        <w:tabs>
          <w:tab w:val="num" w:pos="4959"/>
        </w:tabs>
        <w:ind w:left="4959" w:hanging="360"/>
      </w:pPr>
      <w:rPr>
        <w:rFonts w:ascii="Wingdings" w:hAnsi="Wingdings" w:hint="default"/>
      </w:rPr>
    </w:lvl>
    <w:lvl w:ilvl="6" w:tplc="04090001" w:tentative="1">
      <w:start w:val="1"/>
      <w:numFmt w:val="bullet"/>
      <w:lvlText w:val=""/>
      <w:lvlJc w:val="left"/>
      <w:pPr>
        <w:tabs>
          <w:tab w:val="num" w:pos="5679"/>
        </w:tabs>
        <w:ind w:left="5679" w:hanging="360"/>
      </w:pPr>
      <w:rPr>
        <w:rFonts w:ascii="Symbol" w:hAnsi="Symbol" w:hint="default"/>
      </w:rPr>
    </w:lvl>
    <w:lvl w:ilvl="7" w:tplc="04090003" w:tentative="1">
      <w:start w:val="1"/>
      <w:numFmt w:val="bullet"/>
      <w:lvlText w:val="o"/>
      <w:lvlJc w:val="left"/>
      <w:pPr>
        <w:tabs>
          <w:tab w:val="num" w:pos="6399"/>
        </w:tabs>
        <w:ind w:left="6399" w:hanging="360"/>
      </w:pPr>
      <w:rPr>
        <w:rFonts w:ascii="Courier New" w:hAnsi="Courier New" w:hint="default"/>
      </w:rPr>
    </w:lvl>
    <w:lvl w:ilvl="8" w:tplc="04090005" w:tentative="1">
      <w:start w:val="1"/>
      <w:numFmt w:val="bullet"/>
      <w:lvlText w:val=""/>
      <w:lvlJc w:val="left"/>
      <w:pPr>
        <w:tabs>
          <w:tab w:val="num" w:pos="7119"/>
        </w:tabs>
        <w:ind w:left="7119" w:hanging="360"/>
      </w:pPr>
      <w:rPr>
        <w:rFonts w:ascii="Wingdings" w:hAnsi="Wingdings" w:hint="default"/>
      </w:rPr>
    </w:lvl>
  </w:abstractNum>
  <w:abstractNum w:abstractNumId="8">
    <w:nsid w:val="0DAD655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12E47AC0"/>
    <w:multiLevelType w:val="hybridMultilevel"/>
    <w:tmpl w:val="C73CC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1453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169A4C73"/>
    <w:multiLevelType w:val="hybridMultilevel"/>
    <w:tmpl w:val="65D05A4E"/>
    <w:lvl w:ilvl="0" w:tplc="18247CE2">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AB01089"/>
    <w:multiLevelType w:val="hybridMultilevel"/>
    <w:tmpl w:val="1F28C5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AD35380"/>
    <w:multiLevelType w:val="hybridMultilevel"/>
    <w:tmpl w:val="A1E45920"/>
    <w:lvl w:ilvl="0" w:tplc="04090011">
      <w:start w:val="1"/>
      <w:numFmt w:val="decimal"/>
      <w:lvlText w:val="%1)"/>
      <w:lvlJc w:val="left"/>
      <w:pPr>
        <w:tabs>
          <w:tab w:val="num" w:pos="1080"/>
        </w:tabs>
        <w:ind w:left="1080" w:hanging="360"/>
      </w:pPr>
    </w:lvl>
    <w:lvl w:ilvl="1" w:tplc="76EC98D4">
      <w:start w:val="3"/>
      <w:numFmt w:val="upperLetter"/>
      <w:lvlText w:val="%2."/>
      <w:lvlJc w:val="left"/>
      <w:pPr>
        <w:tabs>
          <w:tab w:val="num" w:pos="1800"/>
        </w:tabs>
        <w:ind w:left="1800" w:hanging="360"/>
      </w:pPr>
      <w:rPr>
        <w:rFonts w:hint="default"/>
        <w:b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BE720ED"/>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1CC3156C"/>
    <w:multiLevelType w:val="singleLevel"/>
    <w:tmpl w:val="31248702"/>
    <w:lvl w:ilvl="0">
      <w:start w:val="1"/>
      <w:numFmt w:val="decimal"/>
      <w:lvlText w:val="%1."/>
      <w:legacy w:legacy="1" w:legacySpace="0" w:legacyIndent="360"/>
      <w:lvlJc w:val="left"/>
      <w:pPr>
        <w:ind w:left="360" w:hanging="360"/>
      </w:pPr>
    </w:lvl>
  </w:abstractNum>
  <w:abstractNum w:abstractNumId="16">
    <w:nsid w:val="1E990521"/>
    <w:multiLevelType w:val="hybridMultilevel"/>
    <w:tmpl w:val="3B24345E"/>
    <w:lvl w:ilvl="0" w:tplc="A64678E0">
      <w:start w:val="1"/>
      <w:numFmt w:val="upperLetter"/>
      <w:lvlText w:val="%1"/>
      <w:lvlJc w:val="left"/>
      <w:pPr>
        <w:tabs>
          <w:tab w:val="num" w:pos="360"/>
        </w:tabs>
        <w:ind w:left="360" w:hanging="360"/>
      </w:pPr>
      <w:rPr>
        <w:rFonts w:hint="default"/>
      </w:rPr>
    </w:lvl>
    <w:lvl w:ilvl="1" w:tplc="04090011">
      <w:start w:val="1"/>
      <w:numFmt w:val="decimal"/>
      <w:lvlText w:val="%2)"/>
      <w:lvlJc w:val="left"/>
      <w:pPr>
        <w:tabs>
          <w:tab w:val="num" w:pos="1440"/>
        </w:tabs>
        <w:ind w:left="1440" w:hanging="360"/>
      </w:pPr>
    </w:lvl>
    <w:lvl w:ilvl="2" w:tplc="45763058">
      <w:start w:val="3"/>
      <w:numFmt w:val="upperLetter"/>
      <w:lvlText w:val="%3."/>
      <w:lvlJc w:val="left"/>
      <w:pPr>
        <w:tabs>
          <w:tab w:val="num" w:pos="2340"/>
        </w:tabs>
        <w:ind w:left="2340" w:hanging="360"/>
      </w:pPr>
      <w:rPr>
        <w:rFont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B322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25310E46"/>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nsid w:val="27DE1795"/>
    <w:multiLevelType w:val="singleLevel"/>
    <w:tmpl w:val="31248702"/>
    <w:lvl w:ilvl="0">
      <w:start w:val="1"/>
      <w:numFmt w:val="decimal"/>
      <w:lvlText w:val="%1."/>
      <w:legacy w:legacy="1" w:legacySpace="0" w:legacyIndent="360"/>
      <w:lvlJc w:val="left"/>
      <w:pPr>
        <w:ind w:left="360" w:hanging="360"/>
      </w:pPr>
    </w:lvl>
  </w:abstractNum>
  <w:abstractNum w:abstractNumId="20">
    <w:nsid w:val="29B841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2BFB0A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2C515FB6"/>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nsid w:val="2F534B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2FB144E6"/>
    <w:multiLevelType w:val="hybridMultilevel"/>
    <w:tmpl w:val="CA7467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FD55C3"/>
    <w:multiLevelType w:val="hybridMultilevel"/>
    <w:tmpl w:val="B2669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6C4556"/>
    <w:multiLevelType w:val="hybridMultilevel"/>
    <w:tmpl w:val="E962EF9C"/>
    <w:lvl w:ilvl="0" w:tplc="F6D60F3C">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7">
    <w:nsid w:val="423409B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44A703F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46160D51"/>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46AE4B31"/>
    <w:multiLevelType w:val="hybridMultilevel"/>
    <w:tmpl w:val="A6545E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640F1B"/>
    <w:multiLevelType w:val="hybridMultilevel"/>
    <w:tmpl w:val="5AF013EE"/>
    <w:lvl w:ilvl="0" w:tplc="E5941D9C">
      <w:start w:val="1"/>
      <w:numFmt w:val="decimal"/>
      <w:lvlText w:val="%1"/>
      <w:lvlJc w:val="left"/>
      <w:pPr>
        <w:tabs>
          <w:tab w:val="num" w:pos="720"/>
        </w:tabs>
        <w:ind w:left="720" w:hanging="360"/>
      </w:pPr>
      <w:rPr>
        <w:rFonts w:ascii="Times" w:hAnsi="Time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B4795F"/>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nsid w:val="4BCA3D8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4FF704E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nsid w:val="4FFB13E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nsid w:val="515C75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5A1C206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nsid w:val="5BCD1CD9"/>
    <w:multiLevelType w:val="singleLevel"/>
    <w:tmpl w:val="31248702"/>
    <w:lvl w:ilvl="0">
      <w:start w:val="1"/>
      <w:numFmt w:val="decimal"/>
      <w:lvlText w:val="%1."/>
      <w:legacy w:legacy="1" w:legacySpace="0" w:legacyIndent="360"/>
      <w:lvlJc w:val="left"/>
      <w:pPr>
        <w:ind w:left="360" w:hanging="360"/>
      </w:pPr>
    </w:lvl>
  </w:abstractNum>
  <w:abstractNum w:abstractNumId="39">
    <w:nsid w:val="62F34D87"/>
    <w:multiLevelType w:val="hybridMultilevel"/>
    <w:tmpl w:val="ED4C4186"/>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5F0B4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1">
    <w:nsid w:val="66DB1B74"/>
    <w:multiLevelType w:val="hybridMultilevel"/>
    <w:tmpl w:val="C520143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6F755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3">
    <w:nsid w:val="71947FF3"/>
    <w:multiLevelType w:val="hybridMultilevel"/>
    <w:tmpl w:val="B490A3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EC1BB4"/>
    <w:multiLevelType w:val="multilevel"/>
    <w:tmpl w:val="A96634EE"/>
    <w:lvl w:ilvl="0">
      <w:start w:val="2"/>
      <w:numFmt w:val="decimal"/>
      <w:lvlText w:val="%1"/>
      <w:lvlJc w:val="left"/>
      <w:pPr>
        <w:tabs>
          <w:tab w:val="num" w:pos="720"/>
        </w:tabs>
        <w:ind w:left="720" w:hanging="720"/>
      </w:pPr>
      <w:rPr>
        <w:rFonts w:hint="default"/>
        <w:b/>
      </w:rPr>
    </w:lvl>
    <w:lvl w:ilvl="1">
      <w:start w:val="1"/>
      <w:numFmt w:val="decimal"/>
      <w:pStyle w:val="OUTLINE"/>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74C032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nsid w:val="74C340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7">
    <w:nsid w:val="75A8096A"/>
    <w:multiLevelType w:val="hybridMultilevel"/>
    <w:tmpl w:val="9D320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85C27A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9">
    <w:nsid w:val="78D002FF"/>
    <w:multiLevelType w:val="singleLevel"/>
    <w:tmpl w:val="31248702"/>
    <w:lvl w:ilvl="0">
      <w:start w:val="1"/>
      <w:numFmt w:val="decimal"/>
      <w:lvlText w:val="%1."/>
      <w:legacy w:legacy="1" w:legacySpace="0" w:legacyIndent="360"/>
      <w:lvlJc w:val="left"/>
      <w:pPr>
        <w:ind w:left="360" w:hanging="360"/>
      </w:pPr>
    </w:lvl>
  </w:abstractNum>
  <w:abstractNum w:abstractNumId="50">
    <w:nsid w:val="79EE7156"/>
    <w:multiLevelType w:val="hybridMultilevel"/>
    <w:tmpl w:val="9BB2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C4F2524"/>
    <w:multiLevelType w:val="singleLevel"/>
    <w:tmpl w:val="31248702"/>
    <w:lvl w:ilvl="0">
      <w:start w:val="1"/>
      <w:numFmt w:val="decimal"/>
      <w:lvlText w:val="%1."/>
      <w:legacy w:legacy="1" w:legacySpace="0" w:legacyIndent="360"/>
      <w:lvlJc w:val="left"/>
      <w:pPr>
        <w:ind w:left="360" w:hanging="360"/>
      </w:pPr>
    </w:lvl>
  </w:abstractNum>
  <w:abstractNum w:abstractNumId="52">
    <w:nsid w:val="7C784B7E"/>
    <w:multiLevelType w:val="hybridMultilevel"/>
    <w:tmpl w:val="ED4C418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F647F04"/>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2"/>
  </w:num>
  <w:num w:numId="3">
    <w:abstractNumId w:val="35"/>
  </w:num>
  <w:num w:numId="4">
    <w:abstractNumId w:val="36"/>
  </w:num>
  <w:num w:numId="5">
    <w:abstractNumId w:val="48"/>
  </w:num>
  <w:num w:numId="6">
    <w:abstractNumId w:val="34"/>
  </w:num>
  <w:num w:numId="7">
    <w:abstractNumId w:val="37"/>
  </w:num>
  <w:num w:numId="8">
    <w:abstractNumId w:val="28"/>
  </w:num>
  <w:num w:numId="9">
    <w:abstractNumId w:val="20"/>
  </w:num>
  <w:num w:numId="10">
    <w:abstractNumId w:val="23"/>
  </w:num>
  <w:num w:numId="11">
    <w:abstractNumId w:val="21"/>
  </w:num>
  <w:num w:numId="12">
    <w:abstractNumId w:val="42"/>
  </w:num>
  <w:num w:numId="13">
    <w:abstractNumId w:val="27"/>
  </w:num>
  <w:num w:numId="14">
    <w:abstractNumId w:val="53"/>
  </w:num>
  <w:num w:numId="15">
    <w:abstractNumId w:val="10"/>
  </w:num>
  <w:num w:numId="16">
    <w:abstractNumId w:val="8"/>
  </w:num>
  <w:num w:numId="17">
    <w:abstractNumId w:val="46"/>
  </w:num>
  <w:num w:numId="18">
    <w:abstractNumId w:val="45"/>
  </w:num>
  <w:num w:numId="19">
    <w:abstractNumId w:val="17"/>
  </w:num>
  <w:num w:numId="20">
    <w:abstractNumId w:val="6"/>
  </w:num>
  <w:num w:numId="21">
    <w:abstractNumId w:val="40"/>
  </w:num>
  <w:num w:numId="22">
    <w:abstractNumId w:val="14"/>
  </w:num>
  <w:num w:numId="23">
    <w:abstractNumId w:val="33"/>
  </w:num>
  <w:num w:numId="24">
    <w:abstractNumId w:val="29"/>
  </w:num>
  <w:num w:numId="25">
    <w:abstractNumId w:val="5"/>
  </w:num>
  <w:num w:numId="26">
    <w:abstractNumId w:val="18"/>
  </w:num>
  <w:num w:numId="27">
    <w:abstractNumId w:val="32"/>
  </w:num>
  <w:num w:numId="28">
    <w:abstractNumId w:val="1"/>
  </w:num>
  <w:num w:numId="29">
    <w:abstractNumId w:val="44"/>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43"/>
  </w:num>
  <w:num w:numId="32">
    <w:abstractNumId w:val="12"/>
  </w:num>
  <w:num w:numId="33">
    <w:abstractNumId w:val="4"/>
  </w:num>
  <w:num w:numId="34">
    <w:abstractNumId w:val="7"/>
  </w:num>
  <w:num w:numId="35">
    <w:abstractNumId w:val="39"/>
  </w:num>
  <w:num w:numId="36">
    <w:abstractNumId w:val="41"/>
  </w:num>
  <w:num w:numId="37">
    <w:abstractNumId w:val="13"/>
  </w:num>
  <w:num w:numId="38">
    <w:abstractNumId w:val="30"/>
  </w:num>
  <w:num w:numId="39">
    <w:abstractNumId w:val="16"/>
  </w:num>
  <w:num w:numId="40">
    <w:abstractNumId w:val="25"/>
  </w:num>
  <w:num w:numId="41">
    <w:abstractNumId w:val="11"/>
  </w:num>
  <w:num w:numId="42">
    <w:abstractNumId w:val="52"/>
  </w:num>
  <w:num w:numId="43">
    <w:abstractNumId w:val="26"/>
  </w:num>
  <w:num w:numId="44">
    <w:abstractNumId w:val="51"/>
  </w:num>
  <w:num w:numId="45">
    <w:abstractNumId w:val="38"/>
  </w:num>
  <w:num w:numId="46">
    <w:abstractNumId w:val="2"/>
  </w:num>
  <w:num w:numId="47">
    <w:abstractNumId w:val="49"/>
  </w:num>
  <w:num w:numId="48">
    <w:abstractNumId w:val="15"/>
  </w:num>
  <w:num w:numId="49">
    <w:abstractNumId w:val="19"/>
  </w:num>
  <w:num w:numId="50">
    <w:abstractNumId w:val="50"/>
  </w:num>
  <w:num w:numId="51">
    <w:abstractNumId w:val="9"/>
  </w:num>
  <w:num w:numId="52">
    <w:abstractNumId w:val="24"/>
  </w:num>
  <w:num w:numId="53">
    <w:abstractNumId w:val="31"/>
  </w:num>
  <w:num w:numId="54">
    <w:abstractNumId w:val="4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6019"/>
    <w:rsid w:val="00216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sz w:val="44"/>
    </w:rPr>
  </w:style>
  <w:style w:type="paragraph" w:styleId="Heading2">
    <w:name w:val="heading 2"/>
    <w:aliases w:val="H2-Sec. Head"/>
    <w:basedOn w:val="Normal"/>
    <w:next w:val="Normal"/>
    <w:qFormat/>
    <w:pPr>
      <w:keepNext/>
      <w:jc w:val="center"/>
      <w:outlineLvl w:val="1"/>
    </w:pPr>
    <w:rPr>
      <w:rFonts w:ascii="Times New Roman" w:hAnsi="Times New Roman"/>
      <w:b/>
      <w:sz w:val="48"/>
    </w:rPr>
  </w:style>
  <w:style w:type="paragraph" w:styleId="Heading3">
    <w:name w:val="heading 3"/>
    <w:basedOn w:val="Normal"/>
    <w:next w:val="Normal"/>
    <w:qFormat/>
    <w:pPr>
      <w:keepNext/>
      <w:jc w:val="center"/>
      <w:outlineLvl w:val="2"/>
    </w:pPr>
    <w:rPr>
      <w:rFonts w:ascii="Times New Roman" w:hAnsi="Times New Roman"/>
      <w:sz w:val="44"/>
    </w:rPr>
  </w:style>
  <w:style w:type="paragraph" w:styleId="Heading4">
    <w:name w:val="heading 4"/>
    <w:basedOn w:val="Normal"/>
    <w:next w:val="Normal"/>
    <w:qFormat/>
    <w:pPr>
      <w:keepNext/>
      <w:outlineLvl w:val="3"/>
    </w:pPr>
    <w:rPr>
      <w:rFonts w:ascii="Times New Roman" w:hAnsi="Times New Roman"/>
      <w:u w:val="single"/>
    </w:rPr>
  </w:style>
  <w:style w:type="paragraph" w:styleId="Heading5">
    <w:name w:val="heading 5"/>
    <w:basedOn w:val="Normal"/>
    <w:next w:val="Normal"/>
    <w:qFormat/>
    <w:pPr>
      <w:keepNext/>
      <w:jc w:val="center"/>
      <w:outlineLvl w:val="4"/>
    </w:pPr>
    <w:rPr>
      <w:rFonts w:ascii="Times New Roman" w:hAnsi="Times New Roman"/>
      <w:b/>
      <w:color w:val="000000"/>
      <w:sz w:val="28"/>
    </w:rPr>
  </w:style>
  <w:style w:type="paragraph" w:styleId="Heading6">
    <w:name w:val="heading 6"/>
    <w:basedOn w:val="Normal"/>
    <w:next w:val="Normal"/>
    <w:qFormat/>
    <w:pPr>
      <w:keepNext/>
      <w:jc w:val="center"/>
      <w:outlineLvl w:val="5"/>
    </w:pPr>
    <w:rPr>
      <w:rFonts w:ascii="Times New Roman" w:hAnsi="Times New Roman"/>
      <w:b/>
      <w:u w:val="single"/>
    </w:rPr>
  </w:style>
  <w:style w:type="paragraph" w:styleId="Heading7">
    <w:name w:val="heading 7"/>
    <w:basedOn w:val="Normal"/>
    <w:next w:val="Normal"/>
    <w:qFormat/>
    <w:pPr>
      <w:keepNext/>
      <w:jc w:val="center"/>
      <w:outlineLvl w:val="6"/>
    </w:pPr>
    <w:rPr>
      <w:rFonts w:ascii="Times New Roman" w:hAnsi="Times New Roman"/>
    </w:rPr>
  </w:style>
  <w:style w:type="paragraph" w:styleId="Heading8">
    <w:name w:val="heading 8"/>
    <w:basedOn w:val="Normal"/>
    <w:next w:val="Normal"/>
    <w:qFormat/>
    <w:pPr>
      <w:keepNext/>
      <w:spacing w:line="360" w:lineRule="auto"/>
      <w:outlineLvl w:val="7"/>
    </w:pPr>
    <w:rPr>
      <w:rFonts w:ascii="Times New Roman" w:hAnsi="Times New Roman"/>
    </w:rPr>
  </w:style>
  <w:style w:type="paragraph" w:styleId="Heading9">
    <w:name w:val="heading 9"/>
    <w:basedOn w:val="Normal"/>
    <w:next w:val="Normal"/>
    <w:qFormat/>
    <w:pPr>
      <w:keepNext/>
      <w:outlineLvl w:val="8"/>
    </w:pPr>
    <w:rPr>
      <w:rFonts w:ascii="Times New Roman" w:hAnsi="Times New Roman"/>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Times New Roman" w:hAnsi="Times New Roman"/>
    </w:rPr>
  </w:style>
  <w:style w:type="paragraph" w:styleId="BodyTextIndent2">
    <w:name w:val="Body Text Indent 2"/>
    <w:basedOn w:val="Normal"/>
    <w:semiHidden/>
    <w:pPr>
      <w:ind w:left="1530" w:hanging="1530"/>
    </w:pPr>
    <w:rPr>
      <w:rFonts w:ascii="Times New Roman" w:hAnsi="Times New Roman"/>
    </w:rPr>
  </w:style>
  <w:style w:type="paragraph" w:styleId="Header">
    <w:name w:val="header"/>
    <w:basedOn w:val="Normal"/>
    <w:semiHidden/>
    <w:pPr>
      <w:tabs>
        <w:tab w:val="center" w:pos="4320"/>
        <w:tab w:val="right" w:pos="8640"/>
      </w:tabs>
    </w:pPr>
  </w:style>
  <w:style w:type="paragraph" w:styleId="Title">
    <w:name w:val="Title"/>
    <w:basedOn w:val="Normal"/>
    <w:qFormat/>
    <w:pPr>
      <w:pBdr>
        <w:top w:val="thinThickSmallGap" w:sz="24" w:space="1" w:color="auto"/>
        <w:left w:val="thinThickSmallGap" w:sz="24" w:space="4" w:color="auto"/>
        <w:bottom w:val="thickThinSmallGap" w:sz="24" w:space="1" w:color="auto"/>
        <w:right w:val="thickThinSmallGap" w:sz="24" w:space="4" w:color="auto"/>
      </w:pBdr>
      <w:jc w:val="center"/>
    </w:pPr>
    <w:rPr>
      <w:rFonts w:ascii="Times New Roman" w:hAnsi="Times New Roman"/>
      <w:b/>
      <w:sz w:val="28"/>
    </w:rPr>
  </w:style>
  <w:style w:type="paragraph" w:styleId="BodyText">
    <w:name w:val="Body Text"/>
    <w:basedOn w:val="Normal"/>
    <w:semiHidden/>
    <w:rPr>
      <w:rFonts w:ascii="Times New Roman" w:hAnsi="Times New Roman"/>
      <w:i/>
    </w:rPr>
  </w:style>
  <w:style w:type="paragraph" w:styleId="BodyTextIndent">
    <w:name w:val="Body Text Indent"/>
    <w:basedOn w:val="Normal"/>
    <w:semiHidden/>
    <w:pPr>
      <w:ind w:left="180" w:hanging="180"/>
      <w:jc w:val="both"/>
    </w:pPr>
    <w:rPr>
      <w:rFonts w:ascii="Times New Roman" w:hAnsi="Times New Roman"/>
    </w:rPr>
  </w:style>
  <w:style w:type="paragraph" w:styleId="EnvelopeReturn">
    <w:name w:val="envelope return"/>
    <w:basedOn w:val="Normal"/>
    <w:semiHidden/>
    <w:rPr>
      <w:rFonts w:ascii="Times New Roman" w:hAnsi="Times New Roman"/>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Times New Roman" w:hAnsi="Times New Roman"/>
      <w:sz w:val="22"/>
    </w:rPr>
  </w:style>
  <w:style w:type="paragraph" w:styleId="Footer">
    <w:name w:val="footer"/>
    <w:basedOn w:val="Normal"/>
    <w:semiHidden/>
    <w:pPr>
      <w:tabs>
        <w:tab w:val="center" w:pos="4320"/>
        <w:tab w:val="right" w:pos="8640"/>
      </w:tabs>
    </w:pPr>
    <w:rPr>
      <w:rFonts w:ascii="Times New Roman" w:hAnsi="Times New Roman"/>
      <w:sz w:val="20"/>
    </w:rPr>
  </w:style>
  <w:style w:type="character" w:styleId="PageNumber">
    <w:name w:val="page number"/>
    <w:basedOn w:val="DefaultParagraphFont"/>
    <w:semiHidden/>
  </w:style>
  <w:style w:type="paragraph" w:customStyle="1" w:styleId="OUTLINE">
    <w:name w:val="OUTLINE"/>
    <w:basedOn w:val="TOC1"/>
    <w:pPr>
      <w:widowControl w:val="0"/>
      <w:numPr>
        <w:ilvl w:val="1"/>
        <w:numId w:val="29"/>
      </w:numPr>
      <w:tabs>
        <w:tab w:val="left" w:pos="1440"/>
        <w:tab w:val="right" w:leader="dot" w:pos="9350"/>
      </w:tabs>
      <w:spacing w:before="360"/>
      <w:outlineLvl w:val="0"/>
    </w:pPr>
    <w:rPr>
      <w:caps/>
      <w:noProof/>
    </w:rPr>
  </w:style>
  <w:style w:type="paragraph" w:styleId="TOC1">
    <w:name w:val="toc 1"/>
    <w:basedOn w:val="Normal"/>
    <w:next w:val="Normal"/>
    <w:autoRedefine/>
    <w:semiHidden/>
    <w:rPr>
      <w:rFonts w:ascii="Times New Roman" w:hAnsi="Times New Roman"/>
    </w:rPr>
  </w:style>
  <w:style w:type="paragraph" w:styleId="BodyTextIndent3">
    <w:name w:val="Body Text Indent 3"/>
    <w:basedOn w:val="Normal"/>
    <w:semiHidden/>
    <w:pPr>
      <w:ind w:left="720"/>
    </w:pPr>
    <w:rPr>
      <w:rFonts w:ascii="Times New Roman" w:hAnsi="Times New Roman"/>
      <w:szCs w:val="24"/>
    </w:rPr>
  </w:style>
  <w:style w:type="paragraph" w:styleId="PlainText">
    <w:name w:val="Plain Text"/>
    <w:basedOn w:val="Normal"/>
    <w:semiHidden/>
    <w:rPr>
      <w:rFonts w:ascii="Courier New" w:hAnsi="Courier New" w:cs="Courier New"/>
      <w:sz w:val="20"/>
    </w:rPr>
  </w:style>
  <w:style w:type="paragraph" w:customStyle="1" w:styleId="text">
    <w:name w:val="text"/>
    <w:basedOn w:val="Normal"/>
    <w:pPr>
      <w:spacing w:after="240"/>
    </w:pPr>
    <w:rPr>
      <w:rFonts w:ascii="Times" w:eastAsia="Times" w:hAnsi="Times"/>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ascii="Times" w:eastAsia="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9.xml"/><Relationship Id="rId34"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wk-i.org" TargetMode="External"/><Relationship Id="rId24" Type="http://schemas.openxmlformats.org/officeDocument/2006/relationships/chart" Target="charts/chart10.xml"/><Relationship Id="rId32"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oter" Target="footer5.xml"/><Relationship Id="rId28" Type="http://schemas.openxmlformats.org/officeDocument/2006/relationships/chart" Target="charts/chart14.xml"/><Relationship Id="rId36" Type="http://schemas.openxmlformats.org/officeDocument/2006/relationships/theme" Target="theme/theme1.xml"/><Relationship Id="rId10" Type="http://schemas.openxmlformats.org/officeDocument/2006/relationships/hyperlink" Target="http://ppc.uiowa.edu/hawk-i/" TargetMode="External"/><Relationship Id="rId19" Type="http://schemas.openxmlformats.org/officeDocument/2006/relationships/chart" Target="charts/chart7.xml"/><Relationship Id="rId31" Type="http://schemas.openxmlformats.org/officeDocument/2006/relationships/chart" Target="charts/chart1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footer" Target="footer4.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phsa.org/" TargetMode="External"/><Relationship Id="rId2" Type="http://schemas.openxmlformats.org/officeDocument/2006/relationships/hyperlink" Target="http://www.aap.org/policy/re9939.html" TargetMode="External"/><Relationship Id="rId1" Type="http://schemas.openxmlformats.org/officeDocument/2006/relationships/hyperlink" Target="http://www.ncqa.org/Programs/HEDIS/" TargetMode="External"/><Relationship Id="rId4" Type="http://schemas.openxmlformats.org/officeDocument/2006/relationships/hyperlink" Target="http://www.aapd.org/media/policies.as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683168316831685"/>
          <c:y val="5.6603773584905662E-2"/>
          <c:w val="0.86336633663366347"/>
          <c:h val="0.78706199460916448"/>
        </c:manualLayout>
      </c:layout>
      <c:barChart>
        <c:barDir val="col"/>
        <c:grouping val="clustered"/>
        <c:ser>
          <c:idx val="0"/>
          <c:order val="0"/>
          <c:tx>
            <c:strRef>
              <c:f>wellchild!$B$78</c:f>
              <c:strCache>
                <c:ptCount val="1"/>
                <c:pt idx="0">
                  <c:v>3-6 years of age</c:v>
                </c:pt>
              </c:strCache>
            </c:strRef>
          </c:tx>
          <c:spPr>
            <a:solidFill>
              <a:srgbClr val="808080"/>
            </a:solidFill>
            <a:ln w="12036">
              <a:solidFill>
                <a:srgbClr val="000000"/>
              </a:solidFill>
              <a:prstDash val="solid"/>
            </a:ln>
          </c:spPr>
          <c:dLbls>
            <c:spPr>
              <a:noFill/>
              <a:ln w="24071">
                <a:noFill/>
              </a:ln>
            </c:spPr>
            <c:txPr>
              <a:bodyPr/>
              <a:lstStyle/>
              <a:p>
                <a:pPr>
                  <a:defRPr sz="900" b="0" i="0" u="none" strike="noStrike" baseline="0">
                    <a:solidFill>
                      <a:srgbClr val="000000"/>
                    </a:solidFill>
                    <a:latin typeface="Verdana"/>
                    <a:ea typeface="Verdana"/>
                    <a:cs typeface="Verdana"/>
                  </a:defRPr>
                </a:pPr>
                <a:endParaRPr lang="en-US"/>
              </a:p>
            </c:txPr>
            <c:showVal val="1"/>
          </c:dLbls>
          <c:cat>
            <c:strRef>
              <c:f>wellchild!$A$79:$A$83</c:f>
              <c:strCache>
                <c:ptCount val="5"/>
                <c:pt idx="0">
                  <c:v>APHSA, 1999</c:v>
                </c:pt>
                <c:pt idx="1">
                  <c:v>APHSA, 2001</c:v>
                </c:pt>
                <c:pt idx="2">
                  <c:v>Iowa Health Solutions</c:v>
                </c:pt>
                <c:pt idx="3">
                  <c:v>John Deere</c:v>
                </c:pt>
                <c:pt idx="4">
                  <c:v>Wellmark</c:v>
                </c:pt>
              </c:strCache>
            </c:strRef>
          </c:cat>
          <c:val>
            <c:numRef>
              <c:f>wellchild!$B$79:$B$83</c:f>
              <c:numCache>
                <c:formatCode>0%</c:formatCode>
                <c:ptCount val="5"/>
                <c:pt idx="0">
                  <c:v>0.51</c:v>
                </c:pt>
                <c:pt idx="1">
                  <c:v>0.56000000000000005</c:v>
                </c:pt>
                <c:pt idx="2">
                  <c:v>0.35000000000000003</c:v>
                </c:pt>
                <c:pt idx="3">
                  <c:v>0.43000000000000005</c:v>
                </c:pt>
                <c:pt idx="4">
                  <c:v>0.33000000000000007</c:v>
                </c:pt>
              </c:numCache>
            </c:numRef>
          </c:val>
        </c:ser>
        <c:axId val="181390720"/>
        <c:axId val="181392512"/>
      </c:barChart>
      <c:catAx>
        <c:axId val="181390720"/>
        <c:scaling>
          <c:orientation val="minMax"/>
        </c:scaling>
        <c:axPos val="b"/>
        <c:numFmt formatCode="General" sourceLinked="1"/>
        <c:tickLblPos val="nextTo"/>
        <c:spPr>
          <a:ln w="3009">
            <a:solidFill>
              <a:srgbClr val="000000"/>
            </a:solidFill>
            <a:prstDash val="solid"/>
          </a:ln>
        </c:spPr>
        <c:txPr>
          <a:bodyPr rot="0" vert="horz"/>
          <a:lstStyle/>
          <a:p>
            <a:pPr>
              <a:defRPr sz="900" b="0" i="0" u="none" strike="noStrike" baseline="0">
                <a:solidFill>
                  <a:srgbClr val="000000"/>
                </a:solidFill>
                <a:latin typeface="Verdana"/>
                <a:ea typeface="Verdana"/>
                <a:cs typeface="Verdana"/>
              </a:defRPr>
            </a:pPr>
            <a:endParaRPr lang="en-US"/>
          </a:p>
        </c:txPr>
        <c:crossAx val="181392512"/>
        <c:crosses val="autoZero"/>
        <c:auto val="1"/>
        <c:lblAlgn val="ctr"/>
        <c:lblOffset val="100"/>
        <c:tickLblSkip val="1"/>
        <c:tickMarkSkip val="1"/>
      </c:catAx>
      <c:valAx>
        <c:axId val="181392512"/>
        <c:scaling>
          <c:orientation val="minMax"/>
          <c:max val="1"/>
        </c:scaling>
        <c:axPos val="l"/>
        <c:majorGridlines>
          <c:spPr>
            <a:ln w="3009">
              <a:solidFill>
                <a:srgbClr val="000000"/>
              </a:solidFill>
              <a:prstDash val="solid"/>
            </a:ln>
          </c:spPr>
        </c:majorGridlines>
        <c:numFmt formatCode="0%" sourceLinked="1"/>
        <c:tickLblPos val="nextTo"/>
        <c:spPr>
          <a:ln w="3009">
            <a:solidFill>
              <a:srgbClr val="000000"/>
            </a:solidFill>
            <a:prstDash val="solid"/>
          </a:ln>
        </c:spPr>
        <c:txPr>
          <a:bodyPr rot="0" vert="horz"/>
          <a:lstStyle/>
          <a:p>
            <a:pPr>
              <a:defRPr sz="900" b="0" i="0" u="none" strike="noStrike" baseline="0">
                <a:solidFill>
                  <a:srgbClr val="000000"/>
                </a:solidFill>
                <a:latin typeface="Verdana"/>
                <a:ea typeface="Verdana"/>
                <a:cs typeface="Verdana"/>
              </a:defRPr>
            </a:pPr>
            <a:endParaRPr lang="en-US"/>
          </a:p>
        </c:txPr>
        <c:crossAx val="181390720"/>
        <c:crosses val="autoZero"/>
        <c:crossBetween val="between"/>
      </c:valAx>
      <c:spPr>
        <a:noFill/>
        <a:ln w="12036">
          <a:solidFill>
            <a:srgbClr val="808080"/>
          </a:solidFill>
          <a:prstDash val="solid"/>
        </a:ln>
      </c:spPr>
    </c:plotArea>
    <c:plotVisOnly val="1"/>
    <c:dispBlanksAs val="gap"/>
  </c:chart>
  <c:spPr>
    <a:solidFill>
      <a:srgbClr val="FFFFFF"/>
    </a:solidFill>
    <a:ln w="3009">
      <a:solidFill>
        <a:srgbClr val="000000"/>
      </a:solidFill>
      <a:prstDash val="solid"/>
    </a:ln>
  </c:spPr>
  <c:txPr>
    <a:bodyPr/>
    <a:lstStyle/>
    <a:p>
      <a:pPr>
        <a:defRPr sz="900" b="0" i="0" u="none" strike="noStrike" baseline="0">
          <a:solidFill>
            <a:srgbClr val="000000"/>
          </a:solidFill>
          <a:latin typeface="Verdana"/>
          <a:ea typeface="Verdana"/>
          <a:cs typeface="Verdana"/>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1032186459489471E-2"/>
          <c:y val="3.425774877650898E-2"/>
          <c:w val="0.64261931187569377"/>
          <c:h val="0.89885807504078319"/>
        </c:manualLayout>
      </c:layout>
      <c:lineChart>
        <c:grouping val="standard"/>
        <c:ser>
          <c:idx val="0"/>
          <c:order val="0"/>
          <c:tx>
            <c:strRef>
              <c:f>Sheet1!$B$1</c:f>
              <c:strCache>
                <c:ptCount val="1"/>
                <c:pt idx="0">
                  <c:v>All Enrollees</c:v>
                </c:pt>
              </c:strCache>
            </c:strRef>
          </c:tx>
          <c:spPr>
            <a:ln w="8023">
              <a:solidFill>
                <a:srgbClr val="000080"/>
              </a:solidFill>
              <a:prstDash val="solid"/>
            </a:ln>
          </c:spPr>
          <c:marker>
            <c:symbol val="diamond"/>
            <c:size val="3"/>
            <c:spPr>
              <a:solidFill>
                <a:srgbClr val="000080"/>
              </a:solidFill>
              <a:ln>
                <a:solidFill>
                  <a:srgbClr val="000080"/>
                </a:solidFill>
                <a:prstDash val="solid"/>
              </a:ln>
            </c:spPr>
          </c:marker>
          <c:cat>
            <c:strRef>
              <c:f>Sheet1!$A$2:$A$6</c:f>
              <c:strCache>
                <c:ptCount val="5"/>
                <c:pt idx="0">
                  <c:v>3-6 years</c:v>
                </c:pt>
                <c:pt idx="1">
                  <c:v>7-9 years</c:v>
                </c:pt>
                <c:pt idx="2">
                  <c:v>10-12 years</c:v>
                </c:pt>
                <c:pt idx="3">
                  <c:v>13-15 years</c:v>
                </c:pt>
                <c:pt idx="4">
                  <c:v>16-18 years</c:v>
                </c:pt>
              </c:strCache>
            </c:strRef>
          </c:cat>
          <c:val>
            <c:numRef>
              <c:f>Sheet1!$B$2:$B$6</c:f>
              <c:numCache>
                <c:formatCode>0.0%</c:formatCode>
                <c:ptCount val="5"/>
                <c:pt idx="0">
                  <c:v>1.0000000000000002E-2</c:v>
                </c:pt>
                <c:pt idx="1">
                  <c:v>4.5000000000000005E-2</c:v>
                </c:pt>
                <c:pt idx="2">
                  <c:v>5.3000000000000005E-2</c:v>
                </c:pt>
                <c:pt idx="3">
                  <c:v>4.1000000000000002E-2</c:v>
                </c:pt>
                <c:pt idx="4">
                  <c:v>1.9000000000000003E-2</c:v>
                </c:pt>
              </c:numCache>
            </c:numRef>
          </c:val>
        </c:ser>
        <c:ser>
          <c:idx val="1"/>
          <c:order val="1"/>
          <c:tx>
            <c:strRef>
              <c:f>Sheet1!$C$1</c:f>
              <c:strCache>
                <c:ptCount val="1"/>
                <c:pt idx="0">
                  <c:v>Enrolled for at least 11 months</c:v>
                </c:pt>
              </c:strCache>
            </c:strRef>
          </c:tx>
          <c:spPr>
            <a:ln w="8023">
              <a:solidFill>
                <a:srgbClr val="FF00FF"/>
              </a:solidFill>
              <a:prstDash val="solid"/>
            </a:ln>
          </c:spPr>
          <c:marker>
            <c:symbol val="square"/>
            <c:size val="3"/>
            <c:spPr>
              <a:solidFill>
                <a:srgbClr val="FF00FF"/>
              </a:solidFill>
              <a:ln>
                <a:solidFill>
                  <a:srgbClr val="FF00FF"/>
                </a:solidFill>
                <a:prstDash val="solid"/>
              </a:ln>
            </c:spPr>
          </c:marker>
          <c:cat>
            <c:strRef>
              <c:f>Sheet1!$A$2:$A$6</c:f>
              <c:strCache>
                <c:ptCount val="5"/>
                <c:pt idx="0">
                  <c:v>3-6 years</c:v>
                </c:pt>
                <c:pt idx="1">
                  <c:v>7-9 years</c:v>
                </c:pt>
                <c:pt idx="2">
                  <c:v>10-12 years</c:v>
                </c:pt>
                <c:pt idx="3">
                  <c:v>13-15 years</c:v>
                </c:pt>
                <c:pt idx="4">
                  <c:v>16-18 years</c:v>
                </c:pt>
              </c:strCache>
            </c:strRef>
          </c:cat>
          <c:val>
            <c:numRef>
              <c:f>Sheet1!$C$2:$C$6</c:f>
              <c:numCache>
                <c:formatCode>0.0%</c:formatCode>
                <c:ptCount val="5"/>
                <c:pt idx="0">
                  <c:v>1.7000000000000001E-2</c:v>
                </c:pt>
                <c:pt idx="1">
                  <c:v>6.900000000000002E-2</c:v>
                </c:pt>
                <c:pt idx="2">
                  <c:v>9.0000000000000011E-2</c:v>
                </c:pt>
                <c:pt idx="3">
                  <c:v>6.4000000000000015E-2</c:v>
                </c:pt>
                <c:pt idx="4">
                  <c:v>3.2000000000000008E-2</c:v>
                </c:pt>
              </c:numCache>
            </c:numRef>
          </c:val>
        </c:ser>
        <c:marker val="1"/>
        <c:axId val="137872512"/>
        <c:axId val="137874432"/>
      </c:lineChart>
      <c:catAx>
        <c:axId val="137872512"/>
        <c:scaling>
          <c:orientation val="minMax"/>
        </c:scaling>
        <c:axPos val="b"/>
        <c:numFmt formatCode="General" sourceLinked="1"/>
        <c:tickLblPos val="nextTo"/>
        <c:spPr>
          <a:ln w="2006">
            <a:solidFill>
              <a:srgbClr val="000000"/>
            </a:solidFill>
            <a:prstDash val="solid"/>
          </a:ln>
        </c:spPr>
        <c:txPr>
          <a:bodyPr rot="0" vert="horz"/>
          <a:lstStyle/>
          <a:p>
            <a:pPr>
              <a:defRPr sz="632" b="0" i="0" u="none" strike="noStrike" baseline="0">
                <a:solidFill>
                  <a:srgbClr val="000000"/>
                </a:solidFill>
                <a:latin typeface="Verdana"/>
                <a:ea typeface="Verdana"/>
                <a:cs typeface="Verdana"/>
              </a:defRPr>
            </a:pPr>
            <a:endParaRPr lang="en-US"/>
          </a:p>
        </c:txPr>
        <c:crossAx val="137874432"/>
        <c:crosses val="autoZero"/>
        <c:auto val="1"/>
        <c:lblAlgn val="ctr"/>
        <c:lblOffset val="100"/>
        <c:tickLblSkip val="1"/>
        <c:tickMarkSkip val="1"/>
      </c:catAx>
      <c:valAx>
        <c:axId val="137874432"/>
        <c:scaling>
          <c:orientation val="minMax"/>
        </c:scaling>
        <c:axPos val="l"/>
        <c:majorGridlines>
          <c:spPr>
            <a:ln w="2006">
              <a:solidFill>
                <a:srgbClr val="000000"/>
              </a:solidFill>
              <a:prstDash val="solid"/>
            </a:ln>
          </c:spPr>
        </c:majorGridlines>
        <c:numFmt formatCode="0.0%" sourceLinked="1"/>
        <c:tickLblPos val="nextTo"/>
        <c:spPr>
          <a:ln w="2006">
            <a:solidFill>
              <a:srgbClr val="000000"/>
            </a:solidFill>
            <a:prstDash val="solid"/>
          </a:ln>
        </c:spPr>
        <c:txPr>
          <a:bodyPr rot="0" vert="horz"/>
          <a:lstStyle/>
          <a:p>
            <a:pPr>
              <a:defRPr sz="632" b="0" i="0" u="none" strike="noStrike" baseline="0">
                <a:solidFill>
                  <a:srgbClr val="000000"/>
                </a:solidFill>
                <a:latin typeface="Verdana"/>
                <a:ea typeface="Verdana"/>
                <a:cs typeface="Verdana"/>
              </a:defRPr>
            </a:pPr>
            <a:endParaRPr lang="en-US"/>
          </a:p>
        </c:txPr>
        <c:crossAx val="137872512"/>
        <c:crosses val="autoZero"/>
        <c:crossBetween val="between"/>
      </c:valAx>
      <c:spPr>
        <a:solidFill>
          <a:srgbClr val="FFFFFF"/>
        </a:solidFill>
        <a:ln w="8023">
          <a:solidFill>
            <a:srgbClr val="FFFFFF"/>
          </a:solidFill>
          <a:prstDash val="solid"/>
        </a:ln>
      </c:spPr>
    </c:plotArea>
    <c:legend>
      <c:legendPos val="r"/>
      <c:layout>
        <c:manualLayout>
          <c:xMode val="edge"/>
          <c:yMode val="edge"/>
          <c:x val="0.72586015538290782"/>
          <c:y val="0.44861337683523655"/>
          <c:w val="0.26970033296337403"/>
          <c:h val="7.01468189233279E-2"/>
        </c:manualLayout>
      </c:layout>
      <c:spPr>
        <a:solidFill>
          <a:srgbClr val="FFFFFF"/>
        </a:solidFill>
        <a:ln w="2006">
          <a:solidFill>
            <a:srgbClr val="000000"/>
          </a:solidFill>
          <a:prstDash val="solid"/>
        </a:ln>
      </c:spPr>
      <c:txPr>
        <a:bodyPr/>
        <a:lstStyle/>
        <a:p>
          <a:pPr>
            <a:defRPr sz="581" b="0" i="0" u="none" strike="noStrike" baseline="0">
              <a:solidFill>
                <a:srgbClr val="000000"/>
              </a:solidFill>
              <a:latin typeface="Verdana"/>
              <a:ea typeface="Verdana"/>
              <a:cs typeface="Verdana"/>
            </a:defRPr>
          </a:pPr>
          <a:endParaRPr lang="en-US"/>
        </a:p>
      </c:txPr>
    </c:legend>
    <c:plotVisOnly val="1"/>
    <c:dispBlanksAs val="gap"/>
  </c:chart>
  <c:spPr>
    <a:noFill/>
    <a:ln>
      <a:noFill/>
    </a:ln>
  </c:spPr>
  <c:txPr>
    <a:bodyPr/>
    <a:lstStyle/>
    <a:p>
      <a:pPr>
        <a:defRPr sz="632" b="0" i="0" u="none" strike="noStrike" baseline="0">
          <a:solidFill>
            <a:srgbClr val="000000"/>
          </a:solidFill>
          <a:latin typeface="Verdana"/>
          <a:ea typeface="Verdana"/>
          <a:cs typeface="Verdana"/>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6603773584905662E-2"/>
          <c:y val="3.425774877650898E-2"/>
          <c:w val="0.93229744728079922"/>
          <c:h val="0.89885807504078319"/>
        </c:manualLayout>
      </c:layout>
      <c:barChart>
        <c:barDir val="col"/>
        <c:grouping val="clustered"/>
        <c:ser>
          <c:idx val="0"/>
          <c:order val="0"/>
          <c:spPr>
            <a:solidFill>
              <a:srgbClr val="808080"/>
            </a:solidFill>
            <a:ln w="6357">
              <a:solidFill>
                <a:srgbClr val="000000"/>
              </a:solidFill>
              <a:prstDash val="solid"/>
            </a:ln>
          </c:spPr>
          <c:dLbls>
            <c:spPr>
              <a:noFill/>
              <a:ln w="12713">
                <a:noFill/>
              </a:ln>
            </c:spPr>
            <c:txPr>
              <a:bodyPr/>
              <a:lstStyle/>
              <a:p>
                <a:pPr>
                  <a:defRPr sz="501" b="0" i="0" u="none" strike="noStrike" baseline="0">
                    <a:solidFill>
                      <a:srgbClr val="000000"/>
                    </a:solidFill>
                    <a:latin typeface="Verdana"/>
                    <a:ea typeface="Verdana"/>
                    <a:cs typeface="Verdana"/>
                  </a:defRPr>
                </a:pPr>
                <a:endParaRPr lang="en-US"/>
              </a:p>
            </c:txPr>
            <c:showVal val="1"/>
          </c:dLbls>
          <c:cat>
            <c:strRef>
              <c:f>Sheet1!$A$2:$A$6</c:f>
              <c:strCache>
                <c:ptCount val="5"/>
                <c:pt idx="0">
                  <c:v>3-6 years</c:v>
                </c:pt>
                <c:pt idx="1">
                  <c:v>7-9 years</c:v>
                </c:pt>
                <c:pt idx="2">
                  <c:v>10-12 years</c:v>
                </c:pt>
                <c:pt idx="3">
                  <c:v>13-15 years</c:v>
                </c:pt>
                <c:pt idx="4">
                  <c:v>16-18 years</c:v>
                </c:pt>
              </c:strCache>
            </c:strRef>
          </c:cat>
          <c:val>
            <c:numRef>
              <c:f>Sheet1!$B$2:$B$6</c:f>
              <c:numCache>
                <c:formatCode>0%</c:formatCode>
                <c:ptCount val="5"/>
                <c:pt idx="0">
                  <c:v>4.459691252144083E-2</c:v>
                </c:pt>
                <c:pt idx="1">
                  <c:v>0.12669683257918551</c:v>
                </c:pt>
                <c:pt idx="2">
                  <c:v>0.13064133016627083</c:v>
                </c:pt>
                <c:pt idx="3">
                  <c:v>9.0686274509803946E-2</c:v>
                </c:pt>
                <c:pt idx="4">
                  <c:v>8.8135593220339009E-2</c:v>
                </c:pt>
              </c:numCache>
            </c:numRef>
          </c:val>
        </c:ser>
        <c:dLbls>
          <c:showVal val="1"/>
        </c:dLbls>
        <c:axId val="137822592"/>
        <c:axId val="137824128"/>
      </c:barChart>
      <c:catAx>
        <c:axId val="137822592"/>
        <c:scaling>
          <c:orientation val="minMax"/>
        </c:scaling>
        <c:axPos val="b"/>
        <c:numFmt formatCode="General" sourceLinked="1"/>
        <c:tickLblPos val="nextTo"/>
        <c:spPr>
          <a:ln w="1589">
            <a:solidFill>
              <a:srgbClr val="000000"/>
            </a:solidFill>
            <a:prstDash val="solid"/>
          </a:ln>
        </c:spPr>
        <c:txPr>
          <a:bodyPr rot="0" vert="horz"/>
          <a:lstStyle/>
          <a:p>
            <a:pPr>
              <a:defRPr sz="501" b="0" i="0" u="none" strike="noStrike" baseline="0">
                <a:solidFill>
                  <a:srgbClr val="000000"/>
                </a:solidFill>
                <a:latin typeface="Verdana"/>
                <a:ea typeface="Verdana"/>
                <a:cs typeface="Verdana"/>
              </a:defRPr>
            </a:pPr>
            <a:endParaRPr lang="en-US"/>
          </a:p>
        </c:txPr>
        <c:crossAx val="137824128"/>
        <c:crosses val="autoZero"/>
        <c:auto val="1"/>
        <c:lblAlgn val="ctr"/>
        <c:lblOffset val="100"/>
        <c:tickLblSkip val="1"/>
        <c:tickMarkSkip val="1"/>
      </c:catAx>
      <c:valAx>
        <c:axId val="137824128"/>
        <c:scaling>
          <c:orientation val="minMax"/>
          <c:max val="0.5"/>
        </c:scaling>
        <c:axPos val="l"/>
        <c:majorGridlines>
          <c:spPr>
            <a:ln w="1589">
              <a:solidFill>
                <a:srgbClr val="000000"/>
              </a:solidFill>
              <a:prstDash val="solid"/>
            </a:ln>
          </c:spPr>
        </c:majorGridlines>
        <c:numFmt formatCode="0%" sourceLinked="1"/>
        <c:tickLblPos val="nextTo"/>
        <c:spPr>
          <a:ln w="1589">
            <a:solidFill>
              <a:srgbClr val="000000"/>
            </a:solidFill>
            <a:prstDash val="solid"/>
          </a:ln>
        </c:spPr>
        <c:txPr>
          <a:bodyPr rot="0" vert="horz"/>
          <a:lstStyle/>
          <a:p>
            <a:pPr>
              <a:defRPr sz="501" b="0" i="0" u="none" strike="noStrike" baseline="0">
                <a:solidFill>
                  <a:srgbClr val="000000"/>
                </a:solidFill>
                <a:latin typeface="Verdana"/>
                <a:ea typeface="Verdana"/>
                <a:cs typeface="Verdana"/>
              </a:defRPr>
            </a:pPr>
            <a:endParaRPr lang="en-US"/>
          </a:p>
        </c:txPr>
        <c:crossAx val="137822592"/>
        <c:crosses val="autoZero"/>
        <c:crossBetween val="between"/>
      </c:valAx>
      <c:spPr>
        <a:solidFill>
          <a:srgbClr val="FFFFFF"/>
        </a:solidFill>
        <a:ln w="6357">
          <a:solidFill>
            <a:srgbClr val="FFFFFF"/>
          </a:solidFill>
          <a:prstDash val="solid"/>
        </a:ln>
      </c:spPr>
    </c:plotArea>
    <c:plotVisOnly val="1"/>
    <c:dispBlanksAs val="gap"/>
  </c:chart>
  <c:spPr>
    <a:noFill/>
    <a:ln>
      <a:noFill/>
    </a:ln>
  </c:spPr>
  <c:txPr>
    <a:bodyPr/>
    <a:lstStyle/>
    <a:p>
      <a:pPr>
        <a:defRPr sz="501" b="0" i="0" u="none" strike="noStrike" baseline="0">
          <a:solidFill>
            <a:srgbClr val="000000"/>
          </a:solidFill>
          <a:latin typeface="Verdana"/>
          <a:ea typeface="Verdana"/>
          <a:cs typeface="Verdana"/>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6603773584905662E-2"/>
          <c:y val="3.425774877650898E-2"/>
          <c:w val="0.76803551609322984"/>
          <c:h val="0.89885807504078319"/>
        </c:manualLayout>
      </c:layout>
      <c:lineChart>
        <c:grouping val="standard"/>
        <c:ser>
          <c:idx val="0"/>
          <c:order val="0"/>
          <c:tx>
            <c:strRef>
              <c:f>Sheet1!$B$9</c:f>
              <c:strCache>
                <c:ptCount val="1"/>
                <c:pt idx="0">
                  <c:v>Psychiatric visit</c:v>
                </c:pt>
              </c:strCache>
            </c:strRef>
          </c:tx>
          <c:spPr>
            <a:ln w="7189">
              <a:solidFill>
                <a:srgbClr val="000000"/>
              </a:solidFill>
              <a:prstDash val="solid"/>
            </a:ln>
          </c:spPr>
          <c:marker>
            <c:symbol val="diamond"/>
            <c:size val="2"/>
            <c:spPr>
              <a:solidFill>
                <a:srgbClr val="000000"/>
              </a:solidFill>
              <a:ln>
                <a:solidFill>
                  <a:srgbClr val="000000"/>
                </a:solidFill>
                <a:prstDash val="solid"/>
              </a:ln>
            </c:spPr>
          </c:marker>
          <c:cat>
            <c:strRef>
              <c:f>Sheet1!$A$10:$A$14</c:f>
              <c:strCache>
                <c:ptCount val="5"/>
                <c:pt idx="0">
                  <c:v>3-6 years</c:v>
                </c:pt>
                <c:pt idx="1">
                  <c:v>7-9 years</c:v>
                </c:pt>
                <c:pt idx="2">
                  <c:v>10-12 years</c:v>
                </c:pt>
                <c:pt idx="3">
                  <c:v>13-15 years</c:v>
                </c:pt>
                <c:pt idx="4">
                  <c:v>16-18 years</c:v>
                </c:pt>
              </c:strCache>
            </c:strRef>
          </c:cat>
          <c:val>
            <c:numRef>
              <c:f>Sheet1!$B$10:$B$14</c:f>
              <c:numCache>
                <c:formatCode>0%</c:formatCode>
                <c:ptCount val="5"/>
                <c:pt idx="0">
                  <c:v>0.69000000000000006</c:v>
                </c:pt>
                <c:pt idx="1">
                  <c:v>0.6100000000000001</c:v>
                </c:pt>
                <c:pt idx="2">
                  <c:v>0.56999999999999995</c:v>
                </c:pt>
                <c:pt idx="3">
                  <c:v>0.58000000000000007</c:v>
                </c:pt>
                <c:pt idx="4">
                  <c:v>0.77000000000000013</c:v>
                </c:pt>
              </c:numCache>
            </c:numRef>
          </c:val>
        </c:ser>
        <c:ser>
          <c:idx val="1"/>
          <c:order val="1"/>
          <c:tx>
            <c:strRef>
              <c:f>Sheet1!$C$9</c:f>
              <c:strCache>
                <c:ptCount val="1"/>
                <c:pt idx="0">
                  <c:v>Office visit</c:v>
                </c:pt>
              </c:strCache>
            </c:strRef>
          </c:tx>
          <c:spPr>
            <a:ln w="7189">
              <a:solidFill>
                <a:srgbClr val="000000"/>
              </a:solidFill>
              <a:prstDash val="solid"/>
            </a:ln>
          </c:spPr>
          <c:marker>
            <c:symbol val="square"/>
            <c:size val="2"/>
            <c:spPr>
              <a:solidFill>
                <a:srgbClr val="000000"/>
              </a:solidFill>
              <a:ln>
                <a:solidFill>
                  <a:srgbClr val="000000"/>
                </a:solidFill>
                <a:prstDash val="solid"/>
              </a:ln>
            </c:spPr>
          </c:marker>
          <c:cat>
            <c:strRef>
              <c:f>Sheet1!$A$10:$A$14</c:f>
              <c:strCache>
                <c:ptCount val="5"/>
                <c:pt idx="0">
                  <c:v>3-6 years</c:v>
                </c:pt>
                <c:pt idx="1">
                  <c:v>7-9 years</c:v>
                </c:pt>
                <c:pt idx="2">
                  <c:v>10-12 years</c:v>
                </c:pt>
                <c:pt idx="3">
                  <c:v>13-15 years</c:v>
                </c:pt>
                <c:pt idx="4">
                  <c:v>16-18 years</c:v>
                </c:pt>
              </c:strCache>
            </c:strRef>
          </c:cat>
          <c:val>
            <c:numRef>
              <c:f>Sheet1!$C$10:$C$14</c:f>
              <c:numCache>
                <c:formatCode>0%</c:formatCode>
                <c:ptCount val="5"/>
                <c:pt idx="0">
                  <c:v>0.37000000000000005</c:v>
                </c:pt>
                <c:pt idx="1">
                  <c:v>0.48000000000000004</c:v>
                </c:pt>
                <c:pt idx="2">
                  <c:v>0.5</c:v>
                </c:pt>
                <c:pt idx="3">
                  <c:v>0.44</c:v>
                </c:pt>
                <c:pt idx="4">
                  <c:v>0.33000000000000007</c:v>
                </c:pt>
              </c:numCache>
            </c:numRef>
          </c:val>
        </c:ser>
        <c:ser>
          <c:idx val="2"/>
          <c:order val="2"/>
          <c:tx>
            <c:strRef>
              <c:f>Sheet1!$D$9</c:f>
              <c:strCache>
                <c:ptCount val="1"/>
                <c:pt idx="0">
                  <c:v>Hospital visit</c:v>
                </c:pt>
              </c:strCache>
            </c:strRef>
          </c:tx>
          <c:spPr>
            <a:ln w="7189">
              <a:solidFill>
                <a:srgbClr val="000000"/>
              </a:solidFill>
              <a:prstDash val="solid"/>
            </a:ln>
          </c:spPr>
          <c:marker>
            <c:symbol val="triangle"/>
            <c:size val="2"/>
            <c:spPr>
              <a:solidFill>
                <a:srgbClr val="000000"/>
              </a:solidFill>
              <a:ln>
                <a:solidFill>
                  <a:srgbClr val="000000"/>
                </a:solidFill>
                <a:prstDash val="solid"/>
              </a:ln>
            </c:spPr>
          </c:marker>
          <c:cat>
            <c:strRef>
              <c:f>Sheet1!$A$10:$A$14</c:f>
              <c:strCache>
                <c:ptCount val="5"/>
                <c:pt idx="0">
                  <c:v>3-6 years</c:v>
                </c:pt>
                <c:pt idx="1">
                  <c:v>7-9 years</c:v>
                </c:pt>
                <c:pt idx="2">
                  <c:v>10-12 years</c:v>
                </c:pt>
                <c:pt idx="3">
                  <c:v>13-15 years</c:v>
                </c:pt>
                <c:pt idx="4">
                  <c:v>16-18 years</c:v>
                </c:pt>
              </c:strCache>
            </c:strRef>
          </c:cat>
          <c:val>
            <c:numRef>
              <c:f>Sheet1!$D$10:$D$14</c:f>
              <c:numCache>
                <c:formatCode>0%</c:formatCode>
                <c:ptCount val="5"/>
                <c:pt idx="0">
                  <c:v>2.0000000000000004E-2</c:v>
                </c:pt>
                <c:pt idx="1">
                  <c:v>1.0000000000000002E-2</c:v>
                </c:pt>
                <c:pt idx="2">
                  <c:v>2.0000000000000004E-2</c:v>
                </c:pt>
                <c:pt idx="3">
                  <c:v>2.0000000000000004E-2</c:v>
                </c:pt>
                <c:pt idx="4">
                  <c:v>0</c:v>
                </c:pt>
              </c:numCache>
            </c:numRef>
          </c:val>
        </c:ser>
        <c:marker val="1"/>
        <c:axId val="123300480"/>
        <c:axId val="123314944"/>
      </c:lineChart>
      <c:catAx>
        <c:axId val="123300480"/>
        <c:scaling>
          <c:orientation val="minMax"/>
        </c:scaling>
        <c:axPos val="b"/>
        <c:numFmt formatCode="General" sourceLinked="1"/>
        <c:tickLblPos val="nextTo"/>
        <c:spPr>
          <a:ln w="1797">
            <a:solidFill>
              <a:srgbClr val="000000"/>
            </a:solidFill>
            <a:prstDash val="solid"/>
          </a:ln>
        </c:spPr>
        <c:txPr>
          <a:bodyPr rot="0" vert="horz"/>
          <a:lstStyle/>
          <a:p>
            <a:pPr>
              <a:defRPr sz="566" b="0" i="0" u="none" strike="noStrike" baseline="0">
                <a:solidFill>
                  <a:srgbClr val="000000"/>
                </a:solidFill>
                <a:latin typeface="Verdana"/>
                <a:ea typeface="Verdana"/>
                <a:cs typeface="Verdana"/>
              </a:defRPr>
            </a:pPr>
            <a:endParaRPr lang="en-US"/>
          </a:p>
        </c:txPr>
        <c:crossAx val="123314944"/>
        <c:crosses val="autoZero"/>
        <c:auto val="1"/>
        <c:lblAlgn val="ctr"/>
        <c:lblOffset val="100"/>
        <c:tickLblSkip val="1"/>
        <c:tickMarkSkip val="1"/>
      </c:catAx>
      <c:valAx>
        <c:axId val="123314944"/>
        <c:scaling>
          <c:orientation val="minMax"/>
        </c:scaling>
        <c:axPos val="l"/>
        <c:majorGridlines>
          <c:spPr>
            <a:ln w="1797">
              <a:solidFill>
                <a:srgbClr val="000000"/>
              </a:solidFill>
              <a:prstDash val="solid"/>
            </a:ln>
          </c:spPr>
        </c:majorGridlines>
        <c:numFmt formatCode="0%" sourceLinked="1"/>
        <c:tickLblPos val="nextTo"/>
        <c:spPr>
          <a:ln w="1797">
            <a:solidFill>
              <a:srgbClr val="000000"/>
            </a:solidFill>
            <a:prstDash val="solid"/>
          </a:ln>
        </c:spPr>
        <c:txPr>
          <a:bodyPr rot="0" vert="horz"/>
          <a:lstStyle/>
          <a:p>
            <a:pPr>
              <a:defRPr sz="566" b="0" i="0" u="none" strike="noStrike" baseline="0">
                <a:solidFill>
                  <a:srgbClr val="000000"/>
                </a:solidFill>
                <a:latin typeface="Verdana"/>
                <a:ea typeface="Verdana"/>
                <a:cs typeface="Verdana"/>
              </a:defRPr>
            </a:pPr>
            <a:endParaRPr lang="en-US"/>
          </a:p>
        </c:txPr>
        <c:crossAx val="123300480"/>
        <c:crosses val="autoZero"/>
        <c:crossBetween val="between"/>
      </c:valAx>
      <c:spPr>
        <a:noFill/>
        <a:ln w="7189">
          <a:solidFill>
            <a:srgbClr val="808080"/>
          </a:solidFill>
          <a:prstDash val="solid"/>
        </a:ln>
      </c:spPr>
    </c:plotArea>
    <c:legend>
      <c:legendPos val="r"/>
      <c:layout>
        <c:manualLayout>
          <c:xMode val="edge"/>
          <c:yMode val="edge"/>
          <c:x val="0.83684794672586027"/>
          <c:y val="0.43230016313213715"/>
          <c:w val="0.15871254162042181"/>
          <c:h val="0.10440456769983686"/>
        </c:manualLayout>
      </c:layout>
      <c:spPr>
        <a:solidFill>
          <a:srgbClr val="FFFFFF"/>
        </a:solidFill>
        <a:ln w="1797">
          <a:solidFill>
            <a:srgbClr val="000000"/>
          </a:solidFill>
          <a:prstDash val="solid"/>
        </a:ln>
      </c:spPr>
      <c:txPr>
        <a:bodyPr/>
        <a:lstStyle/>
        <a:p>
          <a:pPr>
            <a:defRPr sz="521" b="0" i="0" u="none" strike="noStrike" baseline="0">
              <a:solidFill>
                <a:srgbClr val="000000"/>
              </a:solidFill>
              <a:latin typeface="Verdana"/>
              <a:ea typeface="Verdana"/>
              <a:cs typeface="Verdana"/>
            </a:defRPr>
          </a:pPr>
          <a:endParaRPr lang="en-US"/>
        </a:p>
      </c:txPr>
    </c:legend>
    <c:plotVisOnly val="1"/>
    <c:dispBlanksAs val="gap"/>
  </c:chart>
  <c:spPr>
    <a:noFill/>
    <a:ln>
      <a:noFill/>
    </a:ln>
  </c:spPr>
  <c:txPr>
    <a:bodyPr/>
    <a:lstStyle/>
    <a:p>
      <a:pPr>
        <a:defRPr sz="566" b="0" i="0" u="none" strike="noStrike" baseline="0">
          <a:solidFill>
            <a:srgbClr val="000000"/>
          </a:solidFill>
          <a:latin typeface="Verdana"/>
          <a:ea typeface="Verdana"/>
          <a:cs typeface="Verdana"/>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9872204472843475E-2"/>
          <c:y val="6.5088757396449703E-2"/>
          <c:w val="0.62300319488817901"/>
          <c:h val="0.72781065088757413"/>
        </c:manualLayout>
      </c:layout>
      <c:barChart>
        <c:barDir val="col"/>
        <c:grouping val="clustered"/>
        <c:ser>
          <c:idx val="0"/>
          <c:order val="0"/>
          <c:tx>
            <c:strRef>
              <c:f>'.doc].doc]Sheet1'!$A$7</c:f>
              <c:strCache>
                <c:ptCount val="1"/>
                <c:pt idx="0">
                  <c:v>Attention problems</c:v>
                </c:pt>
              </c:strCache>
            </c:strRef>
          </c:tx>
          <c:spPr>
            <a:solidFill>
              <a:srgbClr val="808080"/>
            </a:solidFill>
            <a:ln w="12703">
              <a:solidFill>
                <a:srgbClr val="000000"/>
              </a:solidFill>
              <a:prstDash val="solid"/>
            </a:ln>
          </c:spPr>
          <c:dLbls>
            <c:spPr>
              <a:noFill/>
              <a:ln w="25406">
                <a:noFill/>
              </a:ln>
            </c:spPr>
            <c:txPr>
              <a:bodyPr/>
              <a:lstStyle/>
              <a:p>
                <a:pPr>
                  <a:defRPr sz="1050" b="0" i="0" u="none" strike="noStrike" baseline="0">
                    <a:solidFill>
                      <a:srgbClr val="000000"/>
                    </a:solidFill>
                    <a:latin typeface="Geneva"/>
                    <a:ea typeface="Geneva"/>
                    <a:cs typeface="Geneva"/>
                  </a:defRPr>
                </a:pPr>
                <a:endParaRPr lang="en-US"/>
              </a:p>
            </c:txPr>
            <c:showVal val="1"/>
          </c:dLbls>
          <c:cat>
            <c:multiLvlStrRef>
              <c:f>'.doc].doc]Sheet1'!$B$5:$E$6</c:f>
              <c:multiLvlStrCache>
                <c:ptCount val="4"/>
                <c:lvl>
                  <c:pt idx="0">
                    <c:v>age 7-12</c:v>
                  </c:pt>
                  <c:pt idx="1">
                    <c:v>age 13-19</c:v>
                  </c:pt>
                  <c:pt idx="2">
                    <c:v>age 7-12</c:v>
                  </c:pt>
                  <c:pt idx="3">
                    <c:v>age 13-19</c:v>
                  </c:pt>
                </c:lvl>
                <c:lvl>
                  <c:pt idx="0">
                    <c:v>Male</c:v>
                  </c:pt>
                  <c:pt idx="2">
                    <c:v>Female</c:v>
                  </c:pt>
                </c:lvl>
              </c:multiLvlStrCache>
            </c:multiLvlStrRef>
          </c:cat>
          <c:val>
            <c:numRef>
              <c:f>'.doc].doc]Sheet1'!$B$7:$E$7</c:f>
              <c:numCache>
                <c:formatCode>0%</c:formatCode>
                <c:ptCount val="4"/>
                <c:pt idx="0">
                  <c:v>0.14000000000000001</c:v>
                </c:pt>
                <c:pt idx="1">
                  <c:v>0.1</c:v>
                </c:pt>
                <c:pt idx="2">
                  <c:v>0.05</c:v>
                </c:pt>
                <c:pt idx="3">
                  <c:v>4.0000000000000008E-2</c:v>
                </c:pt>
              </c:numCache>
            </c:numRef>
          </c:val>
        </c:ser>
        <c:ser>
          <c:idx val="1"/>
          <c:order val="1"/>
          <c:tx>
            <c:strRef>
              <c:f>'.doc].doc]Sheet1'!$A$8</c:f>
              <c:strCache>
                <c:ptCount val="1"/>
                <c:pt idx="0">
                  <c:v>Behavioral or emotional problems</c:v>
                </c:pt>
              </c:strCache>
            </c:strRef>
          </c:tx>
          <c:spPr>
            <a:solidFill>
              <a:srgbClr val="000000"/>
            </a:solidFill>
            <a:ln w="12703">
              <a:solidFill>
                <a:srgbClr val="000000"/>
              </a:solidFill>
              <a:prstDash val="solid"/>
            </a:ln>
          </c:spPr>
          <c:dLbls>
            <c:spPr>
              <a:noFill/>
              <a:ln w="25406">
                <a:noFill/>
              </a:ln>
            </c:spPr>
            <c:txPr>
              <a:bodyPr/>
              <a:lstStyle/>
              <a:p>
                <a:pPr>
                  <a:defRPr sz="1050" b="0" i="0" u="none" strike="noStrike" baseline="0">
                    <a:solidFill>
                      <a:srgbClr val="000000"/>
                    </a:solidFill>
                    <a:latin typeface="Geneva"/>
                    <a:ea typeface="Geneva"/>
                    <a:cs typeface="Geneva"/>
                  </a:defRPr>
                </a:pPr>
                <a:endParaRPr lang="en-US"/>
              </a:p>
            </c:txPr>
            <c:showVal val="1"/>
          </c:dLbls>
          <c:cat>
            <c:multiLvlStrRef>
              <c:f>'.doc].doc]Sheet1'!$B$5:$E$6</c:f>
              <c:multiLvlStrCache>
                <c:ptCount val="4"/>
                <c:lvl>
                  <c:pt idx="0">
                    <c:v>age 7-12</c:v>
                  </c:pt>
                  <c:pt idx="1">
                    <c:v>age 13-19</c:v>
                  </c:pt>
                  <c:pt idx="2">
                    <c:v>age 7-12</c:v>
                  </c:pt>
                  <c:pt idx="3">
                    <c:v>age 13-19</c:v>
                  </c:pt>
                </c:lvl>
                <c:lvl>
                  <c:pt idx="0">
                    <c:v>Male</c:v>
                  </c:pt>
                  <c:pt idx="2">
                    <c:v>Female</c:v>
                  </c:pt>
                </c:lvl>
              </c:multiLvlStrCache>
            </c:multiLvlStrRef>
          </c:cat>
          <c:val>
            <c:numRef>
              <c:f>'.doc].doc]Sheet1'!$B$8:$E$8</c:f>
              <c:numCache>
                <c:formatCode>0%</c:formatCode>
                <c:ptCount val="4"/>
                <c:pt idx="0">
                  <c:v>0.12000000000000001</c:v>
                </c:pt>
                <c:pt idx="1">
                  <c:v>9.0000000000000011E-2</c:v>
                </c:pt>
                <c:pt idx="2">
                  <c:v>3.0000000000000002E-2</c:v>
                </c:pt>
                <c:pt idx="3">
                  <c:v>7.0000000000000021E-2</c:v>
                </c:pt>
              </c:numCache>
            </c:numRef>
          </c:val>
        </c:ser>
        <c:ser>
          <c:idx val="2"/>
          <c:order val="2"/>
          <c:tx>
            <c:strRef>
              <c:f>'.doc].doc]Sheet1'!$A$9</c:f>
              <c:strCache>
                <c:ptCount val="1"/>
                <c:pt idx="0">
                  <c:v>Depression</c:v>
                </c:pt>
              </c:strCache>
            </c:strRef>
          </c:tx>
          <c:spPr>
            <a:solidFill>
              <a:srgbClr val="C0C0C0"/>
            </a:solidFill>
            <a:ln w="12703">
              <a:solidFill>
                <a:srgbClr val="000000"/>
              </a:solidFill>
              <a:prstDash val="solid"/>
            </a:ln>
          </c:spPr>
          <c:dLbls>
            <c:dLbl>
              <c:idx val="2"/>
              <c:layout>
                <c:manualLayout>
                  <c:xMode val="edge"/>
                  <c:yMode val="edge"/>
                  <c:x val="0.49041533546325883"/>
                  <c:y val="0.70710059171597628"/>
                </c:manualLayout>
              </c:layout>
              <c:tx>
                <c:rich>
                  <a:bodyPr/>
                  <a:lstStyle/>
                  <a:p>
                    <a:r>
                      <a:t>&lt;1%</a:t>
                    </a:r>
                  </a:p>
                </c:rich>
              </c:tx>
              <c:dLblPos val="outEnd"/>
            </c:dLbl>
            <c:spPr>
              <a:noFill/>
              <a:ln w="25406">
                <a:noFill/>
              </a:ln>
            </c:spPr>
            <c:txPr>
              <a:bodyPr/>
              <a:lstStyle/>
              <a:p>
                <a:pPr>
                  <a:defRPr sz="1050" b="0" i="0" u="none" strike="noStrike" baseline="0">
                    <a:solidFill>
                      <a:srgbClr val="000000"/>
                    </a:solidFill>
                    <a:latin typeface="Geneva"/>
                    <a:ea typeface="Geneva"/>
                    <a:cs typeface="Geneva"/>
                  </a:defRPr>
                </a:pPr>
                <a:endParaRPr lang="en-US"/>
              </a:p>
            </c:txPr>
            <c:showVal val="1"/>
          </c:dLbls>
          <c:cat>
            <c:multiLvlStrRef>
              <c:f>'.doc].doc]Sheet1'!$B$5:$E$6</c:f>
              <c:multiLvlStrCache>
                <c:ptCount val="4"/>
                <c:lvl>
                  <c:pt idx="0">
                    <c:v>age 7-12</c:v>
                  </c:pt>
                  <c:pt idx="1">
                    <c:v>age 13-19</c:v>
                  </c:pt>
                  <c:pt idx="2">
                    <c:v>age 7-12</c:v>
                  </c:pt>
                  <c:pt idx="3">
                    <c:v>age 13-19</c:v>
                  </c:pt>
                </c:lvl>
                <c:lvl>
                  <c:pt idx="0">
                    <c:v>Male</c:v>
                  </c:pt>
                  <c:pt idx="2">
                    <c:v>Female</c:v>
                  </c:pt>
                </c:lvl>
              </c:multiLvlStrCache>
            </c:multiLvlStrRef>
          </c:cat>
          <c:val>
            <c:numRef>
              <c:f>'.doc].doc]Sheet1'!$B$9:$E$9</c:f>
              <c:numCache>
                <c:formatCode>0%</c:formatCode>
                <c:ptCount val="4"/>
                <c:pt idx="0">
                  <c:v>2.0000000000000004E-2</c:v>
                </c:pt>
                <c:pt idx="1">
                  <c:v>0.05</c:v>
                </c:pt>
                <c:pt idx="2" formatCode="0.00%">
                  <c:v>4.5000000000000005E-3</c:v>
                </c:pt>
                <c:pt idx="3">
                  <c:v>8.0000000000000016E-2</c:v>
                </c:pt>
              </c:numCache>
            </c:numRef>
          </c:val>
        </c:ser>
        <c:axId val="200690304"/>
        <c:axId val="210391424"/>
      </c:barChart>
      <c:catAx>
        <c:axId val="200690304"/>
        <c:scaling>
          <c:orientation val="minMax"/>
        </c:scaling>
        <c:axPos val="b"/>
        <c:numFmt formatCode="General" sourceLinked="1"/>
        <c:tickLblPos val="nextTo"/>
        <c:spPr>
          <a:ln w="3176">
            <a:solidFill>
              <a:srgbClr val="000000"/>
            </a:solidFill>
            <a:prstDash val="solid"/>
          </a:ln>
        </c:spPr>
        <c:txPr>
          <a:bodyPr rot="0" vert="horz"/>
          <a:lstStyle/>
          <a:p>
            <a:pPr>
              <a:defRPr sz="1050" b="0" i="0" u="none" strike="noStrike" baseline="0">
                <a:solidFill>
                  <a:srgbClr val="000000"/>
                </a:solidFill>
                <a:latin typeface="Geneva"/>
                <a:ea typeface="Geneva"/>
                <a:cs typeface="Geneva"/>
              </a:defRPr>
            </a:pPr>
            <a:endParaRPr lang="en-US"/>
          </a:p>
        </c:txPr>
        <c:crossAx val="210391424"/>
        <c:crosses val="autoZero"/>
        <c:auto val="1"/>
        <c:lblAlgn val="ctr"/>
        <c:lblOffset val="100"/>
        <c:tickLblSkip val="1"/>
        <c:tickMarkSkip val="1"/>
      </c:catAx>
      <c:valAx>
        <c:axId val="210391424"/>
        <c:scaling>
          <c:orientation val="minMax"/>
          <c:max val="0.5"/>
        </c:scaling>
        <c:axPos val="l"/>
        <c:majorGridlines>
          <c:spPr>
            <a:ln w="3176">
              <a:solidFill>
                <a:srgbClr val="000000"/>
              </a:solidFill>
              <a:prstDash val="solid"/>
            </a:ln>
          </c:spPr>
        </c:majorGridlines>
        <c:numFmt formatCode="0%" sourceLinked="1"/>
        <c:tickLblPos val="nextTo"/>
        <c:spPr>
          <a:ln w="3176">
            <a:solidFill>
              <a:srgbClr val="000000"/>
            </a:solidFill>
            <a:prstDash val="solid"/>
          </a:ln>
        </c:spPr>
        <c:txPr>
          <a:bodyPr rot="0" vert="horz"/>
          <a:lstStyle/>
          <a:p>
            <a:pPr>
              <a:defRPr sz="1050" b="0" i="0" u="none" strike="noStrike" baseline="0">
                <a:solidFill>
                  <a:srgbClr val="000000"/>
                </a:solidFill>
                <a:latin typeface="Geneva"/>
                <a:ea typeface="Geneva"/>
                <a:cs typeface="Geneva"/>
              </a:defRPr>
            </a:pPr>
            <a:endParaRPr lang="en-US"/>
          </a:p>
        </c:txPr>
        <c:crossAx val="200690304"/>
        <c:crosses val="autoZero"/>
        <c:crossBetween val="between"/>
      </c:valAx>
      <c:spPr>
        <a:noFill/>
        <a:ln w="12703">
          <a:solidFill>
            <a:srgbClr val="808080"/>
          </a:solidFill>
          <a:prstDash val="solid"/>
        </a:ln>
      </c:spPr>
    </c:plotArea>
    <c:legend>
      <c:legendPos val="r"/>
      <c:layout>
        <c:manualLayout>
          <c:xMode val="edge"/>
          <c:yMode val="edge"/>
          <c:x val="0.7204472843450479"/>
          <c:y val="0.25443786982248534"/>
          <c:w val="0.27316293929712465"/>
          <c:h val="0.34911242603550297"/>
        </c:manualLayout>
      </c:layout>
      <c:spPr>
        <a:solidFill>
          <a:srgbClr val="FFFFFF"/>
        </a:solidFill>
        <a:ln w="3176">
          <a:solidFill>
            <a:srgbClr val="000000"/>
          </a:solidFill>
          <a:prstDash val="solid"/>
        </a:ln>
      </c:spPr>
      <c:txPr>
        <a:bodyPr/>
        <a:lstStyle/>
        <a:p>
          <a:pPr>
            <a:defRPr sz="965" b="0" i="0" u="none" strike="noStrike" baseline="0">
              <a:solidFill>
                <a:srgbClr val="000000"/>
              </a:solidFill>
              <a:latin typeface="Geneva"/>
              <a:ea typeface="Geneva"/>
              <a:cs typeface="Geneva"/>
            </a:defRPr>
          </a:pPr>
          <a:endParaRPr lang="en-US"/>
        </a:p>
      </c:txPr>
    </c:legend>
    <c:plotVisOnly val="1"/>
    <c:dispBlanksAs val="gap"/>
  </c:chart>
  <c:spPr>
    <a:solidFill>
      <a:srgbClr val="FFFFFF"/>
    </a:solidFill>
    <a:ln w="3176">
      <a:solidFill>
        <a:srgbClr val="000000"/>
      </a:solidFill>
      <a:prstDash val="solid"/>
    </a:ln>
  </c:spPr>
  <c:txPr>
    <a:bodyPr/>
    <a:lstStyle/>
    <a:p>
      <a:pPr>
        <a:defRPr sz="1050" b="0" i="0" u="none" strike="noStrike" baseline="0">
          <a:solidFill>
            <a:srgbClr val="000000"/>
          </a:solidFill>
          <a:latin typeface="Geneva"/>
          <a:ea typeface="Geneva"/>
          <a:cs typeface="Geneva"/>
        </a:defRPr>
      </a:pPr>
      <a:endParaRPr lang="en-US"/>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2125603864734303E-2"/>
          <c:y val="7.0234113712374563E-2"/>
          <c:w val="0.77616747181964563"/>
          <c:h val="0.79264214046822745"/>
        </c:manualLayout>
      </c:layout>
      <c:barChart>
        <c:barDir val="col"/>
        <c:grouping val="clustered"/>
        <c:ser>
          <c:idx val="0"/>
          <c:order val="0"/>
          <c:tx>
            <c:strRef>
              <c:f>'.doc].doc]Sheet1'!$A$60</c:f>
              <c:strCache>
                <c:ptCount val="1"/>
                <c:pt idx="0">
                  <c:v>Males</c:v>
                </c:pt>
              </c:strCache>
            </c:strRef>
          </c:tx>
          <c:spPr>
            <a:solidFill>
              <a:srgbClr val="333333"/>
            </a:solidFill>
            <a:ln w="11467">
              <a:solidFill>
                <a:srgbClr val="000000"/>
              </a:solidFill>
              <a:prstDash val="solid"/>
            </a:ln>
          </c:spPr>
          <c:dLbls>
            <c:spPr>
              <a:noFill/>
              <a:ln w="22934">
                <a:noFill/>
              </a:ln>
            </c:spPr>
            <c:txPr>
              <a:bodyPr/>
              <a:lstStyle/>
              <a:p>
                <a:pPr>
                  <a:defRPr sz="858" b="0" i="0" u="none" strike="noStrike" baseline="0">
                    <a:solidFill>
                      <a:srgbClr val="000000"/>
                    </a:solidFill>
                    <a:latin typeface="Verdana"/>
                    <a:ea typeface="Verdana"/>
                    <a:cs typeface="Verdana"/>
                  </a:defRPr>
                </a:pPr>
                <a:endParaRPr lang="en-US"/>
              </a:p>
            </c:txPr>
            <c:showVal val="1"/>
          </c:dLbls>
          <c:cat>
            <c:strRef>
              <c:f>'.doc].doc]Sheet1'!$B$59:$C$59</c:f>
              <c:strCache>
                <c:ptCount val="2"/>
                <c:pt idx="0">
                  <c:v>age 7-12</c:v>
                </c:pt>
                <c:pt idx="1">
                  <c:v>age 13-19</c:v>
                </c:pt>
              </c:strCache>
            </c:strRef>
          </c:cat>
          <c:val>
            <c:numRef>
              <c:f>'.doc].doc]Sheet1'!$B$60:$C$60</c:f>
              <c:numCache>
                <c:formatCode>0%</c:formatCode>
                <c:ptCount val="2"/>
                <c:pt idx="0">
                  <c:v>0.15000000000000002</c:v>
                </c:pt>
                <c:pt idx="1">
                  <c:v>0.2</c:v>
                </c:pt>
              </c:numCache>
            </c:numRef>
          </c:val>
        </c:ser>
        <c:ser>
          <c:idx val="1"/>
          <c:order val="1"/>
          <c:tx>
            <c:strRef>
              <c:f>'.doc].doc]Sheet1'!$A$61</c:f>
              <c:strCache>
                <c:ptCount val="1"/>
                <c:pt idx="0">
                  <c:v>Females</c:v>
                </c:pt>
              </c:strCache>
            </c:strRef>
          </c:tx>
          <c:spPr>
            <a:solidFill>
              <a:srgbClr val="C0C0C0"/>
            </a:solidFill>
            <a:ln w="11467">
              <a:solidFill>
                <a:srgbClr val="000000"/>
              </a:solidFill>
              <a:prstDash val="solid"/>
            </a:ln>
          </c:spPr>
          <c:dLbls>
            <c:spPr>
              <a:noFill/>
              <a:ln w="22934">
                <a:noFill/>
              </a:ln>
            </c:spPr>
            <c:txPr>
              <a:bodyPr/>
              <a:lstStyle/>
              <a:p>
                <a:pPr>
                  <a:defRPr sz="858" b="0" i="0" u="none" strike="noStrike" baseline="0">
                    <a:solidFill>
                      <a:srgbClr val="000000"/>
                    </a:solidFill>
                    <a:latin typeface="Verdana"/>
                    <a:ea typeface="Verdana"/>
                    <a:cs typeface="Verdana"/>
                  </a:defRPr>
                </a:pPr>
                <a:endParaRPr lang="en-US"/>
              </a:p>
            </c:txPr>
            <c:showVal val="1"/>
          </c:dLbls>
          <c:cat>
            <c:strRef>
              <c:f>'.doc].doc]Sheet1'!$B$59:$C$59</c:f>
              <c:strCache>
                <c:ptCount val="2"/>
                <c:pt idx="0">
                  <c:v>age 7-12</c:v>
                </c:pt>
                <c:pt idx="1">
                  <c:v>age 13-19</c:v>
                </c:pt>
              </c:strCache>
            </c:strRef>
          </c:cat>
          <c:val>
            <c:numRef>
              <c:f>'.doc].doc]Sheet1'!$B$61:$C$61</c:f>
              <c:numCache>
                <c:formatCode>0%</c:formatCode>
                <c:ptCount val="2"/>
                <c:pt idx="0">
                  <c:v>9.0000000000000011E-2</c:v>
                </c:pt>
                <c:pt idx="1">
                  <c:v>0.18000000000000002</c:v>
                </c:pt>
              </c:numCache>
            </c:numRef>
          </c:val>
        </c:ser>
        <c:dLbls>
          <c:showVal val="1"/>
        </c:dLbls>
        <c:axId val="123273984"/>
        <c:axId val="123275520"/>
      </c:barChart>
      <c:catAx>
        <c:axId val="123273984"/>
        <c:scaling>
          <c:orientation val="minMax"/>
        </c:scaling>
        <c:axPos val="b"/>
        <c:numFmt formatCode="General" sourceLinked="1"/>
        <c:tickLblPos val="nextTo"/>
        <c:spPr>
          <a:ln w="2867">
            <a:solidFill>
              <a:srgbClr val="000000"/>
            </a:solidFill>
            <a:prstDash val="solid"/>
          </a:ln>
        </c:spPr>
        <c:txPr>
          <a:bodyPr rot="0" vert="horz"/>
          <a:lstStyle/>
          <a:p>
            <a:pPr>
              <a:defRPr sz="858" b="0" i="0" u="none" strike="noStrike" baseline="0">
                <a:solidFill>
                  <a:srgbClr val="000000"/>
                </a:solidFill>
                <a:latin typeface="Verdana"/>
                <a:ea typeface="Verdana"/>
                <a:cs typeface="Verdana"/>
              </a:defRPr>
            </a:pPr>
            <a:endParaRPr lang="en-US"/>
          </a:p>
        </c:txPr>
        <c:crossAx val="123275520"/>
        <c:crosses val="autoZero"/>
        <c:auto val="1"/>
        <c:lblAlgn val="ctr"/>
        <c:lblOffset val="100"/>
        <c:tickLblSkip val="1"/>
        <c:tickMarkSkip val="1"/>
      </c:catAx>
      <c:valAx>
        <c:axId val="123275520"/>
        <c:scaling>
          <c:orientation val="minMax"/>
          <c:max val="0.5"/>
        </c:scaling>
        <c:axPos val="l"/>
        <c:majorGridlines>
          <c:spPr>
            <a:ln w="2867">
              <a:solidFill>
                <a:srgbClr val="000000"/>
              </a:solidFill>
              <a:prstDash val="solid"/>
            </a:ln>
          </c:spPr>
        </c:majorGridlines>
        <c:numFmt formatCode="0%" sourceLinked="1"/>
        <c:tickLblPos val="nextTo"/>
        <c:spPr>
          <a:ln w="2867">
            <a:solidFill>
              <a:srgbClr val="000000"/>
            </a:solidFill>
            <a:prstDash val="solid"/>
          </a:ln>
        </c:spPr>
        <c:txPr>
          <a:bodyPr rot="0" vert="horz"/>
          <a:lstStyle/>
          <a:p>
            <a:pPr>
              <a:defRPr sz="858" b="0" i="0" u="none" strike="noStrike" baseline="0">
                <a:solidFill>
                  <a:srgbClr val="000000"/>
                </a:solidFill>
                <a:latin typeface="Verdana"/>
                <a:ea typeface="Verdana"/>
                <a:cs typeface="Verdana"/>
              </a:defRPr>
            </a:pPr>
            <a:endParaRPr lang="en-US"/>
          </a:p>
        </c:txPr>
        <c:crossAx val="123273984"/>
        <c:crosses val="autoZero"/>
        <c:crossBetween val="between"/>
      </c:valAx>
      <c:spPr>
        <a:noFill/>
        <a:ln w="11467">
          <a:solidFill>
            <a:srgbClr val="808080"/>
          </a:solidFill>
          <a:prstDash val="solid"/>
        </a:ln>
      </c:spPr>
    </c:plotArea>
    <c:legend>
      <c:legendPos val="r"/>
      <c:layout>
        <c:manualLayout>
          <c:xMode val="edge"/>
          <c:yMode val="edge"/>
          <c:x val="0.87600644122383264"/>
          <c:y val="0.3946488294314382"/>
          <c:w val="0.1175523349436393"/>
          <c:h val="0.14381270903010035"/>
        </c:manualLayout>
      </c:layout>
      <c:spPr>
        <a:solidFill>
          <a:srgbClr val="FFFFFF"/>
        </a:solidFill>
        <a:ln w="2867">
          <a:solidFill>
            <a:srgbClr val="000000"/>
          </a:solidFill>
          <a:prstDash val="solid"/>
        </a:ln>
      </c:spPr>
      <c:txPr>
        <a:bodyPr/>
        <a:lstStyle/>
        <a:p>
          <a:pPr>
            <a:defRPr sz="786" b="0" i="0" u="none" strike="noStrike" baseline="0">
              <a:solidFill>
                <a:srgbClr val="000000"/>
              </a:solidFill>
              <a:latin typeface="Verdana"/>
              <a:ea typeface="Verdana"/>
              <a:cs typeface="Verdana"/>
            </a:defRPr>
          </a:pPr>
          <a:endParaRPr lang="en-US"/>
        </a:p>
      </c:txPr>
    </c:legend>
    <c:plotVisOnly val="1"/>
    <c:dispBlanksAs val="gap"/>
  </c:chart>
  <c:spPr>
    <a:solidFill>
      <a:srgbClr val="FFFFFF"/>
    </a:solidFill>
    <a:ln w="2867">
      <a:solidFill>
        <a:srgbClr val="000000"/>
      </a:solidFill>
      <a:prstDash val="solid"/>
    </a:ln>
  </c:spPr>
  <c:txPr>
    <a:bodyPr/>
    <a:lstStyle/>
    <a:p>
      <a:pPr>
        <a:defRPr sz="858" b="0" i="0" u="none" strike="noStrike" baseline="0">
          <a:solidFill>
            <a:srgbClr val="000000"/>
          </a:solidFill>
          <a:latin typeface="Verdana"/>
          <a:ea typeface="Verdana"/>
          <a:cs typeface="Verdana"/>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2125603864734303E-2"/>
          <c:y val="7.0234113712374563E-2"/>
          <c:w val="0.7584541062801935"/>
          <c:h val="0.70234113712374591"/>
        </c:manualLayout>
      </c:layout>
      <c:barChart>
        <c:barDir val="col"/>
        <c:grouping val="clustered"/>
        <c:ser>
          <c:idx val="0"/>
          <c:order val="0"/>
          <c:tx>
            <c:strRef>
              <c:f>'.doc].doc]Sheet1'!$A$9</c:f>
              <c:strCache>
                <c:ptCount val="1"/>
                <c:pt idx="0">
                  <c:v>Baseline</c:v>
                </c:pt>
              </c:strCache>
            </c:strRef>
          </c:tx>
          <c:spPr>
            <a:solidFill>
              <a:srgbClr val="333333"/>
            </a:solidFill>
            <a:ln w="11467">
              <a:solidFill>
                <a:srgbClr val="000000"/>
              </a:solidFill>
              <a:prstDash val="solid"/>
            </a:ln>
          </c:spPr>
          <c:dLbls>
            <c:spPr>
              <a:noFill/>
              <a:ln w="22934">
                <a:noFill/>
              </a:ln>
            </c:spPr>
            <c:txPr>
              <a:bodyPr/>
              <a:lstStyle/>
              <a:p>
                <a:pPr>
                  <a:defRPr sz="858" b="0" i="0" u="none" strike="noStrike" baseline="0">
                    <a:solidFill>
                      <a:srgbClr val="000000"/>
                    </a:solidFill>
                    <a:latin typeface="Verdana"/>
                    <a:ea typeface="Verdana"/>
                    <a:cs typeface="Verdana"/>
                  </a:defRPr>
                </a:pPr>
                <a:endParaRPr lang="en-US"/>
              </a:p>
            </c:txPr>
            <c:showVal val="1"/>
          </c:dLbls>
          <c:cat>
            <c:multiLvlStrRef>
              <c:f>'.doc].doc]Sheet1'!$B$7:$E$8</c:f>
              <c:multiLvlStrCache>
                <c:ptCount val="4"/>
                <c:lvl>
                  <c:pt idx="0">
                    <c:v>Age 7-12</c:v>
                  </c:pt>
                  <c:pt idx="1">
                    <c:v>Age 13-19</c:v>
                  </c:pt>
                  <c:pt idx="2">
                    <c:v>Age 7-12</c:v>
                  </c:pt>
                  <c:pt idx="3">
                    <c:v>Age 13-19</c:v>
                  </c:pt>
                </c:lvl>
                <c:lvl>
                  <c:pt idx="0">
                    <c:v>Males</c:v>
                  </c:pt>
                  <c:pt idx="2">
                    <c:v>Females</c:v>
                  </c:pt>
                </c:lvl>
              </c:multiLvlStrCache>
            </c:multiLvlStrRef>
          </c:cat>
          <c:val>
            <c:numRef>
              <c:f>'.doc].doc]Sheet1'!$B$9:$E$9</c:f>
              <c:numCache>
                <c:formatCode>0%</c:formatCode>
                <c:ptCount val="4"/>
                <c:pt idx="0">
                  <c:v>7.0000000000000021E-2</c:v>
                </c:pt>
                <c:pt idx="1">
                  <c:v>9.0000000000000011E-2</c:v>
                </c:pt>
                <c:pt idx="2">
                  <c:v>6.0000000000000005E-2</c:v>
                </c:pt>
                <c:pt idx="3">
                  <c:v>8.0000000000000016E-2</c:v>
                </c:pt>
              </c:numCache>
            </c:numRef>
          </c:val>
        </c:ser>
        <c:ser>
          <c:idx val="1"/>
          <c:order val="1"/>
          <c:tx>
            <c:strRef>
              <c:f>'.doc].doc]Sheet1'!$A$10</c:f>
              <c:strCache>
                <c:ptCount val="1"/>
                <c:pt idx="0">
                  <c:v>Follow-up</c:v>
                </c:pt>
              </c:strCache>
            </c:strRef>
          </c:tx>
          <c:spPr>
            <a:solidFill>
              <a:srgbClr val="C0C0C0"/>
            </a:solidFill>
            <a:ln w="11467">
              <a:solidFill>
                <a:srgbClr val="000000"/>
              </a:solidFill>
              <a:prstDash val="solid"/>
            </a:ln>
          </c:spPr>
          <c:dLbls>
            <c:spPr>
              <a:noFill/>
              <a:ln w="22934">
                <a:noFill/>
              </a:ln>
            </c:spPr>
            <c:txPr>
              <a:bodyPr/>
              <a:lstStyle/>
              <a:p>
                <a:pPr>
                  <a:defRPr sz="858" b="0" i="0" u="none" strike="noStrike" baseline="0">
                    <a:solidFill>
                      <a:srgbClr val="000000"/>
                    </a:solidFill>
                    <a:latin typeface="Verdana"/>
                    <a:ea typeface="Verdana"/>
                    <a:cs typeface="Verdana"/>
                  </a:defRPr>
                </a:pPr>
                <a:endParaRPr lang="en-US"/>
              </a:p>
            </c:txPr>
            <c:showVal val="1"/>
          </c:dLbls>
          <c:cat>
            <c:multiLvlStrRef>
              <c:f>'.doc].doc]Sheet1'!$B$7:$E$8</c:f>
              <c:multiLvlStrCache>
                <c:ptCount val="4"/>
                <c:lvl>
                  <c:pt idx="0">
                    <c:v>Age 7-12</c:v>
                  </c:pt>
                  <c:pt idx="1">
                    <c:v>Age 13-19</c:v>
                  </c:pt>
                  <c:pt idx="2">
                    <c:v>Age 7-12</c:v>
                  </c:pt>
                  <c:pt idx="3">
                    <c:v>Age 13-19</c:v>
                  </c:pt>
                </c:lvl>
                <c:lvl>
                  <c:pt idx="0">
                    <c:v>Males</c:v>
                  </c:pt>
                  <c:pt idx="2">
                    <c:v>Females</c:v>
                  </c:pt>
                </c:lvl>
              </c:multiLvlStrCache>
            </c:multiLvlStrRef>
          </c:cat>
          <c:val>
            <c:numRef>
              <c:f>'.doc].doc]Sheet1'!$B$10:$E$10</c:f>
              <c:numCache>
                <c:formatCode>0%</c:formatCode>
                <c:ptCount val="4"/>
                <c:pt idx="0">
                  <c:v>2.0000000000000004E-2</c:v>
                </c:pt>
                <c:pt idx="1">
                  <c:v>2.0000000000000004E-2</c:v>
                </c:pt>
                <c:pt idx="2">
                  <c:v>1.0000000000000002E-2</c:v>
                </c:pt>
                <c:pt idx="3">
                  <c:v>2.0000000000000004E-2</c:v>
                </c:pt>
              </c:numCache>
            </c:numRef>
          </c:val>
        </c:ser>
        <c:dLbls>
          <c:showVal val="1"/>
        </c:dLbls>
        <c:axId val="95787264"/>
        <c:axId val="95789056"/>
      </c:barChart>
      <c:catAx>
        <c:axId val="95787264"/>
        <c:scaling>
          <c:orientation val="minMax"/>
        </c:scaling>
        <c:axPos val="b"/>
        <c:numFmt formatCode="General" sourceLinked="1"/>
        <c:tickLblPos val="nextTo"/>
        <c:spPr>
          <a:ln w="2867">
            <a:solidFill>
              <a:srgbClr val="000000"/>
            </a:solidFill>
            <a:prstDash val="solid"/>
          </a:ln>
        </c:spPr>
        <c:txPr>
          <a:bodyPr rot="0" vert="horz"/>
          <a:lstStyle/>
          <a:p>
            <a:pPr>
              <a:defRPr sz="858" b="0" i="0" u="none" strike="noStrike" baseline="0">
                <a:solidFill>
                  <a:srgbClr val="000000"/>
                </a:solidFill>
                <a:latin typeface="Verdana"/>
                <a:ea typeface="Verdana"/>
                <a:cs typeface="Verdana"/>
              </a:defRPr>
            </a:pPr>
            <a:endParaRPr lang="en-US"/>
          </a:p>
        </c:txPr>
        <c:crossAx val="95789056"/>
        <c:crosses val="autoZero"/>
        <c:auto val="1"/>
        <c:lblAlgn val="ctr"/>
        <c:lblOffset val="100"/>
        <c:tickLblSkip val="1"/>
        <c:tickMarkSkip val="1"/>
      </c:catAx>
      <c:valAx>
        <c:axId val="95789056"/>
        <c:scaling>
          <c:orientation val="minMax"/>
          <c:max val="0.5"/>
        </c:scaling>
        <c:axPos val="l"/>
        <c:majorGridlines>
          <c:spPr>
            <a:ln w="2867">
              <a:solidFill>
                <a:srgbClr val="000000"/>
              </a:solidFill>
              <a:prstDash val="solid"/>
            </a:ln>
          </c:spPr>
        </c:majorGridlines>
        <c:numFmt formatCode="0%" sourceLinked="1"/>
        <c:tickLblPos val="nextTo"/>
        <c:spPr>
          <a:ln w="2867">
            <a:solidFill>
              <a:srgbClr val="000000"/>
            </a:solidFill>
            <a:prstDash val="solid"/>
          </a:ln>
        </c:spPr>
        <c:txPr>
          <a:bodyPr rot="0" vert="horz"/>
          <a:lstStyle/>
          <a:p>
            <a:pPr>
              <a:defRPr sz="858" b="0" i="0" u="none" strike="noStrike" baseline="0">
                <a:solidFill>
                  <a:srgbClr val="000000"/>
                </a:solidFill>
                <a:latin typeface="Verdana"/>
                <a:ea typeface="Verdana"/>
                <a:cs typeface="Verdana"/>
              </a:defRPr>
            </a:pPr>
            <a:endParaRPr lang="en-US"/>
          </a:p>
        </c:txPr>
        <c:crossAx val="95787264"/>
        <c:crosses val="autoZero"/>
        <c:crossBetween val="between"/>
      </c:valAx>
      <c:spPr>
        <a:noFill/>
        <a:ln w="11467">
          <a:solidFill>
            <a:srgbClr val="808080"/>
          </a:solidFill>
          <a:prstDash val="solid"/>
        </a:ln>
      </c:spPr>
    </c:plotArea>
    <c:legend>
      <c:legendPos val="r"/>
      <c:layout>
        <c:manualLayout>
          <c:xMode val="edge"/>
          <c:yMode val="edge"/>
          <c:x val="0.85829307568438029"/>
          <c:y val="0.35117056856187295"/>
          <c:w val="0.13526570048309181"/>
          <c:h val="0.14381270903010035"/>
        </c:manualLayout>
      </c:layout>
      <c:spPr>
        <a:solidFill>
          <a:srgbClr val="FFFFFF"/>
        </a:solidFill>
        <a:ln w="2867">
          <a:solidFill>
            <a:srgbClr val="000000"/>
          </a:solidFill>
          <a:prstDash val="solid"/>
        </a:ln>
      </c:spPr>
      <c:txPr>
        <a:bodyPr/>
        <a:lstStyle/>
        <a:p>
          <a:pPr>
            <a:defRPr sz="786" b="0" i="0" u="none" strike="noStrike" baseline="0">
              <a:solidFill>
                <a:srgbClr val="000000"/>
              </a:solidFill>
              <a:latin typeface="Verdana"/>
              <a:ea typeface="Verdana"/>
              <a:cs typeface="Verdana"/>
            </a:defRPr>
          </a:pPr>
          <a:endParaRPr lang="en-US"/>
        </a:p>
      </c:txPr>
    </c:legend>
    <c:plotVisOnly val="1"/>
    <c:dispBlanksAs val="gap"/>
  </c:chart>
  <c:spPr>
    <a:solidFill>
      <a:srgbClr val="FFFFFF"/>
    </a:solidFill>
    <a:ln w="2867">
      <a:solidFill>
        <a:srgbClr val="000000"/>
      </a:solidFill>
      <a:prstDash val="solid"/>
    </a:ln>
  </c:spPr>
  <c:txPr>
    <a:bodyPr/>
    <a:lstStyle/>
    <a:p>
      <a:pPr>
        <a:defRPr sz="858" b="0" i="0" u="none" strike="noStrike" baseline="0">
          <a:solidFill>
            <a:srgbClr val="000000"/>
          </a:solidFill>
          <a:latin typeface="Verdana"/>
          <a:ea typeface="Verdana"/>
          <a:cs typeface="Verdana"/>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50" b="1" i="1" u="none" strike="noStrike" baseline="0">
                <a:solidFill>
                  <a:srgbClr val="000000"/>
                </a:solidFill>
                <a:latin typeface="Arial"/>
                <a:ea typeface="Arial"/>
                <a:cs typeface="Arial"/>
              </a:defRPr>
            </a:pPr>
            <a:r>
              <a:rPr lang="en-US" sz="1250" b="1" i="1" strike="noStrike">
                <a:solidFill>
                  <a:srgbClr val="000000"/>
                </a:solidFill>
                <a:latin typeface="Arial"/>
                <a:cs typeface="Arial"/>
              </a:rPr>
              <a:t>hawk-i </a:t>
            </a:r>
            <a:r>
              <a:rPr lang="en-US" sz="1250" b="1" i="0" strike="noStrike">
                <a:solidFill>
                  <a:srgbClr val="000000"/>
                </a:solidFill>
                <a:latin typeface="Arial"/>
                <a:cs typeface="Arial"/>
              </a:rPr>
              <a:t>Enrollee Demographic Summary Federal Poverty Level</a:t>
            </a:r>
          </a:p>
          <a:p>
            <a:pPr>
              <a:defRPr sz="1250" b="1" i="1" u="none" strike="noStrike" baseline="0">
                <a:solidFill>
                  <a:srgbClr val="000000"/>
                </a:solidFill>
                <a:latin typeface="Arial"/>
                <a:ea typeface="Arial"/>
                <a:cs typeface="Arial"/>
              </a:defRPr>
            </a:pPr>
            <a:r>
              <a:rPr lang="en-US" sz="1275" b="1" i="0" strike="noStrike">
                <a:solidFill>
                  <a:srgbClr val="000000"/>
                </a:solidFill>
                <a:latin typeface="Arial"/>
                <a:cs typeface="Arial"/>
              </a:rPr>
              <a:t>November 30, 2003</a:t>
            </a:r>
          </a:p>
        </c:rich>
      </c:tx>
      <c:layout>
        <c:manualLayout>
          <c:xMode val="edge"/>
          <c:yMode val="edge"/>
          <c:x val="0.18908629441624375"/>
          <c:y val="1.9461077844311385E-2"/>
        </c:manualLayout>
      </c:layout>
      <c:spPr>
        <a:noFill/>
        <a:ln w="25391">
          <a:noFill/>
        </a:ln>
      </c:spPr>
    </c:title>
    <c:view3D>
      <c:hPercent val="75"/>
      <c:depthPercent val="100"/>
      <c:rAngAx val="1"/>
    </c:view3D>
    <c:floor>
      <c:spPr>
        <a:solidFill>
          <a:srgbClr val="969696"/>
        </a:solidFill>
        <a:ln w="3175">
          <a:solidFill>
            <a:srgbClr val="000000"/>
          </a:solidFill>
          <a:prstDash val="solid"/>
        </a:ln>
      </c:spPr>
    </c:floor>
    <c:sideWall>
      <c:spPr>
        <a:solidFill>
          <a:srgbClr val="C0C0C0"/>
        </a:solidFill>
        <a:ln w="12700">
          <a:solidFill>
            <a:srgbClr val="C0C0C0"/>
          </a:solidFill>
          <a:prstDash val="solid"/>
        </a:ln>
      </c:spPr>
    </c:sideWall>
    <c:backWall>
      <c:spPr>
        <a:solidFill>
          <a:srgbClr val="C0C0C0"/>
        </a:solidFill>
        <a:ln w="12700">
          <a:solidFill>
            <a:srgbClr val="C0C0C0"/>
          </a:solidFill>
          <a:prstDash val="solid"/>
        </a:ln>
      </c:spPr>
    </c:backWall>
    <c:plotArea>
      <c:layout>
        <c:manualLayout>
          <c:layoutTarget val="inner"/>
          <c:xMode val="edge"/>
          <c:yMode val="edge"/>
          <c:x val="0.11294416243654823"/>
          <c:y val="0.13323353293413173"/>
          <c:w val="0.87944162436548245"/>
          <c:h val="0.70508982035928169"/>
        </c:manualLayout>
      </c:layout>
      <c:bar3DChart>
        <c:barDir val="col"/>
        <c:grouping val="clustered"/>
        <c:ser>
          <c:idx val="0"/>
          <c:order val="0"/>
          <c:spPr>
            <a:solidFill>
              <a:srgbClr val="9999FF"/>
            </a:solidFill>
            <a:ln w="25391">
              <a:solidFill>
                <a:srgbClr val="FFFFFF"/>
              </a:solidFill>
              <a:prstDash val="solid"/>
            </a:ln>
          </c:spPr>
          <c:dPt>
            <c:idx val="1"/>
            <c:spPr>
              <a:solidFill>
                <a:srgbClr val="FF0000"/>
              </a:solidFill>
              <a:ln w="25391">
                <a:solidFill>
                  <a:srgbClr val="FFFFFF"/>
                </a:solidFill>
                <a:prstDash val="solid"/>
              </a:ln>
            </c:spPr>
          </c:dPt>
          <c:dPt>
            <c:idx val="2"/>
            <c:spPr>
              <a:solidFill>
                <a:srgbClr val="339966"/>
              </a:solidFill>
              <a:ln w="25391">
                <a:solidFill>
                  <a:srgbClr val="FFFFFF"/>
                </a:solidFill>
                <a:prstDash val="solid"/>
              </a:ln>
            </c:spPr>
          </c:dPt>
          <c:dPt>
            <c:idx val="3"/>
            <c:spPr>
              <a:solidFill>
                <a:srgbClr val="FF6600"/>
              </a:solidFill>
              <a:ln w="25391">
                <a:solidFill>
                  <a:srgbClr val="FFFFFF"/>
                </a:solidFill>
                <a:prstDash val="solid"/>
              </a:ln>
            </c:spPr>
          </c:dPt>
          <c:dPt>
            <c:idx val="4"/>
            <c:spPr>
              <a:solidFill>
                <a:srgbClr val="000080"/>
              </a:solidFill>
              <a:ln w="25391">
                <a:solidFill>
                  <a:srgbClr val="FFFFFF"/>
                </a:solidFill>
                <a:prstDash val="solid"/>
              </a:ln>
            </c:spPr>
          </c:dPt>
          <c:dPt>
            <c:idx val="5"/>
            <c:spPr>
              <a:solidFill>
                <a:srgbClr val="FFFF00"/>
              </a:solidFill>
              <a:ln w="25391">
                <a:solidFill>
                  <a:srgbClr val="FFFFFF"/>
                </a:solidFill>
                <a:prstDash val="solid"/>
              </a:ln>
            </c:spPr>
          </c:dPt>
          <c:dPt>
            <c:idx val="6"/>
            <c:spPr>
              <a:solidFill>
                <a:srgbClr val="993366"/>
              </a:solidFill>
              <a:ln w="25391">
                <a:solidFill>
                  <a:srgbClr val="FFFFFF"/>
                </a:solidFill>
                <a:prstDash val="solid"/>
              </a:ln>
            </c:spPr>
          </c:dPt>
          <c:dPt>
            <c:idx val="7"/>
            <c:spPr>
              <a:solidFill>
                <a:srgbClr val="969696"/>
              </a:solidFill>
              <a:ln w="25391">
                <a:solidFill>
                  <a:srgbClr val="FFFFFF"/>
                </a:solidFill>
                <a:prstDash val="solid"/>
              </a:ln>
            </c:spPr>
          </c:dPt>
          <c:dLbls>
            <c:dLbl>
              <c:idx val="0"/>
              <c:layout>
                <c:manualLayout>
                  <c:xMode val="edge"/>
                  <c:yMode val="edge"/>
                  <c:x val="0.19289340101522845"/>
                  <c:y val="0.5"/>
                </c:manualLayout>
              </c:layout>
              <c:tx>
                <c:rich>
                  <a:bodyPr/>
                  <a:lstStyle/>
                  <a:p>
                    <a:r>
                      <a:t>1139</a:t>
                    </a:r>
                  </a:p>
                </c:rich>
              </c:tx>
            </c:dLbl>
            <c:dLbl>
              <c:idx val="1"/>
              <c:layout>
                <c:manualLayout>
                  <c:xMode val="edge"/>
                  <c:yMode val="edge"/>
                  <c:x val="0.2766497461928934"/>
                  <c:y val="0.3233532934131737"/>
                </c:manualLayout>
              </c:layout>
              <c:showVal val="1"/>
            </c:dLbl>
            <c:dLbl>
              <c:idx val="2"/>
              <c:layout>
                <c:manualLayout>
                  <c:xMode val="edge"/>
                  <c:yMode val="edge"/>
                  <c:x val="0.36421319796954327"/>
                  <c:y val="0.20359281437125748"/>
                </c:manualLayout>
              </c:layout>
              <c:showVal val="1"/>
            </c:dLbl>
            <c:dLbl>
              <c:idx val="3"/>
              <c:layout>
                <c:manualLayout>
                  <c:xMode val="edge"/>
                  <c:yMode val="edge"/>
                  <c:x val="0.44670050761421326"/>
                  <c:y val="0.34131736526946127"/>
                </c:manualLayout>
              </c:layout>
              <c:showVal val="1"/>
            </c:dLbl>
            <c:dLbl>
              <c:idx val="4"/>
              <c:layout>
                <c:manualLayout>
                  <c:xMode val="edge"/>
                  <c:yMode val="edge"/>
                  <c:x val="0.53172588832487333"/>
                  <c:y val="0.39371257485029948"/>
                </c:manualLayout>
              </c:layout>
              <c:showVal val="1"/>
            </c:dLbl>
            <c:dLbl>
              <c:idx val="5"/>
              <c:layout>
                <c:manualLayout>
                  <c:xMode val="edge"/>
                  <c:yMode val="edge"/>
                  <c:x val="0.61928934010152281"/>
                  <c:y val="0.49700598802395213"/>
                </c:manualLayout>
              </c:layout>
              <c:showVal val="1"/>
            </c:dLbl>
            <c:dLbl>
              <c:idx val="6"/>
              <c:layout>
                <c:manualLayout>
                  <c:xMode val="edge"/>
                  <c:yMode val="edge"/>
                  <c:x val="0.70304568527918809"/>
                  <c:y val="0.5359281437125748"/>
                </c:manualLayout>
              </c:layout>
              <c:showVal val="1"/>
            </c:dLbl>
            <c:dLbl>
              <c:idx val="7"/>
              <c:layout>
                <c:manualLayout>
                  <c:xMode val="edge"/>
                  <c:yMode val="edge"/>
                  <c:x val="0.79187817258883275"/>
                  <c:y val="0.58982035928143717"/>
                </c:manualLayout>
              </c:layout>
              <c:showVal val="1"/>
            </c:dLbl>
            <c:dLbl>
              <c:idx val="8"/>
              <c:layout>
                <c:manualLayout>
                  <c:xMode val="edge"/>
                  <c:yMode val="edge"/>
                  <c:x val="0.88324873096446699"/>
                  <c:y val="0.75000000000000011"/>
                </c:manualLayout>
              </c:layout>
              <c:showVal val="1"/>
            </c:dLbl>
            <c:spPr>
              <a:noFill/>
              <a:ln w="25391">
                <a:noFill/>
              </a:ln>
            </c:spPr>
            <c:txPr>
              <a:bodyPr/>
              <a:lstStyle/>
              <a:p>
                <a:pPr>
                  <a:defRPr sz="950" b="1" i="0" u="none" strike="noStrike" baseline="0">
                    <a:solidFill>
                      <a:srgbClr val="000000"/>
                    </a:solidFill>
                    <a:latin typeface="Arial"/>
                    <a:ea typeface="Arial"/>
                    <a:cs typeface="Arial"/>
                  </a:defRPr>
                </a:pPr>
                <a:endParaRPr lang="en-US"/>
              </a:p>
            </c:txPr>
            <c:showVal val="1"/>
          </c:dLbls>
          <c:cat>
            <c:strRef>
              <c:f>'Poverty Level'!$A$1:$I$1</c:f>
              <c:strCache>
                <c:ptCount val="9"/>
                <c:pt idx="0">
                  <c:v>&lt; 133</c:v>
                </c:pt>
                <c:pt idx="1">
                  <c:v>133 to 140</c:v>
                </c:pt>
                <c:pt idx="2">
                  <c:v>141 to 150</c:v>
                </c:pt>
                <c:pt idx="3">
                  <c:v>151 - 160</c:v>
                </c:pt>
                <c:pt idx="4">
                  <c:v>161 - 170</c:v>
                </c:pt>
                <c:pt idx="5">
                  <c:v>171 - 180</c:v>
                </c:pt>
                <c:pt idx="6">
                  <c:v>181 - 190</c:v>
                </c:pt>
                <c:pt idx="7">
                  <c:v>191 - 200</c:v>
                </c:pt>
                <c:pt idx="8">
                  <c:v>&gt; 200</c:v>
                </c:pt>
              </c:strCache>
            </c:strRef>
          </c:cat>
          <c:val>
            <c:numRef>
              <c:f>'Poverty Level'!$A$2:$I$2</c:f>
              <c:numCache>
                <c:formatCode>General</c:formatCode>
                <c:ptCount val="9"/>
                <c:pt idx="0">
                  <c:v>1562</c:v>
                </c:pt>
                <c:pt idx="1">
                  <c:v>2671</c:v>
                </c:pt>
                <c:pt idx="2">
                  <c:v>3271</c:v>
                </c:pt>
                <c:pt idx="3">
                  <c:v>2436</c:v>
                </c:pt>
                <c:pt idx="4">
                  <c:v>2037</c:v>
                </c:pt>
                <c:pt idx="5">
                  <c:v>1575</c:v>
                </c:pt>
                <c:pt idx="6">
                  <c:v>1300</c:v>
                </c:pt>
                <c:pt idx="7">
                  <c:v>877</c:v>
                </c:pt>
                <c:pt idx="8">
                  <c:v>-9</c:v>
                </c:pt>
              </c:numCache>
            </c:numRef>
          </c:val>
        </c:ser>
        <c:dLbls>
          <c:showVal val="1"/>
        </c:dLbls>
        <c:shape val="box"/>
        <c:axId val="95750784"/>
        <c:axId val="95752960"/>
        <c:axId val="0"/>
      </c:bar3DChart>
      <c:catAx>
        <c:axId val="95750784"/>
        <c:scaling>
          <c:orientation val="minMax"/>
        </c:scaling>
        <c:axPos val="b"/>
        <c:title>
          <c:tx>
            <c:rich>
              <a:bodyPr/>
              <a:lstStyle/>
              <a:p>
                <a:pPr>
                  <a:defRPr sz="1150" b="1" i="0" u="none" strike="noStrike" baseline="0">
                    <a:solidFill>
                      <a:srgbClr val="000000"/>
                    </a:solidFill>
                    <a:latin typeface="Arial"/>
                    <a:ea typeface="Arial"/>
                    <a:cs typeface="Arial"/>
                  </a:defRPr>
                </a:pPr>
                <a:r>
                  <a:t>Poverty Level</a:t>
                </a:r>
              </a:p>
            </c:rich>
          </c:tx>
          <c:layout>
            <c:manualLayout>
              <c:xMode val="edge"/>
              <c:yMode val="edge"/>
              <c:x val="0.47335025380710666"/>
              <c:y val="0.94610778443113763"/>
            </c:manualLayout>
          </c:layout>
          <c:spPr>
            <a:noFill/>
            <a:ln w="25391">
              <a:noFill/>
            </a:ln>
          </c:spPr>
        </c:title>
        <c:numFmt formatCode="General" sourceLinked="1"/>
        <c:tickLblPos val="low"/>
        <c:spPr>
          <a:ln w="3174">
            <a:solidFill>
              <a:srgbClr val="000000"/>
            </a:solidFill>
            <a:prstDash val="solid"/>
          </a:ln>
        </c:spPr>
        <c:txPr>
          <a:bodyPr rot="-4680000" vert="horz"/>
          <a:lstStyle/>
          <a:p>
            <a:pPr>
              <a:defRPr sz="950" b="1" i="0" u="none" strike="noStrike" baseline="0">
                <a:solidFill>
                  <a:srgbClr val="000000"/>
                </a:solidFill>
                <a:latin typeface="Arial"/>
                <a:ea typeface="Arial"/>
                <a:cs typeface="Arial"/>
              </a:defRPr>
            </a:pPr>
            <a:endParaRPr lang="en-US"/>
          </a:p>
        </c:txPr>
        <c:crossAx val="95752960"/>
        <c:crosses val="autoZero"/>
        <c:auto val="1"/>
        <c:lblAlgn val="ctr"/>
        <c:lblOffset val="100"/>
        <c:tickLblSkip val="1"/>
        <c:tickMarkSkip val="1"/>
      </c:catAx>
      <c:valAx>
        <c:axId val="95752960"/>
        <c:scaling>
          <c:orientation val="minMax"/>
          <c:min val="-10"/>
        </c:scaling>
        <c:axPos val="l"/>
        <c:majorGridlines>
          <c:spPr>
            <a:ln w="3174">
              <a:solidFill>
                <a:srgbClr val="000000"/>
              </a:solidFill>
              <a:prstDash val="solid"/>
            </a:ln>
          </c:spPr>
        </c:majorGridlines>
        <c:title>
          <c:tx>
            <c:rich>
              <a:bodyPr/>
              <a:lstStyle/>
              <a:p>
                <a:pPr>
                  <a:defRPr sz="1150" b="1" i="0" u="none" strike="noStrike" baseline="0">
                    <a:solidFill>
                      <a:srgbClr val="000000"/>
                    </a:solidFill>
                    <a:latin typeface="Arial"/>
                    <a:ea typeface="Arial"/>
                    <a:cs typeface="Arial"/>
                  </a:defRPr>
                </a:pPr>
                <a:r>
                  <a:t>Enrollees</a:t>
                </a:r>
              </a:p>
            </c:rich>
          </c:tx>
          <c:layout>
            <c:manualLayout>
              <c:xMode val="edge"/>
              <c:yMode val="edge"/>
              <c:x val="6.2182741116751289E-2"/>
              <c:y val="0.44461077844311375"/>
            </c:manualLayout>
          </c:layout>
          <c:spPr>
            <a:noFill/>
            <a:ln w="25391">
              <a:noFill/>
            </a:ln>
          </c:spPr>
        </c:title>
        <c:numFmt formatCode="General" sourceLinked="1"/>
        <c:tickLblPos val="nextTo"/>
        <c:spPr>
          <a:ln w="3174">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95750784"/>
        <c:crosses val="autoZero"/>
        <c:crossBetween val="between"/>
        <c:majorUnit val="1000"/>
        <c:minorUnit val="200"/>
      </c:valAx>
      <c:spPr>
        <a:noFill/>
        <a:ln w="25391">
          <a:noFill/>
        </a:ln>
      </c:spPr>
    </c:plotArea>
    <c:plotVisOnly val="1"/>
    <c:dispBlanksAs val="gap"/>
  </c:chart>
  <c:spPr>
    <a:solidFill>
      <a:srgbClr val="FFFFFF"/>
    </a:solidFill>
    <a:ln w="3174">
      <a:solidFill>
        <a:srgbClr val="000000"/>
      </a:solidFill>
      <a:prstDash val="solid"/>
    </a:ln>
  </c:spPr>
  <c:txPr>
    <a:bodyPr/>
    <a:lstStyle/>
    <a:p>
      <a:pPr>
        <a:defRPr sz="2124" b="0" i="0" u="none" strike="noStrike" baseline="0">
          <a:solidFill>
            <a:srgbClr val="000000"/>
          </a:solidFill>
          <a:latin typeface="Arial"/>
          <a:ea typeface="Arial"/>
          <a:cs typeface="Aria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544" b="1" i="1" u="none" strike="noStrike" baseline="0">
                <a:solidFill>
                  <a:srgbClr val="000000"/>
                </a:solidFill>
                <a:latin typeface="Arial"/>
                <a:ea typeface="Arial"/>
                <a:cs typeface="Arial"/>
              </a:defRPr>
            </a:pPr>
            <a:r>
              <a:rPr lang="en-US" sz="1347" b="1" i="1" strike="noStrike">
                <a:solidFill>
                  <a:srgbClr val="000000"/>
                </a:solidFill>
                <a:latin typeface="Arial"/>
                <a:cs typeface="Arial"/>
              </a:rPr>
              <a:t>hawk-i</a:t>
            </a:r>
            <a:r>
              <a:rPr lang="en-US" sz="1347" b="1" i="0" strike="noStrike">
                <a:solidFill>
                  <a:srgbClr val="000000"/>
                </a:solidFill>
                <a:latin typeface="Arial"/>
                <a:cs typeface="Arial"/>
              </a:rPr>
              <a:t> Enrollee Demographic Summary by Age</a:t>
            </a:r>
          </a:p>
          <a:p>
            <a:pPr>
              <a:defRPr sz="1544" b="1" i="1" u="none" strike="noStrike" baseline="0">
                <a:solidFill>
                  <a:srgbClr val="000000"/>
                </a:solidFill>
                <a:latin typeface="Arial"/>
                <a:ea typeface="Arial"/>
                <a:cs typeface="Arial"/>
              </a:defRPr>
            </a:pPr>
            <a:r>
              <a:rPr lang="en-US" sz="1347" b="1" i="0" strike="noStrike">
                <a:solidFill>
                  <a:srgbClr val="000000"/>
                </a:solidFill>
                <a:latin typeface="Arial"/>
                <a:cs typeface="Arial"/>
              </a:rPr>
              <a:t>November 30, 2003</a:t>
            </a:r>
          </a:p>
        </c:rich>
      </c:tx>
      <c:layout>
        <c:manualLayout>
          <c:xMode val="edge"/>
          <c:yMode val="edge"/>
          <c:x val="0.16187050359712229"/>
          <c:y val="8.3682008368200864E-3"/>
        </c:manualLayout>
      </c:layout>
      <c:spPr>
        <a:noFill/>
        <a:ln w="29109">
          <a:noFill/>
        </a:ln>
      </c:spPr>
    </c:title>
    <c:view3D>
      <c:hPercent val="35"/>
      <c:depthPercent val="100"/>
      <c:rAngAx val="1"/>
    </c:view3D>
    <c:floor>
      <c:spPr>
        <a:solidFill>
          <a:srgbClr val="969696"/>
        </a:solidFill>
        <a:ln w="3175">
          <a:solidFill>
            <a:srgbClr val="000000"/>
          </a:solidFill>
          <a:prstDash val="solid"/>
        </a:ln>
      </c:spPr>
    </c:floor>
    <c:sideWall>
      <c:spPr>
        <a:solidFill>
          <a:srgbClr val="C0C0C0"/>
        </a:solidFill>
        <a:ln w="12700">
          <a:solidFill>
            <a:srgbClr val="C0C0C0"/>
          </a:solidFill>
          <a:prstDash val="solid"/>
        </a:ln>
      </c:spPr>
    </c:sideWall>
    <c:backWall>
      <c:spPr>
        <a:solidFill>
          <a:srgbClr val="C0C0C0"/>
        </a:solidFill>
        <a:ln w="12700">
          <a:solidFill>
            <a:srgbClr val="C0C0C0"/>
          </a:solidFill>
          <a:prstDash val="solid"/>
        </a:ln>
      </c:spPr>
    </c:backWall>
    <c:plotArea>
      <c:layout>
        <c:manualLayout>
          <c:layoutTarget val="inner"/>
          <c:xMode val="edge"/>
          <c:yMode val="edge"/>
          <c:x val="0.13129496402877697"/>
          <c:y val="0.20502092050209209"/>
          <c:w val="0.85431654676258983"/>
          <c:h val="0.55648535564853563"/>
        </c:manualLayout>
      </c:layout>
      <c:bar3DChart>
        <c:barDir val="col"/>
        <c:grouping val="clustered"/>
        <c:ser>
          <c:idx val="0"/>
          <c:order val="0"/>
          <c:spPr>
            <a:solidFill>
              <a:srgbClr val="FF0000"/>
            </a:solidFill>
            <a:ln w="14554">
              <a:solidFill>
                <a:srgbClr val="000000"/>
              </a:solidFill>
              <a:prstDash val="solid"/>
            </a:ln>
          </c:spPr>
          <c:dPt>
            <c:idx val="0"/>
            <c:spPr>
              <a:solidFill>
                <a:srgbClr val="FFFFFF"/>
              </a:solidFill>
              <a:ln w="14554">
                <a:solidFill>
                  <a:srgbClr val="FFFFFF"/>
                </a:solidFill>
                <a:prstDash val="solid"/>
              </a:ln>
            </c:spPr>
          </c:dPt>
          <c:dPt>
            <c:idx val="1"/>
            <c:spPr>
              <a:solidFill>
                <a:srgbClr val="339966"/>
              </a:solidFill>
              <a:ln w="29109">
                <a:solidFill>
                  <a:srgbClr val="FFFFFF"/>
                </a:solidFill>
                <a:prstDash val="solid"/>
              </a:ln>
            </c:spPr>
          </c:dPt>
          <c:dPt>
            <c:idx val="2"/>
            <c:spPr>
              <a:solidFill>
                <a:srgbClr val="FF0000"/>
              </a:solidFill>
              <a:ln w="29109">
                <a:solidFill>
                  <a:srgbClr val="FFFFFF"/>
                </a:solidFill>
                <a:prstDash val="solid"/>
              </a:ln>
            </c:spPr>
          </c:dPt>
          <c:dPt>
            <c:idx val="3"/>
            <c:spPr>
              <a:solidFill>
                <a:srgbClr val="3366FF"/>
              </a:solidFill>
              <a:ln w="29109">
                <a:solidFill>
                  <a:srgbClr val="FFFFFF"/>
                </a:solidFill>
                <a:prstDash val="solid"/>
              </a:ln>
            </c:spPr>
          </c:dPt>
          <c:dLbls>
            <c:dLbl>
              <c:idx val="0"/>
              <c:layout>
                <c:manualLayout>
                  <c:xMode val="edge"/>
                  <c:yMode val="edge"/>
                  <c:x val="0.33633093525179864"/>
                  <c:y val="0.58577405857740583"/>
                </c:manualLayout>
              </c:layout>
              <c:tx>
                <c:rich>
                  <a:bodyPr/>
                  <a:lstStyle/>
                  <a:p>
                    <a:pPr>
                      <a:defRPr sz="1003" b="1" i="0" u="none" strike="noStrike" baseline="0">
                        <a:solidFill>
                          <a:srgbClr val="000000"/>
                        </a:solidFill>
                        <a:latin typeface="Arial"/>
                        <a:ea typeface="Arial"/>
                        <a:cs typeface="Arial"/>
                      </a:defRPr>
                    </a:pPr>
                    <a:r>
                      <a:t>-4</a:t>
                    </a:r>
                  </a:p>
                </c:rich>
              </c:tx>
              <c:spPr>
                <a:noFill/>
                <a:ln w="29109">
                  <a:noFill/>
                </a:ln>
              </c:spPr>
            </c:dLbl>
            <c:dLbl>
              <c:idx val="1"/>
              <c:layout>
                <c:manualLayout>
                  <c:xMode val="edge"/>
                  <c:yMode val="edge"/>
                  <c:x val="0.46223021582733814"/>
                  <c:y val="0.39330543933054407"/>
                </c:manualLayout>
              </c:layout>
              <c:tx>
                <c:rich>
                  <a:bodyPr/>
                  <a:lstStyle/>
                  <a:p>
                    <a:pPr>
                      <a:defRPr sz="1003" b="1" i="0" u="none" strike="noStrike" baseline="0">
                        <a:solidFill>
                          <a:srgbClr val="000000"/>
                        </a:solidFill>
                        <a:latin typeface="Arial"/>
                        <a:ea typeface="Arial"/>
                        <a:cs typeface="Arial"/>
                      </a:defRPr>
                    </a:pPr>
                    <a:r>
                      <a:t>3467</a:t>
                    </a:r>
                  </a:p>
                </c:rich>
              </c:tx>
              <c:spPr>
                <a:noFill/>
                <a:ln w="29109">
                  <a:noFill/>
                </a:ln>
              </c:spPr>
            </c:dLbl>
            <c:dLbl>
              <c:idx val="2"/>
              <c:layout>
                <c:manualLayout>
                  <c:xMode val="edge"/>
                  <c:yMode val="edge"/>
                  <c:x val="0.60251798561151071"/>
                  <c:y val="0.22594142259414232"/>
                </c:manualLayout>
              </c:layout>
              <c:tx>
                <c:rich>
                  <a:bodyPr/>
                  <a:lstStyle/>
                  <a:p>
                    <a:pPr>
                      <a:defRPr sz="1003" b="1" i="0" u="none" strike="noStrike" baseline="0">
                        <a:solidFill>
                          <a:srgbClr val="000000"/>
                        </a:solidFill>
                        <a:latin typeface="Arial"/>
                        <a:ea typeface="Arial"/>
                        <a:cs typeface="Arial"/>
                      </a:defRPr>
                    </a:pPr>
                    <a:r>
                      <a:t>6796</a:t>
                    </a:r>
                  </a:p>
                </c:rich>
              </c:tx>
              <c:spPr>
                <a:noFill/>
                <a:ln w="29109">
                  <a:noFill/>
                </a:ln>
              </c:spPr>
            </c:dLbl>
            <c:dLbl>
              <c:idx val="3"/>
              <c:layout>
                <c:manualLayout>
                  <c:xMode val="edge"/>
                  <c:yMode val="edge"/>
                  <c:x val="0.74280575539568372"/>
                  <c:y val="0.33472803347280344"/>
                </c:manualLayout>
              </c:layout>
              <c:tx>
                <c:rich>
                  <a:bodyPr/>
                  <a:lstStyle/>
                  <a:p>
                    <a:pPr>
                      <a:defRPr sz="1003" b="1" i="0" u="none" strike="noStrike" baseline="0">
                        <a:solidFill>
                          <a:srgbClr val="000000"/>
                        </a:solidFill>
                        <a:latin typeface="Arial"/>
                        <a:ea typeface="Arial"/>
                        <a:cs typeface="Arial"/>
                      </a:defRPr>
                    </a:pPr>
                    <a:r>
                      <a:t>5451</a:t>
                    </a:r>
                  </a:p>
                </c:rich>
              </c:tx>
              <c:spPr>
                <a:noFill/>
                <a:ln w="29109">
                  <a:noFill/>
                </a:ln>
              </c:spPr>
            </c:dLbl>
            <c:delete val="1"/>
          </c:dLbls>
          <c:cat>
            <c:strRef>
              <c:f>Age!$A$1:$D$1</c:f>
              <c:strCache>
                <c:ptCount val="4"/>
                <c:pt idx="0">
                  <c:v>&lt;1</c:v>
                </c:pt>
                <c:pt idx="1">
                  <c:v>1 to 5</c:v>
                </c:pt>
                <c:pt idx="2">
                  <c:v>6 to 12</c:v>
                </c:pt>
                <c:pt idx="3">
                  <c:v>13 to 19</c:v>
                </c:pt>
              </c:strCache>
            </c:strRef>
          </c:cat>
          <c:val>
            <c:numRef>
              <c:f>Age!$A$2:$D$2</c:f>
              <c:numCache>
                <c:formatCode>General</c:formatCode>
                <c:ptCount val="4"/>
                <c:pt idx="0">
                  <c:v>1</c:v>
                </c:pt>
                <c:pt idx="1">
                  <c:v>3596</c:v>
                </c:pt>
                <c:pt idx="2">
                  <c:v>6097</c:v>
                </c:pt>
                <c:pt idx="3">
                  <c:v>4304</c:v>
                </c:pt>
              </c:numCache>
            </c:numRef>
          </c:val>
        </c:ser>
        <c:shape val="box"/>
        <c:axId val="190990592"/>
        <c:axId val="191005056"/>
        <c:axId val="0"/>
      </c:bar3DChart>
      <c:catAx>
        <c:axId val="190990592"/>
        <c:scaling>
          <c:orientation val="minMax"/>
        </c:scaling>
        <c:axPos val="b"/>
        <c:title>
          <c:tx>
            <c:rich>
              <a:bodyPr/>
              <a:lstStyle/>
              <a:p>
                <a:pPr>
                  <a:defRPr sz="1175" b="1" i="0" u="none" strike="noStrike" baseline="0">
                    <a:solidFill>
                      <a:srgbClr val="000000"/>
                    </a:solidFill>
                    <a:latin typeface="Arial"/>
                    <a:ea typeface="Arial"/>
                    <a:cs typeface="Arial"/>
                  </a:defRPr>
                </a:pPr>
                <a:r>
                  <a:t>Age</a:t>
                </a:r>
              </a:p>
            </c:rich>
          </c:tx>
          <c:layout>
            <c:manualLayout>
              <c:xMode val="edge"/>
              <c:yMode val="edge"/>
              <c:x val="0.50719424460431661"/>
              <c:y val="0.87029288702928875"/>
            </c:manualLayout>
          </c:layout>
          <c:spPr>
            <a:noFill/>
            <a:ln w="29109">
              <a:noFill/>
            </a:ln>
          </c:spPr>
        </c:title>
        <c:numFmt formatCode="General" sourceLinked="1"/>
        <c:tickLblPos val="low"/>
        <c:spPr>
          <a:ln w="3639">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191005056"/>
        <c:crosses val="autoZero"/>
        <c:auto val="1"/>
        <c:lblAlgn val="ctr"/>
        <c:lblOffset val="100"/>
        <c:tickLblSkip val="1"/>
        <c:tickMarkSkip val="1"/>
      </c:catAx>
      <c:valAx>
        <c:axId val="191005056"/>
        <c:scaling>
          <c:orientation val="minMax"/>
        </c:scaling>
        <c:axPos val="l"/>
        <c:majorGridlines>
          <c:spPr>
            <a:ln w="3639">
              <a:solidFill>
                <a:srgbClr val="000000"/>
              </a:solidFill>
              <a:prstDash val="solid"/>
            </a:ln>
          </c:spPr>
        </c:majorGridlines>
        <c:title>
          <c:tx>
            <c:rich>
              <a:bodyPr/>
              <a:lstStyle/>
              <a:p>
                <a:pPr>
                  <a:defRPr sz="1175" b="1" i="0" u="none" strike="noStrike" baseline="0">
                    <a:solidFill>
                      <a:srgbClr val="000000"/>
                    </a:solidFill>
                    <a:latin typeface="Arial"/>
                    <a:ea typeface="Arial"/>
                    <a:cs typeface="Arial"/>
                  </a:defRPr>
                </a:pPr>
                <a:r>
                  <a:t>Enrollees</a:t>
                </a:r>
              </a:p>
            </c:rich>
          </c:tx>
          <c:layout>
            <c:manualLayout>
              <c:xMode val="edge"/>
              <c:yMode val="edge"/>
              <c:x val="0.14208633093525183"/>
              <c:y val="0.38075313807531375"/>
            </c:manualLayout>
          </c:layout>
          <c:spPr>
            <a:noFill/>
            <a:ln w="29109">
              <a:noFill/>
            </a:ln>
          </c:spPr>
        </c:title>
        <c:numFmt formatCode="General" sourceLinked="1"/>
        <c:tickLblPos val="nextTo"/>
        <c:spPr>
          <a:ln w="3639">
            <a:solidFill>
              <a:srgbClr val="000000"/>
            </a:solidFill>
            <a:prstDash val="solid"/>
          </a:ln>
        </c:spPr>
        <c:txPr>
          <a:bodyPr rot="0" vert="horz"/>
          <a:lstStyle/>
          <a:p>
            <a:pPr>
              <a:defRPr sz="1146" b="0" i="0" u="none" strike="noStrike" baseline="0">
                <a:solidFill>
                  <a:srgbClr val="000000"/>
                </a:solidFill>
                <a:latin typeface="Arial"/>
                <a:ea typeface="Arial"/>
                <a:cs typeface="Arial"/>
              </a:defRPr>
            </a:pPr>
            <a:endParaRPr lang="en-US"/>
          </a:p>
        </c:txPr>
        <c:crossAx val="190990592"/>
        <c:crosses val="autoZero"/>
        <c:crossBetween val="between"/>
      </c:valAx>
      <c:spPr>
        <a:noFill/>
        <a:ln w="29109">
          <a:noFill/>
        </a:ln>
      </c:spPr>
    </c:plotArea>
    <c:plotVisOnly val="1"/>
    <c:dispBlanksAs val="gap"/>
  </c:chart>
  <c:spPr>
    <a:solidFill>
      <a:srgbClr val="FFFFFF"/>
    </a:solidFill>
    <a:ln w="3639">
      <a:solidFill>
        <a:srgbClr val="000000"/>
      </a:solidFill>
      <a:prstDash val="solid"/>
    </a:ln>
  </c:spPr>
  <c:txPr>
    <a:bodyPr/>
    <a:lstStyle/>
    <a:p>
      <a:pPr>
        <a:defRPr sz="1375" b="0" i="0" u="none" strike="noStrike" baseline="0">
          <a:solidFill>
            <a:srgbClr val="000000"/>
          </a:solidFill>
          <a:latin typeface="Arial"/>
          <a:ea typeface="Arial"/>
          <a:cs typeface="Arial"/>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5331" b="1" i="1" u="none" strike="noStrike" baseline="0">
                <a:solidFill>
                  <a:srgbClr val="000000"/>
                </a:solidFill>
                <a:latin typeface="Arial"/>
                <a:ea typeface="Arial"/>
                <a:cs typeface="Arial"/>
              </a:defRPr>
            </a:pPr>
            <a:r>
              <a:rPr lang="en-US" sz="2415" b="1" i="1" strike="noStrike">
                <a:solidFill>
                  <a:srgbClr val="000000"/>
                </a:solidFill>
                <a:latin typeface="Arial"/>
                <a:cs typeface="Arial"/>
              </a:rPr>
              <a:t>hawk-i</a:t>
            </a:r>
            <a:r>
              <a:rPr lang="en-US" sz="2415" b="1" i="0" strike="noStrike">
                <a:solidFill>
                  <a:srgbClr val="000000"/>
                </a:solidFill>
                <a:latin typeface="Arial"/>
                <a:cs typeface="Arial"/>
              </a:rPr>
              <a:t> Enrollee Demographic </a:t>
            </a:r>
          </a:p>
          <a:p>
            <a:pPr>
              <a:defRPr sz="5331" b="1" i="1" u="none" strike="noStrike" baseline="0">
                <a:solidFill>
                  <a:srgbClr val="000000"/>
                </a:solidFill>
                <a:latin typeface="Arial"/>
                <a:ea typeface="Arial"/>
                <a:cs typeface="Arial"/>
              </a:defRPr>
            </a:pPr>
            <a:r>
              <a:rPr lang="en-US" sz="2415" b="1" i="0" strike="noStrike">
                <a:solidFill>
                  <a:srgbClr val="000000"/>
                </a:solidFill>
                <a:latin typeface="Arial"/>
                <a:cs typeface="Arial"/>
              </a:rPr>
              <a:t>Summary by Gender</a:t>
            </a:r>
          </a:p>
          <a:p>
            <a:pPr>
              <a:defRPr sz="5331" b="1" i="1" u="none" strike="noStrike" baseline="0">
                <a:solidFill>
                  <a:srgbClr val="000000"/>
                </a:solidFill>
                <a:latin typeface="Arial"/>
                <a:ea typeface="Arial"/>
                <a:cs typeface="Arial"/>
              </a:defRPr>
            </a:pPr>
            <a:r>
              <a:rPr lang="en-US" sz="2117" b="1" i="0" strike="noStrike">
                <a:solidFill>
                  <a:srgbClr val="000000"/>
                </a:solidFill>
                <a:latin typeface="Arial"/>
                <a:cs typeface="Arial"/>
              </a:rPr>
              <a:t>November 30, 2003</a:t>
            </a:r>
          </a:p>
        </c:rich>
      </c:tx>
      <c:layout>
        <c:manualLayout>
          <c:xMode val="edge"/>
          <c:yMode val="edge"/>
          <c:x val="0.22500000000000001"/>
          <c:y val="1.9607843137254902E-2"/>
        </c:manualLayout>
      </c:layout>
      <c:spPr>
        <a:noFill/>
        <a:ln w="37742">
          <a:noFill/>
        </a:ln>
      </c:spPr>
    </c:title>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214285714285716"/>
          <c:y val="0.36274509803921567"/>
          <c:w val="0.8"/>
          <c:h val="0.38235294117647067"/>
        </c:manualLayout>
      </c:layout>
      <c:bar3DChart>
        <c:barDir val="col"/>
        <c:grouping val="clustered"/>
        <c:ser>
          <c:idx val="0"/>
          <c:order val="0"/>
          <c:spPr>
            <a:solidFill>
              <a:srgbClr val="9999FF"/>
            </a:solidFill>
            <a:ln w="37742">
              <a:solidFill>
                <a:srgbClr val="FFFFFF"/>
              </a:solidFill>
              <a:prstDash val="solid"/>
            </a:ln>
          </c:spPr>
          <c:dPt>
            <c:idx val="0"/>
            <c:spPr>
              <a:solidFill>
                <a:srgbClr val="339966"/>
              </a:solidFill>
              <a:ln w="37742">
                <a:solidFill>
                  <a:srgbClr val="FFFFFF"/>
                </a:solidFill>
                <a:prstDash val="solid"/>
              </a:ln>
            </c:spPr>
          </c:dPt>
          <c:dPt>
            <c:idx val="1"/>
            <c:spPr>
              <a:solidFill>
                <a:srgbClr val="FF0000"/>
              </a:solidFill>
              <a:ln w="37742">
                <a:solidFill>
                  <a:srgbClr val="FFFFFF"/>
                </a:solidFill>
                <a:prstDash val="solid"/>
              </a:ln>
            </c:spPr>
          </c:dPt>
          <c:dLbls>
            <c:dLbl>
              <c:idx val="0"/>
              <c:layout>
                <c:manualLayout>
                  <c:xMode val="edge"/>
                  <c:yMode val="edge"/>
                  <c:x val="0.3928571428571429"/>
                  <c:y val="0.47385620915032683"/>
                </c:manualLayout>
              </c:layout>
              <c:tx>
                <c:rich>
                  <a:bodyPr/>
                  <a:lstStyle/>
                  <a:p>
                    <a:r>
                      <a:t>8016</a:t>
                    </a:r>
                  </a:p>
                </c:rich>
              </c:tx>
            </c:dLbl>
            <c:dLbl>
              <c:idx val="1"/>
              <c:layout>
                <c:manualLayout>
                  <c:xMode val="edge"/>
                  <c:yMode val="edge"/>
                  <c:x val="0.55535714285714277"/>
                  <c:y val="0.47385620915032683"/>
                </c:manualLayout>
              </c:layout>
              <c:tx>
                <c:rich>
                  <a:bodyPr/>
                  <a:lstStyle/>
                  <a:p>
                    <a:r>
                      <a:t>7694</a:t>
                    </a:r>
                  </a:p>
                </c:rich>
              </c:tx>
            </c:dLbl>
            <c:dLbl>
              <c:idx val="2"/>
              <c:layout>
                <c:manualLayout>
                  <c:xMode val="edge"/>
                  <c:yMode val="edge"/>
                  <c:x val="0.70000000000000007"/>
                  <c:y val="0.34967320261437906"/>
                </c:manualLayout>
              </c:layout>
              <c:tx>
                <c:rich>
                  <a:bodyPr/>
                  <a:lstStyle/>
                  <a:p>
                    <a:r>
                      <a:t>15,710</a:t>
                    </a:r>
                  </a:p>
                </c:rich>
              </c:tx>
            </c:dLbl>
            <c:spPr>
              <a:noFill/>
              <a:ln w="37742">
                <a:noFill/>
              </a:ln>
            </c:spPr>
            <c:txPr>
              <a:bodyPr/>
              <a:lstStyle/>
              <a:p>
                <a:pPr>
                  <a:defRPr sz="1560" b="1" i="0" u="none" strike="noStrike" baseline="0">
                    <a:solidFill>
                      <a:srgbClr val="000000"/>
                    </a:solidFill>
                    <a:latin typeface="Arial"/>
                    <a:ea typeface="Arial"/>
                    <a:cs typeface="Arial"/>
                  </a:defRPr>
                </a:pPr>
                <a:endParaRPr lang="en-US"/>
              </a:p>
            </c:txPr>
            <c:showVal val="1"/>
          </c:dLbls>
          <c:cat>
            <c:strRef>
              <c:f>Gender!$A$1:$C$1</c:f>
              <c:strCache>
                <c:ptCount val="3"/>
                <c:pt idx="0">
                  <c:v>Male</c:v>
                </c:pt>
                <c:pt idx="1">
                  <c:v>Female</c:v>
                </c:pt>
                <c:pt idx="2">
                  <c:v>Total</c:v>
                </c:pt>
              </c:strCache>
            </c:strRef>
          </c:cat>
          <c:val>
            <c:numRef>
              <c:f>Gender!$A$2:$C$2</c:f>
              <c:numCache>
                <c:formatCode>General</c:formatCode>
                <c:ptCount val="3"/>
                <c:pt idx="0">
                  <c:v>7106</c:v>
                </c:pt>
                <c:pt idx="1">
                  <c:v>6892</c:v>
                </c:pt>
                <c:pt idx="2" formatCode="#,##0">
                  <c:v>13998</c:v>
                </c:pt>
              </c:numCache>
            </c:numRef>
          </c:val>
        </c:ser>
        <c:dLbls>
          <c:showVal val="1"/>
        </c:dLbls>
        <c:shape val="box"/>
        <c:axId val="200705152"/>
        <c:axId val="200707072"/>
        <c:axId val="0"/>
      </c:bar3DChart>
      <c:catAx>
        <c:axId val="200705152"/>
        <c:scaling>
          <c:orientation val="minMax"/>
        </c:scaling>
        <c:axPos val="b"/>
        <c:title>
          <c:tx>
            <c:rich>
              <a:bodyPr/>
              <a:lstStyle/>
              <a:p>
                <a:pPr>
                  <a:defRPr sz="2006" b="1" i="0" u="none" strike="noStrike" baseline="0">
                    <a:solidFill>
                      <a:srgbClr val="000000"/>
                    </a:solidFill>
                    <a:latin typeface="Arial"/>
                    <a:ea typeface="Arial"/>
                    <a:cs typeface="Arial"/>
                  </a:defRPr>
                </a:pPr>
                <a:r>
                  <a:t>Gender</a:t>
                </a:r>
              </a:p>
            </c:rich>
          </c:tx>
          <c:layout>
            <c:manualLayout>
              <c:xMode val="edge"/>
              <c:yMode val="edge"/>
              <c:x val="0.49285714285714288"/>
              <c:y val="0.85294117647058854"/>
            </c:manualLayout>
          </c:layout>
          <c:spPr>
            <a:noFill/>
            <a:ln w="37742">
              <a:noFill/>
            </a:ln>
          </c:spPr>
        </c:title>
        <c:numFmt formatCode="General" sourceLinked="1"/>
        <c:tickLblPos val="low"/>
        <c:spPr>
          <a:ln w="4718">
            <a:solidFill>
              <a:srgbClr val="000000"/>
            </a:solidFill>
            <a:prstDash val="solid"/>
          </a:ln>
        </c:spPr>
        <c:txPr>
          <a:bodyPr rot="0" vert="horz"/>
          <a:lstStyle/>
          <a:p>
            <a:pPr>
              <a:defRPr sz="2006" b="0" i="0" u="none" strike="noStrike" baseline="0">
                <a:solidFill>
                  <a:srgbClr val="000000"/>
                </a:solidFill>
                <a:latin typeface="Arial"/>
                <a:ea typeface="Arial"/>
                <a:cs typeface="Arial"/>
              </a:defRPr>
            </a:pPr>
            <a:endParaRPr lang="en-US"/>
          </a:p>
        </c:txPr>
        <c:crossAx val="200707072"/>
        <c:crosses val="autoZero"/>
        <c:auto val="1"/>
        <c:lblAlgn val="ctr"/>
        <c:lblOffset val="100"/>
        <c:tickLblSkip val="1"/>
        <c:tickMarkSkip val="1"/>
      </c:catAx>
      <c:valAx>
        <c:axId val="200707072"/>
        <c:scaling>
          <c:orientation val="minMax"/>
        </c:scaling>
        <c:axPos val="l"/>
        <c:majorGridlines>
          <c:spPr>
            <a:ln w="4718">
              <a:solidFill>
                <a:srgbClr val="000000"/>
              </a:solidFill>
              <a:prstDash val="solid"/>
            </a:ln>
          </c:spPr>
        </c:majorGridlines>
        <c:title>
          <c:tx>
            <c:rich>
              <a:bodyPr/>
              <a:lstStyle/>
              <a:p>
                <a:pPr>
                  <a:defRPr sz="2006" b="1" i="0" u="none" strike="noStrike" baseline="0">
                    <a:solidFill>
                      <a:srgbClr val="000000"/>
                    </a:solidFill>
                    <a:latin typeface="Arial"/>
                    <a:ea typeface="Arial"/>
                    <a:cs typeface="Arial"/>
                  </a:defRPr>
                </a:pPr>
                <a:r>
                  <a:t>Enrollee</a:t>
                </a:r>
              </a:p>
            </c:rich>
          </c:tx>
          <c:layout>
            <c:manualLayout>
              <c:xMode val="edge"/>
              <c:yMode val="edge"/>
              <c:x val="0.15357142857142864"/>
              <c:y val="0.46405228758169936"/>
            </c:manualLayout>
          </c:layout>
          <c:spPr>
            <a:noFill/>
            <a:ln w="37742">
              <a:noFill/>
            </a:ln>
          </c:spPr>
        </c:title>
        <c:numFmt formatCode="General" sourceLinked="1"/>
        <c:tickLblPos val="nextTo"/>
        <c:spPr>
          <a:ln w="4718">
            <a:solidFill>
              <a:srgbClr val="000000"/>
            </a:solidFill>
            <a:prstDash val="solid"/>
          </a:ln>
        </c:spPr>
        <c:txPr>
          <a:bodyPr rot="0" vert="horz"/>
          <a:lstStyle/>
          <a:p>
            <a:pPr>
              <a:defRPr sz="2006" b="0" i="0" u="none" strike="noStrike" baseline="0">
                <a:solidFill>
                  <a:srgbClr val="000000"/>
                </a:solidFill>
                <a:latin typeface="Arial"/>
                <a:ea typeface="Arial"/>
                <a:cs typeface="Arial"/>
              </a:defRPr>
            </a:pPr>
            <a:endParaRPr lang="en-US"/>
          </a:p>
        </c:txPr>
        <c:crossAx val="200705152"/>
        <c:crosses val="autoZero"/>
        <c:crossBetween val="between"/>
      </c:valAx>
      <c:spPr>
        <a:noFill/>
        <a:ln w="37742">
          <a:noFill/>
        </a:ln>
      </c:spPr>
    </c:plotArea>
    <c:plotVisOnly val="1"/>
    <c:dispBlanksAs val="gap"/>
  </c:chart>
  <c:spPr>
    <a:solidFill>
      <a:srgbClr val="FFFFFF"/>
    </a:solidFill>
    <a:ln w="4718">
      <a:solidFill>
        <a:srgbClr val="000000"/>
      </a:solidFill>
      <a:prstDash val="solid"/>
    </a:ln>
  </c:spPr>
  <c:txPr>
    <a:bodyPr/>
    <a:lstStyle/>
    <a:p>
      <a:pPr>
        <a:defRPr sz="2266" b="0" i="0" u="none" strike="noStrike" baseline="0">
          <a:solidFill>
            <a:srgbClr val="000000"/>
          </a:solidFill>
          <a:latin typeface="Arial"/>
          <a:ea typeface="Arial"/>
          <a:cs typeface="Arial"/>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2335" b="1" i="1" u="none" strike="noStrike" baseline="0">
                <a:solidFill>
                  <a:srgbClr val="000000"/>
                </a:solidFill>
                <a:latin typeface="Arial"/>
                <a:ea typeface="Arial"/>
                <a:cs typeface="Arial"/>
              </a:defRPr>
            </a:pPr>
            <a:r>
              <a:rPr lang="en-US" sz="2335" b="1" i="1" strike="noStrike">
                <a:solidFill>
                  <a:srgbClr val="000000"/>
                </a:solidFill>
                <a:latin typeface="Arial"/>
                <a:cs typeface="Arial"/>
              </a:rPr>
              <a:t>hawk-i</a:t>
            </a:r>
            <a:r>
              <a:rPr lang="en-US" sz="2335" b="1" i="0" strike="noStrike">
                <a:solidFill>
                  <a:srgbClr val="000000"/>
                </a:solidFill>
                <a:latin typeface="Arial"/>
                <a:cs typeface="Arial"/>
              </a:rPr>
              <a:t> Enrollment by Health Plan</a:t>
            </a:r>
          </a:p>
        </c:rich>
      </c:tx>
      <c:layout>
        <c:manualLayout>
          <c:xMode val="edge"/>
          <c:yMode val="edge"/>
          <c:x val="0.14847942754919502"/>
          <c:y val="2.0501138952164013E-2"/>
        </c:manualLayout>
      </c:layout>
      <c:spPr>
        <a:noFill/>
        <a:ln w="32497">
          <a:noFill/>
        </a:ln>
      </c:spPr>
    </c:title>
    <c:plotArea>
      <c:layout>
        <c:manualLayout>
          <c:layoutTarget val="inner"/>
          <c:xMode val="edge"/>
          <c:yMode val="edge"/>
          <c:x val="0.35241502683363146"/>
          <c:y val="0.38268792710706162"/>
          <c:w val="0.29338103756708411"/>
          <c:h val="0.37357630979498879"/>
        </c:manualLayout>
      </c:layout>
      <c:pieChart>
        <c:varyColors val="1"/>
        <c:ser>
          <c:idx val="0"/>
          <c:order val="0"/>
          <c:spPr>
            <a:solidFill>
              <a:srgbClr val="9999FF"/>
            </a:solidFill>
            <a:ln w="16248">
              <a:solidFill>
                <a:srgbClr val="000000"/>
              </a:solidFill>
              <a:prstDash val="solid"/>
            </a:ln>
          </c:spPr>
          <c:explosion val="4"/>
          <c:dPt>
            <c:idx val="0"/>
            <c:spPr>
              <a:solidFill>
                <a:srgbClr val="3366FF"/>
              </a:solidFill>
              <a:ln w="32497">
                <a:solidFill>
                  <a:srgbClr val="C0C0C0"/>
                </a:solidFill>
                <a:prstDash val="solid"/>
              </a:ln>
            </c:spPr>
          </c:dPt>
          <c:dPt>
            <c:idx val="1"/>
            <c:spPr>
              <a:solidFill>
                <a:srgbClr val="339966"/>
              </a:solidFill>
              <a:ln w="32497">
                <a:solidFill>
                  <a:srgbClr val="C0C0C0"/>
                </a:solidFill>
                <a:prstDash val="solid"/>
              </a:ln>
            </c:spPr>
          </c:dPt>
          <c:dPt>
            <c:idx val="2"/>
            <c:spPr>
              <a:solidFill>
                <a:srgbClr val="FF0000"/>
              </a:solidFill>
              <a:ln w="32497">
                <a:solidFill>
                  <a:srgbClr val="C0C0C0"/>
                </a:solidFill>
                <a:prstDash val="solid"/>
              </a:ln>
            </c:spPr>
          </c:dPt>
          <c:dLbls>
            <c:dLbl>
              <c:idx val="0"/>
              <c:layout>
                <c:manualLayout>
                  <c:xMode val="edge"/>
                  <c:yMode val="edge"/>
                  <c:x val="0.6493738819320215"/>
                  <c:y val="0.39179954441913434"/>
                </c:manualLayout>
              </c:layout>
              <c:dLblPos val="bestFit"/>
              <c:showCatName val="1"/>
              <c:showPercent val="1"/>
            </c:dLbl>
            <c:dLbl>
              <c:idx val="1"/>
              <c:layout>
                <c:manualLayout>
                  <c:xMode val="edge"/>
                  <c:yMode val="edge"/>
                  <c:x val="0.32379248658318427"/>
                  <c:y val="0.76082004555808691"/>
                </c:manualLayout>
              </c:layout>
              <c:dLblPos val="bestFit"/>
              <c:showCatName val="1"/>
              <c:showPercent val="1"/>
            </c:dLbl>
            <c:dLbl>
              <c:idx val="2"/>
              <c:layout>
                <c:manualLayout>
                  <c:xMode val="edge"/>
                  <c:yMode val="edge"/>
                  <c:x val="0.19856887298747766"/>
                  <c:y val="0.3758542141230069"/>
                </c:manualLayout>
              </c:layout>
              <c:tx>
                <c:rich>
                  <a:bodyPr/>
                  <a:lstStyle/>
                  <a:p>
                    <a:pPr>
                      <a:defRPr sz="1439" b="1" i="0" u="none" strike="noStrike" baseline="0">
                        <a:solidFill>
                          <a:srgbClr val="000000"/>
                        </a:solidFill>
                        <a:latin typeface="Arial"/>
                        <a:ea typeface="Arial"/>
                        <a:cs typeface="Arial"/>
                      </a:defRPr>
                    </a:pPr>
                    <a:r>
                      <a:t>Iowa Health Solutions
27%</a:t>
                    </a:r>
                  </a:p>
                </c:rich>
              </c:tx>
              <c:spPr>
                <a:noFill/>
                <a:ln w="32497">
                  <a:noFill/>
                </a:ln>
              </c:spPr>
              <c:dLblPos val="bestFit"/>
            </c:dLbl>
            <c:numFmt formatCode="0%" sourceLinked="0"/>
            <c:spPr>
              <a:noFill/>
              <a:ln w="32497">
                <a:noFill/>
              </a:ln>
            </c:spPr>
            <c:txPr>
              <a:bodyPr/>
              <a:lstStyle/>
              <a:p>
                <a:pPr>
                  <a:defRPr sz="1439" b="1" i="0" u="none" strike="noStrike" baseline="0">
                    <a:solidFill>
                      <a:srgbClr val="000000"/>
                    </a:solidFill>
                    <a:latin typeface="Arial"/>
                    <a:ea typeface="Arial"/>
                    <a:cs typeface="Arial"/>
                  </a:defRPr>
                </a:pPr>
                <a:endParaRPr lang="en-US"/>
              </a:p>
            </c:txPr>
            <c:showCatName val="1"/>
            <c:showPercent val="1"/>
          </c:dLbls>
          <c:cat>
            <c:strRef>
              <c:f>'HealthPlan%'!$A$1:$C$1</c:f>
              <c:strCache>
                <c:ptCount val="3"/>
                <c:pt idx="0">
                  <c:v>Wellmark Indemnity</c:v>
                </c:pt>
                <c:pt idx="1">
                  <c:v>John Deere</c:v>
                </c:pt>
                <c:pt idx="2">
                  <c:v>Iowa Health Solutions</c:v>
                </c:pt>
              </c:strCache>
            </c:strRef>
          </c:cat>
          <c:val>
            <c:numRef>
              <c:f>'HealthPlan%'!$A$2:$C$2</c:f>
              <c:numCache>
                <c:formatCode>0%</c:formatCode>
                <c:ptCount val="3"/>
                <c:pt idx="0">
                  <c:v>0.45</c:v>
                </c:pt>
                <c:pt idx="1">
                  <c:v>0.27</c:v>
                </c:pt>
                <c:pt idx="2">
                  <c:v>0.28000000000000008</c:v>
                </c:pt>
              </c:numCache>
            </c:numRef>
          </c:val>
        </c:ser>
        <c:firstSliceAng val="0"/>
      </c:pieChart>
      <c:spPr>
        <a:noFill/>
        <a:ln w="32497">
          <a:noFill/>
        </a:ln>
      </c:spPr>
    </c:plotArea>
    <c:plotVisOnly val="1"/>
    <c:dispBlanksAs val="zero"/>
  </c:chart>
  <c:spPr>
    <a:solidFill>
      <a:srgbClr val="FFFFFF"/>
    </a:solidFill>
    <a:ln w="4062">
      <a:solidFill>
        <a:srgbClr val="000000"/>
      </a:solidFill>
      <a:prstDash val="solid"/>
    </a:ln>
  </c:spPr>
  <c:txPr>
    <a:bodyPr/>
    <a:lstStyle/>
    <a:p>
      <a:pPr>
        <a:defRPr sz="1919"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83168316831685"/>
          <c:y val="5.6603773584905662E-2"/>
          <c:w val="0.86336633663366347"/>
          <c:h val="0.75741239892183276"/>
        </c:manualLayout>
      </c:layout>
      <c:barChart>
        <c:barDir val="col"/>
        <c:grouping val="clustered"/>
        <c:ser>
          <c:idx val="0"/>
          <c:order val="0"/>
          <c:tx>
            <c:strRef>
              <c:f>wellchild!$A$2</c:f>
              <c:strCache>
                <c:ptCount val="1"/>
                <c:pt idx="0">
                  <c:v>Iowa Health Solutions</c:v>
                </c:pt>
              </c:strCache>
            </c:strRef>
          </c:tx>
          <c:spPr>
            <a:solidFill>
              <a:srgbClr val="C0C0C0"/>
            </a:solidFill>
            <a:ln w="10174">
              <a:solidFill>
                <a:srgbClr val="000000"/>
              </a:solidFill>
              <a:prstDash val="solid"/>
            </a:ln>
          </c:spPr>
          <c:dLbls>
            <c:spPr>
              <a:noFill/>
              <a:ln w="20349">
                <a:noFill/>
              </a:ln>
            </c:spPr>
            <c:txPr>
              <a:bodyPr/>
              <a:lstStyle/>
              <a:p>
                <a:pPr>
                  <a:defRPr sz="761" b="0" i="0" u="none" strike="noStrike" baseline="0">
                    <a:solidFill>
                      <a:srgbClr val="000000"/>
                    </a:solidFill>
                    <a:latin typeface="Verdana"/>
                    <a:ea typeface="Verdana"/>
                    <a:cs typeface="Verdana"/>
                  </a:defRPr>
                </a:pPr>
                <a:endParaRPr lang="en-US"/>
              </a:p>
            </c:txPr>
            <c:showVal val="1"/>
          </c:dLbls>
          <c:cat>
            <c:strRef>
              <c:f>wellchild!$B$1:$E$1</c:f>
              <c:strCache>
                <c:ptCount val="4"/>
                <c:pt idx="0">
                  <c:v>3 years of age</c:v>
                </c:pt>
                <c:pt idx="1">
                  <c:v>4 years of age</c:v>
                </c:pt>
                <c:pt idx="2">
                  <c:v>5 years of age</c:v>
                </c:pt>
                <c:pt idx="3">
                  <c:v>6 years of age</c:v>
                </c:pt>
              </c:strCache>
            </c:strRef>
          </c:cat>
          <c:val>
            <c:numRef>
              <c:f>wellchild!$B$2:$E$2</c:f>
              <c:numCache>
                <c:formatCode>0%</c:formatCode>
                <c:ptCount val="4"/>
                <c:pt idx="0">
                  <c:v>0.2</c:v>
                </c:pt>
                <c:pt idx="1">
                  <c:v>0.23</c:v>
                </c:pt>
                <c:pt idx="2">
                  <c:v>0.23</c:v>
                </c:pt>
                <c:pt idx="3">
                  <c:v>0.15000000000000002</c:v>
                </c:pt>
              </c:numCache>
            </c:numRef>
          </c:val>
        </c:ser>
        <c:ser>
          <c:idx val="1"/>
          <c:order val="1"/>
          <c:tx>
            <c:strRef>
              <c:f>wellchild!$A$3</c:f>
              <c:strCache>
                <c:ptCount val="1"/>
                <c:pt idx="0">
                  <c:v>John Deere</c:v>
                </c:pt>
              </c:strCache>
            </c:strRef>
          </c:tx>
          <c:spPr>
            <a:solidFill>
              <a:srgbClr val="808080"/>
            </a:solidFill>
            <a:ln w="10174">
              <a:solidFill>
                <a:srgbClr val="000000"/>
              </a:solidFill>
              <a:prstDash val="solid"/>
            </a:ln>
          </c:spPr>
          <c:dLbls>
            <c:spPr>
              <a:noFill/>
              <a:ln w="20349">
                <a:noFill/>
              </a:ln>
            </c:spPr>
            <c:txPr>
              <a:bodyPr/>
              <a:lstStyle/>
              <a:p>
                <a:pPr>
                  <a:defRPr sz="761" b="0" i="0" u="none" strike="noStrike" baseline="0">
                    <a:solidFill>
                      <a:srgbClr val="000000"/>
                    </a:solidFill>
                    <a:latin typeface="Verdana"/>
                    <a:ea typeface="Verdana"/>
                    <a:cs typeface="Verdana"/>
                  </a:defRPr>
                </a:pPr>
                <a:endParaRPr lang="en-US"/>
              </a:p>
            </c:txPr>
            <c:showVal val="1"/>
          </c:dLbls>
          <c:cat>
            <c:strRef>
              <c:f>wellchild!$B$1:$E$1</c:f>
              <c:strCache>
                <c:ptCount val="4"/>
                <c:pt idx="0">
                  <c:v>3 years of age</c:v>
                </c:pt>
                <c:pt idx="1">
                  <c:v>4 years of age</c:v>
                </c:pt>
                <c:pt idx="2">
                  <c:v>5 years of age</c:v>
                </c:pt>
                <c:pt idx="3">
                  <c:v>6 years of age</c:v>
                </c:pt>
              </c:strCache>
            </c:strRef>
          </c:cat>
          <c:val>
            <c:numRef>
              <c:f>wellchild!$B$3:$E$3</c:f>
              <c:numCache>
                <c:formatCode>0%</c:formatCode>
                <c:ptCount val="4"/>
                <c:pt idx="0">
                  <c:v>0.2</c:v>
                </c:pt>
                <c:pt idx="1">
                  <c:v>0.26</c:v>
                </c:pt>
                <c:pt idx="2">
                  <c:v>0.23</c:v>
                </c:pt>
                <c:pt idx="3">
                  <c:v>0.15000000000000002</c:v>
                </c:pt>
              </c:numCache>
            </c:numRef>
          </c:val>
        </c:ser>
        <c:ser>
          <c:idx val="2"/>
          <c:order val="2"/>
          <c:tx>
            <c:strRef>
              <c:f>wellchild!$A$4</c:f>
              <c:strCache>
                <c:ptCount val="1"/>
                <c:pt idx="0">
                  <c:v>Wellmark</c:v>
                </c:pt>
              </c:strCache>
            </c:strRef>
          </c:tx>
          <c:spPr>
            <a:solidFill>
              <a:srgbClr val="333333"/>
            </a:solidFill>
            <a:ln w="10174">
              <a:solidFill>
                <a:srgbClr val="000000"/>
              </a:solidFill>
              <a:prstDash val="solid"/>
            </a:ln>
          </c:spPr>
          <c:dLbls>
            <c:spPr>
              <a:noFill/>
              <a:ln w="20349">
                <a:noFill/>
              </a:ln>
            </c:spPr>
            <c:txPr>
              <a:bodyPr/>
              <a:lstStyle/>
              <a:p>
                <a:pPr>
                  <a:defRPr sz="761" b="0" i="0" u="none" strike="noStrike" baseline="0">
                    <a:solidFill>
                      <a:srgbClr val="000000"/>
                    </a:solidFill>
                    <a:latin typeface="Verdana"/>
                    <a:ea typeface="Verdana"/>
                    <a:cs typeface="Verdana"/>
                  </a:defRPr>
                </a:pPr>
                <a:endParaRPr lang="en-US"/>
              </a:p>
            </c:txPr>
            <c:showVal val="1"/>
          </c:dLbls>
          <c:cat>
            <c:strRef>
              <c:f>wellchild!$B$1:$E$1</c:f>
              <c:strCache>
                <c:ptCount val="4"/>
                <c:pt idx="0">
                  <c:v>3 years of age</c:v>
                </c:pt>
                <c:pt idx="1">
                  <c:v>4 years of age</c:v>
                </c:pt>
                <c:pt idx="2">
                  <c:v>5 years of age</c:v>
                </c:pt>
                <c:pt idx="3">
                  <c:v>6 years of age</c:v>
                </c:pt>
              </c:strCache>
            </c:strRef>
          </c:cat>
          <c:val>
            <c:numRef>
              <c:f>wellchild!$B$4:$E$4</c:f>
              <c:numCache>
                <c:formatCode>0%</c:formatCode>
                <c:ptCount val="4"/>
                <c:pt idx="0">
                  <c:v>0.15000000000000002</c:v>
                </c:pt>
                <c:pt idx="1">
                  <c:v>0.25</c:v>
                </c:pt>
                <c:pt idx="2">
                  <c:v>0.24000000000000002</c:v>
                </c:pt>
                <c:pt idx="3">
                  <c:v>0.14000000000000001</c:v>
                </c:pt>
              </c:numCache>
            </c:numRef>
          </c:val>
        </c:ser>
        <c:dLbls>
          <c:showVal val="1"/>
        </c:dLbls>
        <c:axId val="181340416"/>
        <c:axId val="181362688"/>
      </c:barChart>
      <c:catAx>
        <c:axId val="181340416"/>
        <c:scaling>
          <c:orientation val="minMax"/>
        </c:scaling>
        <c:axPos val="b"/>
        <c:numFmt formatCode="General" sourceLinked="1"/>
        <c:tickLblPos val="nextTo"/>
        <c:spPr>
          <a:ln w="2544">
            <a:solidFill>
              <a:srgbClr val="000000"/>
            </a:solidFill>
            <a:prstDash val="solid"/>
          </a:ln>
        </c:spPr>
        <c:txPr>
          <a:bodyPr rot="0" vert="horz"/>
          <a:lstStyle/>
          <a:p>
            <a:pPr>
              <a:defRPr sz="761" b="0" i="0" u="none" strike="noStrike" baseline="0">
                <a:solidFill>
                  <a:srgbClr val="000000"/>
                </a:solidFill>
                <a:latin typeface="Verdana"/>
                <a:ea typeface="Verdana"/>
                <a:cs typeface="Verdana"/>
              </a:defRPr>
            </a:pPr>
            <a:endParaRPr lang="en-US"/>
          </a:p>
        </c:txPr>
        <c:crossAx val="181362688"/>
        <c:crosses val="autoZero"/>
        <c:auto val="1"/>
        <c:lblAlgn val="ctr"/>
        <c:lblOffset val="100"/>
        <c:tickLblSkip val="1"/>
        <c:tickMarkSkip val="1"/>
      </c:catAx>
      <c:valAx>
        <c:axId val="181362688"/>
        <c:scaling>
          <c:orientation val="minMax"/>
          <c:max val="1"/>
        </c:scaling>
        <c:axPos val="l"/>
        <c:majorGridlines>
          <c:spPr>
            <a:ln w="2544">
              <a:solidFill>
                <a:srgbClr val="000000"/>
              </a:solidFill>
              <a:prstDash val="solid"/>
            </a:ln>
          </c:spPr>
        </c:majorGridlines>
        <c:numFmt formatCode="0%" sourceLinked="1"/>
        <c:tickLblPos val="nextTo"/>
        <c:spPr>
          <a:ln w="2544">
            <a:solidFill>
              <a:srgbClr val="000000"/>
            </a:solidFill>
            <a:prstDash val="solid"/>
          </a:ln>
        </c:spPr>
        <c:txPr>
          <a:bodyPr rot="0" vert="horz"/>
          <a:lstStyle/>
          <a:p>
            <a:pPr>
              <a:defRPr sz="761" b="0" i="0" u="none" strike="noStrike" baseline="0">
                <a:solidFill>
                  <a:srgbClr val="000000"/>
                </a:solidFill>
                <a:latin typeface="Verdana"/>
                <a:ea typeface="Verdana"/>
                <a:cs typeface="Verdana"/>
              </a:defRPr>
            </a:pPr>
            <a:endParaRPr lang="en-US"/>
          </a:p>
        </c:txPr>
        <c:crossAx val="181340416"/>
        <c:crosses val="autoZero"/>
        <c:crossBetween val="between"/>
      </c:valAx>
      <c:spPr>
        <a:noFill/>
        <a:ln w="10174">
          <a:solidFill>
            <a:srgbClr val="808080"/>
          </a:solidFill>
          <a:prstDash val="solid"/>
        </a:ln>
      </c:spPr>
    </c:plotArea>
    <c:legend>
      <c:legendPos val="b"/>
      <c:layout>
        <c:manualLayout>
          <c:xMode val="edge"/>
          <c:yMode val="edge"/>
          <c:x val="0.21980198019801983"/>
          <c:y val="0.92722371967654982"/>
          <c:w val="0.65544554455445569"/>
          <c:h val="6.4690026954177915E-2"/>
        </c:manualLayout>
      </c:layout>
      <c:spPr>
        <a:solidFill>
          <a:srgbClr val="FFFFFF"/>
        </a:solidFill>
        <a:ln w="2544">
          <a:solidFill>
            <a:srgbClr val="000000"/>
          </a:solidFill>
          <a:prstDash val="solid"/>
        </a:ln>
      </c:spPr>
      <c:txPr>
        <a:bodyPr/>
        <a:lstStyle/>
        <a:p>
          <a:pPr>
            <a:defRPr sz="697" b="0" i="0" u="none" strike="noStrike" baseline="0">
              <a:solidFill>
                <a:srgbClr val="000000"/>
              </a:solidFill>
              <a:latin typeface="Verdana"/>
              <a:ea typeface="Verdana"/>
              <a:cs typeface="Verdana"/>
            </a:defRPr>
          </a:pPr>
          <a:endParaRPr lang="en-US"/>
        </a:p>
      </c:txPr>
    </c:legend>
    <c:plotVisOnly val="1"/>
    <c:dispBlanksAs val="gap"/>
  </c:chart>
  <c:spPr>
    <a:solidFill>
      <a:srgbClr val="FFFFFF"/>
    </a:solidFill>
    <a:ln w="2544">
      <a:solidFill>
        <a:srgbClr val="000000"/>
      </a:solidFill>
      <a:prstDash val="solid"/>
    </a:ln>
  </c:spPr>
  <c:txPr>
    <a:bodyPr/>
    <a:lstStyle/>
    <a:p>
      <a:pPr>
        <a:defRPr sz="761" b="0" i="0" u="none" strike="noStrike" baseline="0">
          <a:solidFill>
            <a:srgbClr val="000000"/>
          </a:solidFill>
          <a:latin typeface="Verdana"/>
          <a:ea typeface="Verdana"/>
          <a:cs typeface="Verdana"/>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83168316831685"/>
          <c:y val="5.6603773584905662E-2"/>
          <c:w val="0.86336633663366347"/>
          <c:h val="0.75741239892183276"/>
        </c:manualLayout>
      </c:layout>
      <c:barChart>
        <c:barDir val="col"/>
        <c:grouping val="clustered"/>
        <c:ser>
          <c:idx val="0"/>
          <c:order val="0"/>
          <c:tx>
            <c:strRef>
              <c:f>wellchild!$A$43</c:f>
              <c:strCache>
                <c:ptCount val="1"/>
                <c:pt idx="0">
                  <c:v>Iowa Health Solutions</c:v>
                </c:pt>
              </c:strCache>
            </c:strRef>
          </c:tx>
          <c:spPr>
            <a:solidFill>
              <a:srgbClr val="C0C0C0"/>
            </a:solidFill>
            <a:ln w="10869">
              <a:solidFill>
                <a:srgbClr val="000000"/>
              </a:solidFill>
              <a:prstDash val="solid"/>
            </a:ln>
          </c:spPr>
          <c:dLbls>
            <c:spPr>
              <a:noFill/>
              <a:ln w="21738">
                <a:noFill/>
              </a:ln>
            </c:spPr>
            <c:txPr>
              <a:bodyPr/>
              <a:lstStyle/>
              <a:p>
                <a:pPr>
                  <a:defRPr sz="813" b="0" i="0" u="none" strike="noStrike" baseline="0">
                    <a:solidFill>
                      <a:srgbClr val="000000"/>
                    </a:solidFill>
                    <a:latin typeface="Verdana"/>
                    <a:ea typeface="Verdana"/>
                    <a:cs typeface="Verdana"/>
                  </a:defRPr>
                </a:pPr>
                <a:endParaRPr lang="en-US"/>
              </a:p>
            </c:txPr>
            <c:showVal val="1"/>
          </c:dLbls>
          <c:cat>
            <c:strRef>
              <c:f>wellchild!$B$42:$E$42</c:f>
              <c:strCache>
                <c:ptCount val="4"/>
                <c:pt idx="0">
                  <c:v>3 years of age</c:v>
                </c:pt>
                <c:pt idx="1">
                  <c:v>4 years of age</c:v>
                </c:pt>
                <c:pt idx="2">
                  <c:v>5 years of age</c:v>
                </c:pt>
                <c:pt idx="3">
                  <c:v>6 years of age</c:v>
                </c:pt>
              </c:strCache>
            </c:strRef>
          </c:cat>
          <c:val>
            <c:numRef>
              <c:f>wellchild!$B$43:$E$43</c:f>
              <c:numCache>
                <c:formatCode>0%</c:formatCode>
                <c:ptCount val="4"/>
                <c:pt idx="0">
                  <c:v>0.35000000000000003</c:v>
                </c:pt>
                <c:pt idx="1">
                  <c:v>0.39000000000000007</c:v>
                </c:pt>
                <c:pt idx="2">
                  <c:v>0.38000000000000006</c:v>
                </c:pt>
                <c:pt idx="3">
                  <c:v>0.29000000000000004</c:v>
                </c:pt>
              </c:numCache>
            </c:numRef>
          </c:val>
        </c:ser>
        <c:ser>
          <c:idx val="1"/>
          <c:order val="1"/>
          <c:tx>
            <c:strRef>
              <c:f>wellchild!$A$44</c:f>
              <c:strCache>
                <c:ptCount val="1"/>
                <c:pt idx="0">
                  <c:v>John Deere</c:v>
                </c:pt>
              </c:strCache>
            </c:strRef>
          </c:tx>
          <c:spPr>
            <a:solidFill>
              <a:srgbClr val="808080"/>
            </a:solidFill>
            <a:ln w="10869">
              <a:solidFill>
                <a:srgbClr val="000000"/>
              </a:solidFill>
              <a:prstDash val="solid"/>
            </a:ln>
          </c:spPr>
          <c:dLbls>
            <c:spPr>
              <a:noFill/>
              <a:ln w="21738">
                <a:noFill/>
              </a:ln>
            </c:spPr>
            <c:txPr>
              <a:bodyPr/>
              <a:lstStyle/>
              <a:p>
                <a:pPr>
                  <a:defRPr sz="813" b="0" i="0" u="none" strike="noStrike" baseline="0">
                    <a:solidFill>
                      <a:srgbClr val="000000"/>
                    </a:solidFill>
                    <a:latin typeface="Verdana"/>
                    <a:ea typeface="Verdana"/>
                    <a:cs typeface="Verdana"/>
                  </a:defRPr>
                </a:pPr>
                <a:endParaRPr lang="en-US"/>
              </a:p>
            </c:txPr>
            <c:showVal val="1"/>
          </c:dLbls>
          <c:cat>
            <c:strRef>
              <c:f>wellchild!$B$42:$E$42</c:f>
              <c:strCache>
                <c:ptCount val="4"/>
                <c:pt idx="0">
                  <c:v>3 years of age</c:v>
                </c:pt>
                <c:pt idx="1">
                  <c:v>4 years of age</c:v>
                </c:pt>
                <c:pt idx="2">
                  <c:v>5 years of age</c:v>
                </c:pt>
                <c:pt idx="3">
                  <c:v>6 years of age</c:v>
                </c:pt>
              </c:strCache>
            </c:strRef>
          </c:cat>
          <c:val>
            <c:numRef>
              <c:f>wellchild!$B$44:$E$44</c:f>
              <c:numCache>
                <c:formatCode>0%</c:formatCode>
                <c:ptCount val="4"/>
                <c:pt idx="0">
                  <c:v>0.35000000000000003</c:v>
                </c:pt>
                <c:pt idx="1">
                  <c:v>0.60000000000000009</c:v>
                </c:pt>
                <c:pt idx="2">
                  <c:v>0.44</c:v>
                </c:pt>
                <c:pt idx="3">
                  <c:v>0.36000000000000004</c:v>
                </c:pt>
              </c:numCache>
            </c:numRef>
          </c:val>
        </c:ser>
        <c:ser>
          <c:idx val="2"/>
          <c:order val="2"/>
          <c:tx>
            <c:strRef>
              <c:f>wellchild!$A$45</c:f>
              <c:strCache>
                <c:ptCount val="1"/>
                <c:pt idx="0">
                  <c:v>Wellmark</c:v>
                </c:pt>
              </c:strCache>
            </c:strRef>
          </c:tx>
          <c:spPr>
            <a:solidFill>
              <a:srgbClr val="333333"/>
            </a:solidFill>
            <a:ln w="10869">
              <a:solidFill>
                <a:srgbClr val="000000"/>
              </a:solidFill>
              <a:prstDash val="solid"/>
            </a:ln>
          </c:spPr>
          <c:dLbls>
            <c:spPr>
              <a:noFill/>
              <a:ln w="21738">
                <a:noFill/>
              </a:ln>
            </c:spPr>
            <c:txPr>
              <a:bodyPr/>
              <a:lstStyle/>
              <a:p>
                <a:pPr>
                  <a:defRPr sz="813" b="0" i="0" u="none" strike="noStrike" baseline="0">
                    <a:solidFill>
                      <a:srgbClr val="000000"/>
                    </a:solidFill>
                    <a:latin typeface="Verdana"/>
                    <a:ea typeface="Verdana"/>
                    <a:cs typeface="Verdana"/>
                  </a:defRPr>
                </a:pPr>
                <a:endParaRPr lang="en-US"/>
              </a:p>
            </c:txPr>
            <c:showVal val="1"/>
          </c:dLbls>
          <c:cat>
            <c:strRef>
              <c:f>wellchild!$B$42:$E$42</c:f>
              <c:strCache>
                <c:ptCount val="4"/>
                <c:pt idx="0">
                  <c:v>3 years of age</c:v>
                </c:pt>
                <c:pt idx="1">
                  <c:v>4 years of age</c:v>
                </c:pt>
                <c:pt idx="2">
                  <c:v>5 years of age</c:v>
                </c:pt>
                <c:pt idx="3">
                  <c:v>6 years of age</c:v>
                </c:pt>
              </c:strCache>
            </c:strRef>
          </c:cat>
          <c:val>
            <c:numRef>
              <c:f>wellchild!$B$45:$E$45</c:f>
              <c:numCache>
                <c:formatCode>0%</c:formatCode>
                <c:ptCount val="4"/>
                <c:pt idx="0">
                  <c:v>0.25</c:v>
                </c:pt>
                <c:pt idx="1">
                  <c:v>0.42000000000000004</c:v>
                </c:pt>
                <c:pt idx="2">
                  <c:v>0.45</c:v>
                </c:pt>
                <c:pt idx="3">
                  <c:v>0.22</c:v>
                </c:pt>
              </c:numCache>
            </c:numRef>
          </c:val>
        </c:ser>
        <c:dLbls>
          <c:showVal val="1"/>
        </c:dLbls>
        <c:axId val="176503424"/>
        <c:axId val="176517504"/>
      </c:barChart>
      <c:catAx>
        <c:axId val="176503424"/>
        <c:scaling>
          <c:orientation val="minMax"/>
        </c:scaling>
        <c:axPos val="b"/>
        <c:numFmt formatCode="General" sourceLinked="1"/>
        <c:tickLblPos val="nextTo"/>
        <c:spPr>
          <a:ln w="2717">
            <a:solidFill>
              <a:srgbClr val="000000"/>
            </a:solidFill>
            <a:prstDash val="solid"/>
          </a:ln>
        </c:spPr>
        <c:txPr>
          <a:bodyPr rot="0" vert="horz"/>
          <a:lstStyle/>
          <a:p>
            <a:pPr>
              <a:defRPr sz="813" b="0" i="0" u="none" strike="noStrike" baseline="0">
                <a:solidFill>
                  <a:srgbClr val="000000"/>
                </a:solidFill>
                <a:latin typeface="Verdana"/>
                <a:ea typeface="Verdana"/>
                <a:cs typeface="Verdana"/>
              </a:defRPr>
            </a:pPr>
            <a:endParaRPr lang="en-US"/>
          </a:p>
        </c:txPr>
        <c:crossAx val="176517504"/>
        <c:crosses val="autoZero"/>
        <c:auto val="1"/>
        <c:lblAlgn val="ctr"/>
        <c:lblOffset val="100"/>
        <c:tickLblSkip val="1"/>
        <c:tickMarkSkip val="1"/>
      </c:catAx>
      <c:valAx>
        <c:axId val="176517504"/>
        <c:scaling>
          <c:orientation val="minMax"/>
          <c:max val="1"/>
        </c:scaling>
        <c:axPos val="l"/>
        <c:majorGridlines>
          <c:spPr>
            <a:ln w="2717">
              <a:solidFill>
                <a:srgbClr val="000000"/>
              </a:solidFill>
              <a:prstDash val="solid"/>
            </a:ln>
          </c:spPr>
        </c:majorGridlines>
        <c:numFmt formatCode="0%" sourceLinked="1"/>
        <c:tickLblPos val="nextTo"/>
        <c:spPr>
          <a:ln w="2717">
            <a:solidFill>
              <a:srgbClr val="000000"/>
            </a:solidFill>
            <a:prstDash val="solid"/>
          </a:ln>
        </c:spPr>
        <c:txPr>
          <a:bodyPr rot="0" vert="horz"/>
          <a:lstStyle/>
          <a:p>
            <a:pPr>
              <a:defRPr sz="813" b="0" i="0" u="none" strike="noStrike" baseline="0">
                <a:solidFill>
                  <a:srgbClr val="000000"/>
                </a:solidFill>
                <a:latin typeface="Verdana"/>
                <a:ea typeface="Verdana"/>
                <a:cs typeface="Verdana"/>
              </a:defRPr>
            </a:pPr>
            <a:endParaRPr lang="en-US"/>
          </a:p>
        </c:txPr>
        <c:crossAx val="176503424"/>
        <c:crosses val="autoZero"/>
        <c:crossBetween val="between"/>
      </c:valAx>
      <c:spPr>
        <a:noFill/>
        <a:ln w="10869">
          <a:solidFill>
            <a:srgbClr val="808080"/>
          </a:solidFill>
          <a:prstDash val="solid"/>
        </a:ln>
      </c:spPr>
    </c:plotArea>
    <c:legend>
      <c:legendPos val="b"/>
      <c:layout>
        <c:manualLayout>
          <c:xMode val="edge"/>
          <c:yMode val="edge"/>
          <c:x val="0.21980198019801983"/>
          <c:y val="0.92722371967654982"/>
          <c:w val="0.65544554455445569"/>
          <c:h val="6.4690026954177915E-2"/>
        </c:manualLayout>
      </c:layout>
      <c:spPr>
        <a:solidFill>
          <a:srgbClr val="FFFFFF"/>
        </a:solidFill>
        <a:ln w="2717">
          <a:solidFill>
            <a:srgbClr val="000000"/>
          </a:solidFill>
          <a:prstDash val="solid"/>
        </a:ln>
      </c:spPr>
      <c:txPr>
        <a:bodyPr/>
        <a:lstStyle/>
        <a:p>
          <a:pPr>
            <a:defRPr sz="745" b="0" i="0" u="none" strike="noStrike" baseline="0">
              <a:solidFill>
                <a:srgbClr val="000000"/>
              </a:solidFill>
              <a:latin typeface="Verdana"/>
              <a:ea typeface="Verdana"/>
              <a:cs typeface="Verdana"/>
            </a:defRPr>
          </a:pPr>
          <a:endParaRPr lang="en-US"/>
        </a:p>
      </c:txPr>
    </c:legend>
    <c:plotVisOnly val="1"/>
    <c:dispBlanksAs val="gap"/>
  </c:chart>
  <c:spPr>
    <a:solidFill>
      <a:srgbClr val="FFFFFF"/>
    </a:solidFill>
    <a:ln w="2717">
      <a:solidFill>
        <a:srgbClr val="000000"/>
      </a:solidFill>
      <a:prstDash val="solid"/>
    </a:ln>
  </c:spPr>
  <c:txPr>
    <a:bodyPr/>
    <a:lstStyle/>
    <a:p>
      <a:pPr>
        <a:defRPr sz="813" b="0" i="0" u="none" strike="noStrike" baseline="0">
          <a:solidFill>
            <a:srgbClr val="000000"/>
          </a:solidFill>
          <a:latin typeface="Verdana"/>
          <a:ea typeface="Verdana"/>
          <a:cs typeface="Verdana"/>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683168316831685"/>
          <c:y val="5.6603773584905662E-2"/>
          <c:w val="0.86336633663366347"/>
          <c:h val="0.78706199460916448"/>
        </c:manualLayout>
      </c:layout>
      <c:barChart>
        <c:barDir val="col"/>
        <c:grouping val="clustered"/>
        <c:ser>
          <c:idx val="0"/>
          <c:order val="0"/>
          <c:tx>
            <c:strRef>
              <c:f>wellchild!$B$112</c:f>
              <c:strCache>
                <c:ptCount val="1"/>
                <c:pt idx="0">
                  <c:v>12-19 years of age</c:v>
                </c:pt>
              </c:strCache>
            </c:strRef>
          </c:tx>
          <c:spPr>
            <a:solidFill>
              <a:srgbClr val="808080"/>
            </a:solidFill>
            <a:ln w="10472">
              <a:solidFill>
                <a:srgbClr val="000000"/>
              </a:solidFill>
              <a:prstDash val="solid"/>
            </a:ln>
          </c:spPr>
          <c:dLbls>
            <c:spPr>
              <a:noFill/>
              <a:ln w="20943">
                <a:noFill/>
              </a:ln>
            </c:spPr>
            <c:txPr>
              <a:bodyPr/>
              <a:lstStyle/>
              <a:p>
                <a:pPr>
                  <a:defRPr sz="783" b="0" i="0" u="none" strike="noStrike" baseline="0">
                    <a:solidFill>
                      <a:srgbClr val="000000"/>
                    </a:solidFill>
                    <a:latin typeface="Verdana"/>
                    <a:ea typeface="Verdana"/>
                    <a:cs typeface="Verdana"/>
                  </a:defRPr>
                </a:pPr>
                <a:endParaRPr lang="en-US"/>
              </a:p>
            </c:txPr>
            <c:showVal val="1"/>
          </c:dLbls>
          <c:cat>
            <c:strRef>
              <c:f>wellchild!$A$113:$A$117</c:f>
              <c:strCache>
                <c:ptCount val="5"/>
                <c:pt idx="0">
                  <c:v>APHSA, 1999</c:v>
                </c:pt>
                <c:pt idx="1">
                  <c:v>APHSA, 2001</c:v>
                </c:pt>
                <c:pt idx="2">
                  <c:v>Iowa Health Solutions</c:v>
                </c:pt>
                <c:pt idx="3">
                  <c:v>John Deere</c:v>
                </c:pt>
                <c:pt idx="4">
                  <c:v>Wellmark</c:v>
                </c:pt>
              </c:strCache>
            </c:strRef>
          </c:cat>
          <c:val>
            <c:numRef>
              <c:f>wellchild!$B$113:$B$117</c:f>
              <c:numCache>
                <c:formatCode>0%</c:formatCode>
                <c:ptCount val="5"/>
                <c:pt idx="0">
                  <c:v>0.29000000000000004</c:v>
                </c:pt>
                <c:pt idx="1">
                  <c:v>0.31000000000000005</c:v>
                </c:pt>
                <c:pt idx="2">
                  <c:v>0.19</c:v>
                </c:pt>
                <c:pt idx="3">
                  <c:v>0.30000000000000004</c:v>
                </c:pt>
                <c:pt idx="4">
                  <c:v>0.19</c:v>
                </c:pt>
              </c:numCache>
            </c:numRef>
          </c:val>
        </c:ser>
        <c:axId val="162053504"/>
        <c:axId val="162059392"/>
      </c:barChart>
      <c:catAx>
        <c:axId val="162053504"/>
        <c:scaling>
          <c:orientation val="minMax"/>
        </c:scaling>
        <c:axPos val="b"/>
        <c:numFmt formatCode="General" sourceLinked="1"/>
        <c:tickLblPos val="nextTo"/>
        <c:spPr>
          <a:ln w="2618">
            <a:solidFill>
              <a:srgbClr val="000000"/>
            </a:solidFill>
            <a:prstDash val="solid"/>
          </a:ln>
        </c:spPr>
        <c:txPr>
          <a:bodyPr rot="0" vert="horz"/>
          <a:lstStyle/>
          <a:p>
            <a:pPr>
              <a:defRPr sz="783" b="0" i="0" u="none" strike="noStrike" baseline="0">
                <a:solidFill>
                  <a:srgbClr val="000000"/>
                </a:solidFill>
                <a:latin typeface="Verdana"/>
                <a:ea typeface="Verdana"/>
                <a:cs typeface="Verdana"/>
              </a:defRPr>
            </a:pPr>
            <a:endParaRPr lang="en-US"/>
          </a:p>
        </c:txPr>
        <c:crossAx val="162059392"/>
        <c:crosses val="autoZero"/>
        <c:auto val="1"/>
        <c:lblAlgn val="ctr"/>
        <c:lblOffset val="100"/>
        <c:tickLblSkip val="1"/>
        <c:tickMarkSkip val="1"/>
      </c:catAx>
      <c:valAx>
        <c:axId val="162059392"/>
        <c:scaling>
          <c:orientation val="minMax"/>
          <c:max val="1"/>
        </c:scaling>
        <c:axPos val="l"/>
        <c:majorGridlines>
          <c:spPr>
            <a:ln w="2618">
              <a:solidFill>
                <a:srgbClr val="000000"/>
              </a:solidFill>
              <a:prstDash val="solid"/>
            </a:ln>
          </c:spPr>
        </c:majorGridlines>
        <c:numFmt formatCode="0%" sourceLinked="1"/>
        <c:tickLblPos val="nextTo"/>
        <c:spPr>
          <a:ln w="2618">
            <a:solidFill>
              <a:srgbClr val="000000"/>
            </a:solidFill>
            <a:prstDash val="solid"/>
          </a:ln>
        </c:spPr>
        <c:txPr>
          <a:bodyPr rot="0" vert="horz"/>
          <a:lstStyle/>
          <a:p>
            <a:pPr>
              <a:defRPr sz="783" b="0" i="0" u="none" strike="noStrike" baseline="0">
                <a:solidFill>
                  <a:srgbClr val="000000"/>
                </a:solidFill>
                <a:latin typeface="Verdana"/>
                <a:ea typeface="Verdana"/>
                <a:cs typeface="Verdana"/>
              </a:defRPr>
            </a:pPr>
            <a:endParaRPr lang="en-US"/>
          </a:p>
        </c:txPr>
        <c:crossAx val="162053504"/>
        <c:crosses val="autoZero"/>
        <c:crossBetween val="between"/>
      </c:valAx>
      <c:spPr>
        <a:noFill/>
        <a:ln w="10472">
          <a:solidFill>
            <a:srgbClr val="808080"/>
          </a:solidFill>
          <a:prstDash val="solid"/>
        </a:ln>
      </c:spPr>
    </c:plotArea>
    <c:plotVisOnly val="1"/>
    <c:dispBlanksAs val="gap"/>
  </c:chart>
  <c:spPr>
    <a:solidFill>
      <a:srgbClr val="FFFFFF"/>
    </a:solidFill>
    <a:ln w="2618">
      <a:solidFill>
        <a:srgbClr val="000000"/>
      </a:solidFill>
      <a:prstDash val="solid"/>
    </a:ln>
  </c:spPr>
  <c:txPr>
    <a:bodyPr/>
    <a:lstStyle/>
    <a:p>
      <a:pPr>
        <a:defRPr sz="783" b="0" i="0" u="none" strike="noStrike" baseline="0">
          <a:solidFill>
            <a:srgbClr val="000000"/>
          </a:solidFill>
          <a:latin typeface="Verdana"/>
          <a:ea typeface="Verdana"/>
          <a:cs typeface="Verdana"/>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37080867850098"/>
          <c:y val="5.6603773584905662E-2"/>
          <c:w val="0.86390532544378706"/>
          <c:h val="0.71159029649595684"/>
        </c:manualLayout>
      </c:layout>
      <c:barChart>
        <c:barDir val="col"/>
        <c:grouping val="clustered"/>
        <c:ser>
          <c:idx val="0"/>
          <c:order val="0"/>
          <c:tx>
            <c:strRef>
              <c:f>Sheet1!$A$75</c:f>
              <c:strCache>
                <c:ptCount val="1"/>
                <c:pt idx="0">
                  <c:v>Iowa Health Solutions</c:v>
                </c:pt>
              </c:strCache>
            </c:strRef>
          </c:tx>
          <c:spPr>
            <a:solidFill>
              <a:srgbClr val="C0C0C0"/>
            </a:solidFill>
            <a:ln w="12681">
              <a:solidFill>
                <a:srgbClr val="000000"/>
              </a:solidFill>
              <a:prstDash val="solid"/>
            </a:ln>
          </c:spPr>
          <c:dLbls>
            <c:spPr>
              <a:noFill/>
              <a:ln w="25362">
                <a:noFill/>
              </a:ln>
            </c:spPr>
            <c:txPr>
              <a:bodyPr/>
              <a:lstStyle/>
              <a:p>
                <a:pPr>
                  <a:defRPr sz="974" b="1" i="0" u="none" strike="noStrike" baseline="0">
                    <a:solidFill>
                      <a:srgbClr val="000000"/>
                    </a:solidFill>
                    <a:latin typeface="Times"/>
                    <a:ea typeface="Times"/>
                    <a:cs typeface="Times"/>
                  </a:defRPr>
                </a:pPr>
                <a:endParaRPr lang="en-US"/>
              </a:p>
            </c:txPr>
            <c:showVal val="1"/>
          </c:dLbls>
          <c:cat>
            <c:strRef>
              <c:f>Sheet1!$B$74:$E$74</c:f>
              <c:strCache>
                <c:ptCount val="4"/>
                <c:pt idx="0">
                  <c:v>2-6 years of age</c:v>
                </c:pt>
                <c:pt idx="1">
                  <c:v>7-11 years of age</c:v>
                </c:pt>
                <c:pt idx="2">
                  <c:v>12-15 years of age</c:v>
                </c:pt>
                <c:pt idx="3">
                  <c:v>16-18 years of age</c:v>
                </c:pt>
              </c:strCache>
            </c:strRef>
          </c:cat>
          <c:val>
            <c:numRef>
              <c:f>Sheet1!$B$75:$E$75</c:f>
              <c:numCache>
                <c:formatCode>0%</c:formatCode>
                <c:ptCount val="4"/>
                <c:pt idx="0">
                  <c:v>0.13</c:v>
                </c:pt>
                <c:pt idx="1">
                  <c:v>0.26</c:v>
                </c:pt>
                <c:pt idx="2">
                  <c:v>0.2</c:v>
                </c:pt>
                <c:pt idx="3">
                  <c:v>0.15000000000000002</c:v>
                </c:pt>
              </c:numCache>
            </c:numRef>
          </c:val>
        </c:ser>
        <c:ser>
          <c:idx val="1"/>
          <c:order val="1"/>
          <c:tx>
            <c:strRef>
              <c:f>Sheet1!$A$76</c:f>
              <c:strCache>
                <c:ptCount val="1"/>
                <c:pt idx="0">
                  <c:v>John Deere</c:v>
                </c:pt>
              </c:strCache>
            </c:strRef>
          </c:tx>
          <c:spPr>
            <a:solidFill>
              <a:srgbClr val="808080"/>
            </a:solidFill>
            <a:ln w="12681">
              <a:solidFill>
                <a:srgbClr val="000000"/>
              </a:solidFill>
              <a:prstDash val="solid"/>
            </a:ln>
          </c:spPr>
          <c:dLbls>
            <c:dLbl>
              <c:idx val="1"/>
              <c:layout>
                <c:manualLayout>
                  <c:xMode val="edge"/>
                  <c:yMode val="edge"/>
                  <c:x val="0.38461538461538469"/>
                  <c:y val="0.41509433962264164"/>
                </c:manualLayout>
              </c:layout>
              <c:dLblPos val="outEnd"/>
              <c:showVal val="1"/>
            </c:dLbl>
            <c:spPr>
              <a:noFill/>
              <a:ln w="25362">
                <a:noFill/>
              </a:ln>
            </c:spPr>
            <c:txPr>
              <a:bodyPr/>
              <a:lstStyle/>
              <a:p>
                <a:pPr>
                  <a:defRPr sz="974" b="1" i="0" u="none" strike="noStrike" baseline="0">
                    <a:solidFill>
                      <a:srgbClr val="000000"/>
                    </a:solidFill>
                    <a:latin typeface="Times"/>
                    <a:ea typeface="Times"/>
                    <a:cs typeface="Times"/>
                  </a:defRPr>
                </a:pPr>
                <a:endParaRPr lang="en-US"/>
              </a:p>
            </c:txPr>
            <c:showVal val="1"/>
          </c:dLbls>
          <c:cat>
            <c:strRef>
              <c:f>Sheet1!$B$74:$E$74</c:f>
              <c:strCache>
                <c:ptCount val="4"/>
                <c:pt idx="0">
                  <c:v>2-6 years of age</c:v>
                </c:pt>
                <c:pt idx="1">
                  <c:v>7-11 years of age</c:v>
                </c:pt>
                <c:pt idx="2">
                  <c:v>12-15 years of age</c:v>
                </c:pt>
                <c:pt idx="3">
                  <c:v>16-18 years of age</c:v>
                </c:pt>
              </c:strCache>
            </c:strRef>
          </c:cat>
          <c:val>
            <c:numRef>
              <c:f>Sheet1!$B$76:$E$76</c:f>
              <c:numCache>
                <c:formatCode>0%</c:formatCode>
                <c:ptCount val="4"/>
                <c:pt idx="0">
                  <c:v>0.28000000000000008</c:v>
                </c:pt>
                <c:pt idx="1">
                  <c:v>0.4</c:v>
                </c:pt>
                <c:pt idx="2">
                  <c:v>0.36000000000000004</c:v>
                </c:pt>
                <c:pt idx="3">
                  <c:v>0.36000000000000004</c:v>
                </c:pt>
              </c:numCache>
            </c:numRef>
          </c:val>
        </c:ser>
        <c:ser>
          <c:idx val="2"/>
          <c:order val="2"/>
          <c:tx>
            <c:strRef>
              <c:f>Sheet1!$A$77</c:f>
              <c:strCache>
                <c:ptCount val="1"/>
                <c:pt idx="0">
                  <c:v>Wellmark</c:v>
                </c:pt>
              </c:strCache>
            </c:strRef>
          </c:tx>
          <c:spPr>
            <a:solidFill>
              <a:srgbClr val="333333"/>
            </a:solidFill>
            <a:ln w="12681">
              <a:solidFill>
                <a:srgbClr val="000000"/>
              </a:solidFill>
              <a:prstDash val="solid"/>
            </a:ln>
          </c:spPr>
          <c:dLbls>
            <c:dLbl>
              <c:idx val="0"/>
              <c:layout>
                <c:manualLayout>
                  <c:xMode val="edge"/>
                  <c:yMode val="edge"/>
                  <c:x val="0.27810650887573962"/>
                  <c:y val="0.5525606469002694"/>
                </c:manualLayout>
              </c:layout>
              <c:dLblPos val="outEnd"/>
              <c:showVal val="1"/>
            </c:dLbl>
            <c:dLbl>
              <c:idx val="1"/>
              <c:layout>
                <c:manualLayout>
                  <c:xMode val="edge"/>
                  <c:yMode val="edge"/>
                  <c:x val="0.48915187376725844"/>
                  <c:y val="0.41239892183288424"/>
                </c:manualLayout>
              </c:layout>
              <c:dLblPos val="outEnd"/>
              <c:showVal val="1"/>
            </c:dLbl>
            <c:dLbl>
              <c:idx val="2"/>
              <c:layout>
                <c:manualLayout>
                  <c:xMode val="edge"/>
                  <c:yMode val="edge"/>
                  <c:x val="0.7100591715976331"/>
                  <c:y val="0.42048517520215645"/>
                </c:manualLayout>
              </c:layout>
              <c:dLblPos val="outEnd"/>
              <c:showVal val="1"/>
            </c:dLbl>
            <c:dLbl>
              <c:idx val="3"/>
              <c:layout>
                <c:manualLayout>
                  <c:xMode val="edge"/>
                  <c:yMode val="edge"/>
                  <c:x val="0.92702169625246555"/>
                  <c:y val="0.4824797843665769"/>
                </c:manualLayout>
              </c:layout>
              <c:dLblPos val="outEnd"/>
              <c:showVal val="1"/>
            </c:dLbl>
            <c:spPr>
              <a:noFill/>
              <a:ln w="25362">
                <a:noFill/>
              </a:ln>
            </c:spPr>
            <c:txPr>
              <a:bodyPr/>
              <a:lstStyle/>
              <a:p>
                <a:pPr>
                  <a:defRPr sz="974" b="1" i="0" u="none" strike="noStrike" baseline="0">
                    <a:solidFill>
                      <a:srgbClr val="000000"/>
                    </a:solidFill>
                    <a:latin typeface="Times"/>
                    <a:ea typeface="Times"/>
                    <a:cs typeface="Times"/>
                  </a:defRPr>
                </a:pPr>
                <a:endParaRPr lang="en-US"/>
              </a:p>
            </c:txPr>
            <c:showVal val="1"/>
          </c:dLbls>
          <c:cat>
            <c:strRef>
              <c:f>Sheet1!$B$74:$E$74</c:f>
              <c:strCache>
                <c:ptCount val="4"/>
                <c:pt idx="0">
                  <c:v>2-6 years of age</c:v>
                </c:pt>
                <c:pt idx="1">
                  <c:v>7-11 years of age</c:v>
                </c:pt>
                <c:pt idx="2">
                  <c:v>12-15 years of age</c:v>
                </c:pt>
                <c:pt idx="3">
                  <c:v>16-18 years of age</c:v>
                </c:pt>
              </c:strCache>
            </c:strRef>
          </c:cat>
          <c:val>
            <c:numRef>
              <c:f>Sheet1!$B$77:$E$77</c:f>
              <c:numCache>
                <c:formatCode>0%</c:formatCode>
                <c:ptCount val="4"/>
                <c:pt idx="0">
                  <c:v>0.22</c:v>
                </c:pt>
                <c:pt idx="1">
                  <c:v>0.41000000000000003</c:v>
                </c:pt>
                <c:pt idx="2">
                  <c:v>0.39000000000000007</c:v>
                </c:pt>
                <c:pt idx="3">
                  <c:v>0.32000000000000006</c:v>
                </c:pt>
              </c:numCache>
            </c:numRef>
          </c:val>
        </c:ser>
        <c:axId val="162019584"/>
        <c:axId val="162025472"/>
      </c:barChart>
      <c:catAx>
        <c:axId val="162019584"/>
        <c:scaling>
          <c:orientation val="minMax"/>
        </c:scaling>
        <c:axPos val="b"/>
        <c:numFmt formatCode="General" sourceLinked="1"/>
        <c:tickLblPos val="nextTo"/>
        <c:spPr>
          <a:ln w="3170">
            <a:solidFill>
              <a:srgbClr val="000000"/>
            </a:solidFill>
            <a:prstDash val="solid"/>
          </a:ln>
        </c:spPr>
        <c:txPr>
          <a:bodyPr rot="0" vert="horz"/>
          <a:lstStyle/>
          <a:p>
            <a:pPr>
              <a:defRPr sz="949" b="0" i="0" u="none" strike="noStrike" baseline="0">
                <a:solidFill>
                  <a:srgbClr val="000000"/>
                </a:solidFill>
                <a:latin typeface="Verdana"/>
                <a:ea typeface="Verdana"/>
                <a:cs typeface="Verdana"/>
              </a:defRPr>
            </a:pPr>
            <a:endParaRPr lang="en-US"/>
          </a:p>
        </c:txPr>
        <c:crossAx val="162025472"/>
        <c:crosses val="autoZero"/>
        <c:auto val="1"/>
        <c:lblAlgn val="ctr"/>
        <c:lblOffset val="100"/>
        <c:tickLblSkip val="1"/>
        <c:tickMarkSkip val="1"/>
      </c:catAx>
      <c:valAx>
        <c:axId val="162025472"/>
        <c:scaling>
          <c:orientation val="minMax"/>
          <c:max val="1"/>
        </c:scaling>
        <c:axPos val="l"/>
        <c:majorGridlines>
          <c:spPr>
            <a:ln w="3170">
              <a:solidFill>
                <a:srgbClr val="000000"/>
              </a:solidFill>
              <a:prstDash val="solid"/>
            </a:ln>
          </c:spPr>
        </c:majorGridlines>
        <c:numFmt formatCode="0%" sourceLinked="1"/>
        <c:tickLblPos val="nextTo"/>
        <c:spPr>
          <a:ln w="3170">
            <a:solidFill>
              <a:srgbClr val="000000"/>
            </a:solidFill>
            <a:prstDash val="solid"/>
          </a:ln>
        </c:spPr>
        <c:txPr>
          <a:bodyPr rot="0" vert="horz"/>
          <a:lstStyle/>
          <a:p>
            <a:pPr>
              <a:defRPr sz="949" b="0" i="0" u="none" strike="noStrike" baseline="0">
                <a:solidFill>
                  <a:srgbClr val="000000"/>
                </a:solidFill>
                <a:latin typeface="Verdana"/>
                <a:ea typeface="Verdana"/>
                <a:cs typeface="Verdana"/>
              </a:defRPr>
            </a:pPr>
            <a:endParaRPr lang="en-US"/>
          </a:p>
        </c:txPr>
        <c:crossAx val="162019584"/>
        <c:crosses val="autoZero"/>
        <c:crossBetween val="between"/>
      </c:valAx>
      <c:spPr>
        <a:noFill/>
        <a:ln w="12681">
          <a:solidFill>
            <a:srgbClr val="808080"/>
          </a:solidFill>
          <a:prstDash val="solid"/>
        </a:ln>
      </c:spPr>
    </c:plotArea>
    <c:legend>
      <c:legendPos val="b"/>
      <c:layout>
        <c:manualLayout>
          <c:xMode val="edge"/>
          <c:yMode val="edge"/>
          <c:x val="0.22090729783037477"/>
          <c:y val="0.92722371967654982"/>
          <c:w val="0.65285996055226825"/>
          <c:h val="6.4690026954177915E-2"/>
        </c:manualLayout>
      </c:layout>
      <c:spPr>
        <a:solidFill>
          <a:srgbClr val="FFFFFF"/>
        </a:solidFill>
        <a:ln w="3170">
          <a:solidFill>
            <a:srgbClr val="000000"/>
          </a:solidFill>
          <a:prstDash val="solid"/>
        </a:ln>
      </c:spPr>
      <c:txPr>
        <a:bodyPr/>
        <a:lstStyle/>
        <a:p>
          <a:pPr>
            <a:defRPr sz="869" b="0" i="0" u="none" strike="noStrike" baseline="0">
              <a:solidFill>
                <a:srgbClr val="000000"/>
              </a:solidFill>
              <a:latin typeface="Verdana"/>
              <a:ea typeface="Verdana"/>
              <a:cs typeface="Verdana"/>
            </a:defRPr>
          </a:pPr>
          <a:endParaRPr lang="en-US"/>
        </a:p>
      </c:txPr>
    </c:legend>
    <c:plotVisOnly val="1"/>
    <c:dispBlanksAs val="gap"/>
  </c:chart>
  <c:spPr>
    <a:solidFill>
      <a:srgbClr val="FFFFFF"/>
    </a:solidFill>
    <a:ln w="3170">
      <a:solidFill>
        <a:srgbClr val="000000"/>
      </a:solidFill>
      <a:prstDash val="solid"/>
    </a:ln>
  </c:spPr>
  <c:txPr>
    <a:bodyPr/>
    <a:lstStyle/>
    <a:p>
      <a:pPr>
        <a:defRPr sz="949" b="0" i="0" u="none" strike="noStrike" baseline="0">
          <a:solidFill>
            <a:srgbClr val="000000"/>
          </a:solidFill>
          <a:latin typeface="Verdana"/>
          <a:ea typeface="Verdana"/>
          <a:cs typeface="Verdana"/>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37080867850098"/>
          <c:y val="5.6603773584905662E-2"/>
          <c:w val="0.86390532544378706"/>
          <c:h val="0.71159029649595684"/>
        </c:manualLayout>
      </c:layout>
      <c:barChart>
        <c:barDir val="col"/>
        <c:grouping val="clustered"/>
        <c:ser>
          <c:idx val="0"/>
          <c:order val="0"/>
          <c:tx>
            <c:strRef>
              <c:f>Sheet1!$A$2</c:f>
              <c:strCache>
                <c:ptCount val="1"/>
                <c:pt idx="0">
                  <c:v>Iowa Health Solutions</c:v>
                </c:pt>
              </c:strCache>
            </c:strRef>
          </c:tx>
          <c:spPr>
            <a:solidFill>
              <a:srgbClr val="C0C0C0"/>
            </a:solidFill>
            <a:ln w="12681">
              <a:solidFill>
                <a:srgbClr val="000000"/>
              </a:solidFill>
              <a:prstDash val="solid"/>
            </a:ln>
          </c:spPr>
          <c:dLbls>
            <c:dLbl>
              <c:idx val="1"/>
              <c:layout>
                <c:manualLayout>
                  <c:xMode val="edge"/>
                  <c:yMode val="edge"/>
                  <c:x val="0.33136094674556227"/>
                  <c:y val="0.37735849056603782"/>
                </c:manualLayout>
              </c:layout>
              <c:dLblPos val="outEnd"/>
              <c:showVal val="1"/>
            </c:dLbl>
            <c:spPr>
              <a:noFill/>
              <a:ln w="25362">
                <a:noFill/>
              </a:ln>
            </c:spPr>
            <c:txPr>
              <a:bodyPr/>
              <a:lstStyle/>
              <a:p>
                <a:pPr>
                  <a:defRPr sz="1173" b="1" i="0" u="none" strike="noStrike" baseline="0">
                    <a:solidFill>
                      <a:srgbClr val="000000"/>
                    </a:solidFill>
                    <a:latin typeface="Times"/>
                    <a:ea typeface="Times"/>
                    <a:cs typeface="Times"/>
                  </a:defRPr>
                </a:pPr>
                <a:endParaRPr lang="en-US"/>
              </a:p>
            </c:txPr>
            <c:showVal val="1"/>
          </c:dLbls>
          <c:cat>
            <c:strRef>
              <c:f>Sheet1!$B$1:$E$1</c:f>
              <c:strCache>
                <c:ptCount val="4"/>
                <c:pt idx="0">
                  <c:v>2-6 years of age</c:v>
                </c:pt>
                <c:pt idx="1">
                  <c:v>7-11 years of age</c:v>
                </c:pt>
                <c:pt idx="2">
                  <c:v>12-15 years of age</c:v>
                </c:pt>
                <c:pt idx="3">
                  <c:v>16-18 years of age</c:v>
                </c:pt>
              </c:strCache>
            </c:strRef>
          </c:cat>
          <c:val>
            <c:numRef>
              <c:f>Sheet1!$B$2:$E$2</c:f>
              <c:numCache>
                <c:formatCode>0%</c:formatCode>
                <c:ptCount val="4"/>
                <c:pt idx="0">
                  <c:v>0.26</c:v>
                </c:pt>
                <c:pt idx="1">
                  <c:v>0.46</c:v>
                </c:pt>
                <c:pt idx="2">
                  <c:v>0.36000000000000004</c:v>
                </c:pt>
                <c:pt idx="3">
                  <c:v>0.24000000000000002</c:v>
                </c:pt>
              </c:numCache>
            </c:numRef>
          </c:val>
        </c:ser>
        <c:ser>
          <c:idx val="1"/>
          <c:order val="1"/>
          <c:tx>
            <c:strRef>
              <c:f>Sheet1!$A$3</c:f>
              <c:strCache>
                <c:ptCount val="1"/>
                <c:pt idx="0">
                  <c:v>John Deere</c:v>
                </c:pt>
              </c:strCache>
            </c:strRef>
          </c:tx>
          <c:spPr>
            <a:solidFill>
              <a:srgbClr val="808080"/>
            </a:solidFill>
            <a:ln w="12681">
              <a:solidFill>
                <a:srgbClr val="000000"/>
              </a:solidFill>
              <a:prstDash val="solid"/>
            </a:ln>
          </c:spPr>
          <c:dLbls>
            <c:spPr>
              <a:noFill/>
              <a:ln w="25362">
                <a:noFill/>
              </a:ln>
            </c:spPr>
            <c:txPr>
              <a:bodyPr/>
              <a:lstStyle/>
              <a:p>
                <a:pPr>
                  <a:defRPr sz="1173" b="1" i="0" u="none" strike="noStrike" baseline="0">
                    <a:solidFill>
                      <a:srgbClr val="000000"/>
                    </a:solidFill>
                    <a:latin typeface="Times"/>
                    <a:ea typeface="Times"/>
                    <a:cs typeface="Times"/>
                  </a:defRPr>
                </a:pPr>
                <a:endParaRPr lang="en-US"/>
              </a:p>
            </c:txPr>
            <c:showVal val="1"/>
          </c:dLbls>
          <c:cat>
            <c:strRef>
              <c:f>Sheet1!$B$1:$E$1</c:f>
              <c:strCache>
                <c:ptCount val="4"/>
                <c:pt idx="0">
                  <c:v>2-6 years of age</c:v>
                </c:pt>
                <c:pt idx="1">
                  <c:v>7-11 years of age</c:v>
                </c:pt>
                <c:pt idx="2">
                  <c:v>12-15 years of age</c:v>
                </c:pt>
                <c:pt idx="3">
                  <c:v>16-18 years of age</c:v>
                </c:pt>
              </c:strCache>
            </c:strRef>
          </c:cat>
          <c:val>
            <c:numRef>
              <c:f>Sheet1!$B$3:$E$3</c:f>
              <c:numCache>
                <c:formatCode>0%</c:formatCode>
                <c:ptCount val="4"/>
                <c:pt idx="0">
                  <c:v>0.45</c:v>
                </c:pt>
                <c:pt idx="1">
                  <c:v>0.51</c:v>
                </c:pt>
                <c:pt idx="2">
                  <c:v>0.43000000000000005</c:v>
                </c:pt>
                <c:pt idx="3">
                  <c:v>0.48000000000000004</c:v>
                </c:pt>
              </c:numCache>
            </c:numRef>
          </c:val>
        </c:ser>
        <c:ser>
          <c:idx val="2"/>
          <c:order val="2"/>
          <c:tx>
            <c:strRef>
              <c:f>Sheet1!$A$4</c:f>
              <c:strCache>
                <c:ptCount val="1"/>
                <c:pt idx="0">
                  <c:v>Wellmark</c:v>
                </c:pt>
              </c:strCache>
            </c:strRef>
          </c:tx>
          <c:spPr>
            <a:solidFill>
              <a:srgbClr val="333333"/>
            </a:solidFill>
            <a:ln w="12681">
              <a:solidFill>
                <a:srgbClr val="000000"/>
              </a:solidFill>
              <a:prstDash val="solid"/>
            </a:ln>
          </c:spPr>
          <c:dLbls>
            <c:dLbl>
              <c:idx val="0"/>
              <c:layout>
                <c:manualLayout>
                  <c:xMode val="edge"/>
                  <c:yMode val="edge"/>
                  <c:x val="0.28402366863905337"/>
                  <c:y val="0.44474393530997308"/>
                </c:manualLayout>
              </c:layout>
              <c:dLblPos val="outEnd"/>
              <c:showVal val="1"/>
            </c:dLbl>
            <c:dLbl>
              <c:idx val="1"/>
              <c:layout>
                <c:manualLayout>
                  <c:xMode val="edge"/>
                  <c:yMode val="edge"/>
                  <c:x val="0.47928994082840237"/>
                  <c:y val="0.26145552560646901"/>
                </c:manualLayout>
              </c:layout>
              <c:dLblPos val="outEnd"/>
              <c:showVal val="1"/>
            </c:dLbl>
            <c:dLbl>
              <c:idx val="3"/>
              <c:layout>
                <c:manualLayout>
                  <c:xMode val="edge"/>
                  <c:yMode val="edge"/>
                  <c:x val="0.92899408284023666"/>
                  <c:y val="0.40161725067385445"/>
                </c:manualLayout>
              </c:layout>
              <c:dLblPos val="outEnd"/>
              <c:showVal val="1"/>
            </c:dLbl>
            <c:spPr>
              <a:noFill/>
              <a:ln w="25362">
                <a:noFill/>
              </a:ln>
            </c:spPr>
            <c:txPr>
              <a:bodyPr/>
              <a:lstStyle/>
              <a:p>
                <a:pPr>
                  <a:defRPr sz="1173" b="1" i="0" u="none" strike="noStrike" baseline="0">
                    <a:solidFill>
                      <a:srgbClr val="000000"/>
                    </a:solidFill>
                    <a:latin typeface="Times"/>
                    <a:ea typeface="Times"/>
                    <a:cs typeface="Times"/>
                  </a:defRPr>
                </a:pPr>
                <a:endParaRPr lang="en-US"/>
              </a:p>
            </c:txPr>
            <c:showVal val="1"/>
          </c:dLbls>
          <c:cat>
            <c:strRef>
              <c:f>Sheet1!$B$1:$E$1</c:f>
              <c:strCache>
                <c:ptCount val="4"/>
                <c:pt idx="0">
                  <c:v>2-6 years of age</c:v>
                </c:pt>
                <c:pt idx="1">
                  <c:v>7-11 years of age</c:v>
                </c:pt>
                <c:pt idx="2">
                  <c:v>12-15 years of age</c:v>
                </c:pt>
                <c:pt idx="3">
                  <c:v>16-18 years of age</c:v>
                </c:pt>
              </c:strCache>
            </c:strRef>
          </c:cat>
          <c:val>
            <c:numRef>
              <c:f>Sheet1!$B$4:$E$4</c:f>
              <c:numCache>
                <c:formatCode>0%</c:formatCode>
                <c:ptCount val="4"/>
                <c:pt idx="0">
                  <c:v>0.36000000000000004</c:v>
                </c:pt>
                <c:pt idx="1">
                  <c:v>0.6100000000000001</c:v>
                </c:pt>
                <c:pt idx="2">
                  <c:v>0.56999999999999995</c:v>
                </c:pt>
                <c:pt idx="3">
                  <c:v>0.41000000000000003</c:v>
                </c:pt>
              </c:numCache>
            </c:numRef>
          </c:val>
        </c:ser>
        <c:axId val="166873728"/>
        <c:axId val="166896000"/>
      </c:barChart>
      <c:catAx>
        <c:axId val="166873728"/>
        <c:scaling>
          <c:orientation val="minMax"/>
        </c:scaling>
        <c:axPos val="b"/>
        <c:numFmt formatCode="General" sourceLinked="1"/>
        <c:tickLblPos val="nextTo"/>
        <c:spPr>
          <a:ln w="3170">
            <a:solidFill>
              <a:srgbClr val="000000"/>
            </a:solidFill>
            <a:prstDash val="solid"/>
          </a:ln>
        </c:spPr>
        <c:txPr>
          <a:bodyPr rot="0" vert="horz"/>
          <a:lstStyle/>
          <a:p>
            <a:pPr>
              <a:defRPr sz="949" b="0" i="0" u="none" strike="noStrike" baseline="0">
                <a:solidFill>
                  <a:srgbClr val="000000"/>
                </a:solidFill>
                <a:latin typeface="Verdana"/>
                <a:ea typeface="Verdana"/>
                <a:cs typeface="Verdana"/>
              </a:defRPr>
            </a:pPr>
            <a:endParaRPr lang="en-US"/>
          </a:p>
        </c:txPr>
        <c:crossAx val="166896000"/>
        <c:crosses val="autoZero"/>
        <c:auto val="1"/>
        <c:lblAlgn val="ctr"/>
        <c:lblOffset val="100"/>
        <c:tickLblSkip val="1"/>
        <c:tickMarkSkip val="1"/>
      </c:catAx>
      <c:valAx>
        <c:axId val="166896000"/>
        <c:scaling>
          <c:orientation val="minMax"/>
          <c:max val="1"/>
        </c:scaling>
        <c:axPos val="l"/>
        <c:majorGridlines>
          <c:spPr>
            <a:ln w="3170">
              <a:solidFill>
                <a:srgbClr val="FFFFFF"/>
              </a:solidFill>
              <a:prstDash val="solid"/>
            </a:ln>
          </c:spPr>
        </c:majorGridlines>
        <c:numFmt formatCode="0%" sourceLinked="1"/>
        <c:tickLblPos val="nextTo"/>
        <c:spPr>
          <a:ln w="3170">
            <a:solidFill>
              <a:srgbClr val="000000"/>
            </a:solidFill>
            <a:prstDash val="solid"/>
          </a:ln>
        </c:spPr>
        <c:txPr>
          <a:bodyPr rot="0" vert="horz"/>
          <a:lstStyle/>
          <a:p>
            <a:pPr>
              <a:defRPr sz="949" b="0" i="0" u="none" strike="noStrike" baseline="0">
                <a:solidFill>
                  <a:srgbClr val="000000"/>
                </a:solidFill>
                <a:latin typeface="Verdana"/>
                <a:ea typeface="Verdana"/>
                <a:cs typeface="Verdana"/>
              </a:defRPr>
            </a:pPr>
            <a:endParaRPr lang="en-US"/>
          </a:p>
        </c:txPr>
        <c:crossAx val="166873728"/>
        <c:crosses val="autoZero"/>
        <c:crossBetween val="between"/>
      </c:valAx>
      <c:spPr>
        <a:solidFill>
          <a:srgbClr val="FFFFFF"/>
        </a:solidFill>
        <a:ln w="3170">
          <a:solidFill>
            <a:srgbClr val="000000"/>
          </a:solidFill>
          <a:prstDash val="solid"/>
        </a:ln>
      </c:spPr>
    </c:plotArea>
    <c:legend>
      <c:legendPos val="b"/>
      <c:layout>
        <c:manualLayout>
          <c:xMode val="edge"/>
          <c:yMode val="edge"/>
          <c:x val="0.22090729783037477"/>
          <c:y val="0.92722371967654982"/>
          <c:w val="0.65285996055226825"/>
          <c:h val="6.4690026954177915E-2"/>
        </c:manualLayout>
      </c:layout>
      <c:spPr>
        <a:solidFill>
          <a:srgbClr val="FFFFFF"/>
        </a:solidFill>
        <a:ln w="3170">
          <a:solidFill>
            <a:srgbClr val="000000"/>
          </a:solidFill>
          <a:prstDash val="solid"/>
        </a:ln>
      </c:spPr>
      <c:txPr>
        <a:bodyPr/>
        <a:lstStyle/>
        <a:p>
          <a:pPr>
            <a:defRPr sz="869" b="0" i="0" u="none" strike="noStrike" baseline="0">
              <a:solidFill>
                <a:srgbClr val="000000"/>
              </a:solidFill>
              <a:latin typeface="Verdana"/>
              <a:ea typeface="Verdana"/>
              <a:cs typeface="Verdana"/>
            </a:defRPr>
          </a:pPr>
          <a:endParaRPr lang="en-US"/>
        </a:p>
      </c:txPr>
    </c:legend>
    <c:plotVisOnly val="1"/>
    <c:dispBlanksAs val="gap"/>
  </c:chart>
  <c:spPr>
    <a:solidFill>
      <a:srgbClr val="FFFFFF"/>
    </a:solidFill>
    <a:ln w="3170">
      <a:solidFill>
        <a:srgbClr val="000000"/>
      </a:solidFill>
      <a:prstDash val="solid"/>
    </a:ln>
  </c:spPr>
  <c:txPr>
    <a:bodyPr/>
    <a:lstStyle/>
    <a:p>
      <a:pPr>
        <a:defRPr sz="949" b="0" i="0" u="none" strike="noStrike" baseline="0">
          <a:solidFill>
            <a:srgbClr val="000000"/>
          </a:solidFill>
          <a:latin typeface="Verdana"/>
          <a:ea typeface="Verdana"/>
          <a:cs typeface="Verdana"/>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217755443886098"/>
          <c:y val="4.044117647058823E-2"/>
          <c:w val="0.8894472361809046"/>
          <c:h val="0.76838235294117663"/>
        </c:manualLayout>
      </c:layout>
      <c:barChart>
        <c:barDir val="col"/>
        <c:grouping val="clustered"/>
        <c:ser>
          <c:idx val="0"/>
          <c:order val="0"/>
          <c:tx>
            <c:strRef>
              <c:f>Sheet1!$A$43</c:f>
              <c:strCache>
                <c:ptCount val="1"/>
                <c:pt idx="0">
                  <c:v>Iowa Health Solutions</c:v>
                </c:pt>
              </c:strCache>
            </c:strRef>
          </c:tx>
          <c:spPr>
            <a:solidFill>
              <a:srgbClr val="C0C0C0"/>
            </a:solidFill>
            <a:ln w="6031">
              <a:solidFill>
                <a:srgbClr val="000000"/>
              </a:solidFill>
              <a:prstDash val="solid"/>
            </a:ln>
          </c:spPr>
          <c:dLbls>
            <c:spPr>
              <a:noFill/>
              <a:ln w="12062">
                <a:noFill/>
              </a:ln>
            </c:spPr>
            <c:txPr>
              <a:bodyPr/>
              <a:lstStyle/>
              <a:p>
                <a:pPr>
                  <a:defRPr sz="950" b="1" i="0" u="none" strike="noStrike" baseline="0">
                    <a:solidFill>
                      <a:srgbClr val="000000"/>
                    </a:solidFill>
                    <a:latin typeface="Times"/>
                    <a:ea typeface="Times"/>
                    <a:cs typeface="Times"/>
                  </a:defRPr>
                </a:pPr>
                <a:endParaRPr lang="en-US"/>
              </a:p>
            </c:txPr>
            <c:showVal val="1"/>
          </c:dLbls>
          <c:cat>
            <c:strRef>
              <c:f>Sheet1!$B$42:$E$42</c:f>
              <c:strCache>
                <c:ptCount val="4"/>
                <c:pt idx="0">
                  <c:v>2-6 years of age</c:v>
                </c:pt>
                <c:pt idx="1">
                  <c:v>7-11 years of age</c:v>
                </c:pt>
                <c:pt idx="2">
                  <c:v>12-15 years of age</c:v>
                </c:pt>
                <c:pt idx="3">
                  <c:v>16-18 years of age</c:v>
                </c:pt>
              </c:strCache>
            </c:strRef>
          </c:cat>
          <c:val>
            <c:numRef>
              <c:f>Sheet1!$B$43:$E$43</c:f>
              <c:numCache>
                <c:formatCode>0%</c:formatCode>
                <c:ptCount val="4"/>
                <c:pt idx="0">
                  <c:v>0.30000000000000004</c:v>
                </c:pt>
                <c:pt idx="1">
                  <c:v>0.45</c:v>
                </c:pt>
                <c:pt idx="2">
                  <c:v>0.36000000000000004</c:v>
                </c:pt>
                <c:pt idx="3">
                  <c:v>0.25</c:v>
                </c:pt>
              </c:numCache>
            </c:numRef>
          </c:val>
        </c:ser>
        <c:ser>
          <c:idx val="1"/>
          <c:order val="1"/>
          <c:tx>
            <c:strRef>
              <c:f>Sheet1!$A$44</c:f>
              <c:strCache>
                <c:ptCount val="1"/>
                <c:pt idx="0">
                  <c:v>John Deere</c:v>
                </c:pt>
              </c:strCache>
            </c:strRef>
          </c:tx>
          <c:spPr>
            <a:solidFill>
              <a:srgbClr val="808080"/>
            </a:solidFill>
            <a:ln w="6031">
              <a:solidFill>
                <a:srgbClr val="000000"/>
              </a:solidFill>
              <a:prstDash val="solid"/>
            </a:ln>
          </c:spPr>
          <c:dLbls>
            <c:spPr>
              <a:noFill/>
              <a:ln w="12062">
                <a:noFill/>
              </a:ln>
            </c:spPr>
            <c:txPr>
              <a:bodyPr/>
              <a:lstStyle/>
              <a:p>
                <a:pPr>
                  <a:defRPr sz="855" b="1" i="0" u="none" strike="noStrike" baseline="0">
                    <a:solidFill>
                      <a:srgbClr val="000000"/>
                    </a:solidFill>
                    <a:latin typeface="Times"/>
                    <a:ea typeface="Times"/>
                    <a:cs typeface="Times"/>
                  </a:defRPr>
                </a:pPr>
                <a:endParaRPr lang="en-US"/>
              </a:p>
            </c:txPr>
            <c:showVal val="1"/>
          </c:dLbls>
          <c:cat>
            <c:strRef>
              <c:f>Sheet1!$B$42:$E$42</c:f>
              <c:strCache>
                <c:ptCount val="4"/>
                <c:pt idx="0">
                  <c:v>2-6 years of age</c:v>
                </c:pt>
                <c:pt idx="1">
                  <c:v>7-11 years of age</c:v>
                </c:pt>
                <c:pt idx="2">
                  <c:v>12-15 years of age</c:v>
                </c:pt>
                <c:pt idx="3">
                  <c:v>16-18 years of age</c:v>
                </c:pt>
              </c:strCache>
            </c:strRef>
          </c:cat>
          <c:val>
            <c:numRef>
              <c:f>Sheet1!$B$44:$E$44</c:f>
              <c:numCache>
                <c:formatCode>0%</c:formatCode>
                <c:ptCount val="4"/>
                <c:pt idx="0">
                  <c:v>0.49000000000000005</c:v>
                </c:pt>
                <c:pt idx="1">
                  <c:v>0.55000000000000004</c:v>
                </c:pt>
                <c:pt idx="2">
                  <c:v>0.42000000000000004</c:v>
                </c:pt>
                <c:pt idx="3">
                  <c:v>0.65000000000000013</c:v>
                </c:pt>
              </c:numCache>
            </c:numRef>
          </c:val>
        </c:ser>
        <c:ser>
          <c:idx val="2"/>
          <c:order val="2"/>
          <c:tx>
            <c:strRef>
              <c:f>Sheet1!$A$45</c:f>
              <c:strCache>
                <c:ptCount val="1"/>
                <c:pt idx="0">
                  <c:v>Wellmark</c:v>
                </c:pt>
              </c:strCache>
            </c:strRef>
          </c:tx>
          <c:spPr>
            <a:solidFill>
              <a:srgbClr val="333333"/>
            </a:solidFill>
            <a:ln w="6031">
              <a:solidFill>
                <a:srgbClr val="000000"/>
              </a:solidFill>
              <a:prstDash val="solid"/>
            </a:ln>
          </c:spPr>
          <c:dLbls>
            <c:spPr>
              <a:noFill/>
              <a:ln w="12062">
                <a:noFill/>
              </a:ln>
            </c:spPr>
            <c:txPr>
              <a:bodyPr/>
              <a:lstStyle/>
              <a:p>
                <a:pPr>
                  <a:defRPr sz="855" b="1" i="0" u="none" strike="noStrike" baseline="0">
                    <a:solidFill>
                      <a:srgbClr val="000000"/>
                    </a:solidFill>
                    <a:latin typeface="Times"/>
                    <a:ea typeface="Times"/>
                    <a:cs typeface="Times"/>
                  </a:defRPr>
                </a:pPr>
                <a:endParaRPr lang="en-US"/>
              </a:p>
            </c:txPr>
            <c:showVal val="1"/>
          </c:dLbls>
          <c:cat>
            <c:strRef>
              <c:f>Sheet1!$B$42:$E$42</c:f>
              <c:strCache>
                <c:ptCount val="4"/>
                <c:pt idx="0">
                  <c:v>2-6 years of age</c:v>
                </c:pt>
                <c:pt idx="1">
                  <c:v>7-11 years of age</c:v>
                </c:pt>
                <c:pt idx="2">
                  <c:v>12-15 years of age</c:v>
                </c:pt>
                <c:pt idx="3">
                  <c:v>16-18 years of age</c:v>
                </c:pt>
              </c:strCache>
            </c:strRef>
          </c:cat>
          <c:val>
            <c:numRef>
              <c:f>Sheet1!$B$45:$E$45</c:f>
              <c:numCache>
                <c:formatCode>0%</c:formatCode>
                <c:ptCount val="4"/>
                <c:pt idx="0">
                  <c:v>0.43000000000000005</c:v>
                </c:pt>
                <c:pt idx="1">
                  <c:v>0.63000000000000012</c:v>
                </c:pt>
                <c:pt idx="2">
                  <c:v>0.58000000000000007</c:v>
                </c:pt>
                <c:pt idx="3">
                  <c:v>0.5</c:v>
                </c:pt>
              </c:numCache>
            </c:numRef>
          </c:val>
        </c:ser>
        <c:axId val="147495936"/>
        <c:axId val="147501824"/>
      </c:barChart>
      <c:catAx>
        <c:axId val="147495936"/>
        <c:scaling>
          <c:orientation val="minMax"/>
        </c:scaling>
        <c:axPos val="b"/>
        <c:numFmt formatCode="General" sourceLinked="1"/>
        <c:tickLblPos val="nextTo"/>
        <c:spPr>
          <a:ln w="1508">
            <a:solidFill>
              <a:srgbClr val="000000"/>
            </a:solidFill>
            <a:prstDash val="solid"/>
          </a:ln>
        </c:spPr>
        <c:txPr>
          <a:bodyPr rot="0" vert="horz"/>
          <a:lstStyle/>
          <a:p>
            <a:pPr>
              <a:defRPr sz="997" b="0" i="0" u="none" strike="noStrike" baseline="0">
                <a:solidFill>
                  <a:srgbClr val="000000"/>
                </a:solidFill>
                <a:latin typeface="Verdana"/>
                <a:ea typeface="Verdana"/>
                <a:cs typeface="Verdana"/>
              </a:defRPr>
            </a:pPr>
            <a:endParaRPr lang="en-US"/>
          </a:p>
        </c:txPr>
        <c:crossAx val="147501824"/>
        <c:crosses val="autoZero"/>
        <c:auto val="1"/>
        <c:lblAlgn val="ctr"/>
        <c:lblOffset val="100"/>
        <c:tickLblSkip val="1"/>
        <c:tickMarkSkip val="1"/>
      </c:catAx>
      <c:valAx>
        <c:axId val="147501824"/>
        <c:scaling>
          <c:orientation val="minMax"/>
          <c:max val="1"/>
        </c:scaling>
        <c:axPos val="l"/>
        <c:majorGridlines>
          <c:spPr>
            <a:ln w="1508">
              <a:solidFill>
                <a:srgbClr val="FFFFFF"/>
              </a:solidFill>
              <a:prstDash val="solid"/>
            </a:ln>
          </c:spPr>
        </c:majorGridlines>
        <c:numFmt formatCode="0%" sourceLinked="1"/>
        <c:tickLblPos val="nextTo"/>
        <c:spPr>
          <a:ln w="1508">
            <a:solidFill>
              <a:srgbClr val="000000"/>
            </a:solidFill>
            <a:prstDash val="solid"/>
          </a:ln>
        </c:spPr>
        <c:txPr>
          <a:bodyPr rot="0" vert="horz"/>
          <a:lstStyle/>
          <a:p>
            <a:pPr>
              <a:defRPr sz="997" b="0" i="0" u="none" strike="noStrike" baseline="0">
                <a:solidFill>
                  <a:srgbClr val="000000"/>
                </a:solidFill>
                <a:latin typeface="Verdana"/>
                <a:ea typeface="Verdana"/>
                <a:cs typeface="Verdana"/>
              </a:defRPr>
            </a:pPr>
            <a:endParaRPr lang="en-US"/>
          </a:p>
        </c:txPr>
        <c:crossAx val="147495936"/>
        <c:crosses val="autoZero"/>
        <c:crossBetween val="between"/>
      </c:valAx>
      <c:spPr>
        <a:noFill/>
        <a:ln w="6031">
          <a:solidFill>
            <a:srgbClr val="808080"/>
          </a:solidFill>
          <a:prstDash val="solid"/>
        </a:ln>
      </c:spPr>
    </c:plotArea>
    <c:legend>
      <c:legendPos val="b"/>
      <c:layout>
        <c:manualLayout>
          <c:xMode val="edge"/>
          <c:yMode val="edge"/>
          <c:x val="0.24120603015075379"/>
          <c:y val="0.94485294117647067"/>
          <c:w val="0.61055276381909551"/>
          <c:h val="5.1470588235294108E-2"/>
        </c:manualLayout>
      </c:layout>
      <c:spPr>
        <a:solidFill>
          <a:srgbClr val="FFFFFF"/>
        </a:solidFill>
        <a:ln w="1508">
          <a:solidFill>
            <a:srgbClr val="000000"/>
          </a:solidFill>
          <a:prstDash val="solid"/>
        </a:ln>
      </c:spPr>
      <c:txPr>
        <a:bodyPr/>
        <a:lstStyle/>
        <a:p>
          <a:pPr>
            <a:defRPr sz="917" b="0" i="0" u="none" strike="noStrike" baseline="0">
              <a:solidFill>
                <a:srgbClr val="000000"/>
              </a:solidFill>
              <a:latin typeface="Verdana"/>
              <a:ea typeface="Verdana"/>
              <a:cs typeface="Verdana"/>
            </a:defRPr>
          </a:pPr>
          <a:endParaRPr lang="en-US"/>
        </a:p>
      </c:txPr>
    </c:legend>
    <c:plotVisOnly val="1"/>
    <c:dispBlanksAs val="gap"/>
  </c:chart>
  <c:spPr>
    <a:solidFill>
      <a:srgbClr val="FFFFFF"/>
    </a:solidFill>
    <a:ln w="1508">
      <a:solidFill>
        <a:srgbClr val="000000"/>
      </a:solidFill>
      <a:prstDash val="solid"/>
    </a:ln>
  </c:spPr>
  <c:txPr>
    <a:bodyPr/>
    <a:lstStyle/>
    <a:p>
      <a:pPr>
        <a:defRPr sz="997" b="0" i="0" u="none" strike="noStrike" baseline="0">
          <a:solidFill>
            <a:srgbClr val="000000"/>
          </a:solidFill>
          <a:latin typeface="Verdana"/>
          <a:ea typeface="Verdana"/>
          <a:cs typeface="Verdana"/>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5482796892341877E-2"/>
          <c:y val="3.425774877650898E-2"/>
          <c:w val="0.92341842397336282"/>
          <c:h val="0.85318107667210463"/>
        </c:manualLayout>
      </c:layout>
      <c:barChart>
        <c:barDir val="col"/>
        <c:grouping val="clustered"/>
        <c:ser>
          <c:idx val="0"/>
          <c:order val="0"/>
          <c:tx>
            <c:strRef>
              <c:f>mcpdentrates!$A$56</c:f>
              <c:strCache>
                <c:ptCount val="1"/>
                <c:pt idx="0">
                  <c:v>Medicaid</c:v>
                </c:pt>
              </c:strCache>
            </c:strRef>
          </c:tx>
          <c:spPr>
            <a:solidFill>
              <a:srgbClr val="969696"/>
            </a:solidFill>
            <a:ln w="7094">
              <a:solidFill>
                <a:srgbClr val="000000"/>
              </a:solidFill>
              <a:prstDash val="solid"/>
            </a:ln>
          </c:spPr>
          <c:dLbls>
            <c:spPr>
              <a:noFill/>
              <a:ln w="14187">
                <a:noFill/>
              </a:ln>
            </c:spPr>
            <c:txPr>
              <a:bodyPr/>
              <a:lstStyle/>
              <a:p>
                <a:pPr>
                  <a:defRPr sz="559" b="1" i="0" u="none" strike="noStrike" baseline="0">
                    <a:solidFill>
                      <a:srgbClr val="000000"/>
                    </a:solidFill>
                    <a:latin typeface="Verdana"/>
                    <a:ea typeface="Verdana"/>
                    <a:cs typeface="Verdana"/>
                  </a:defRPr>
                </a:pPr>
                <a:endParaRPr lang="en-US"/>
              </a:p>
            </c:txPr>
            <c:showVal val="1"/>
          </c:dLbls>
          <c:cat>
            <c:strRef>
              <c:f>mcpdentrates!$B$55:$E$55</c:f>
              <c:strCache>
                <c:ptCount val="4"/>
                <c:pt idx="0">
                  <c:v>0-3 years</c:v>
                </c:pt>
                <c:pt idx="1">
                  <c:v>4-6 years</c:v>
                </c:pt>
                <c:pt idx="2">
                  <c:v>7-12 years</c:v>
                </c:pt>
                <c:pt idx="3">
                  <c:v>13-18 years</c:v>
                </c:pt>
              </c:strCache>
            </c:strRef>
          </c:cat>
          <c:val>
            <c:numRef>
              <c:f>mcpdentrates!$B$56:$E$56</c:f>
              <c:numCache>
                <c:formatCode>0%</c:formatCode>
                <c:ptCount val="4"/>
                <c:pt idx="0">
                  <c:v>0.13684088404199782</c:v>
                </c:pt>
                <c:pt idx="1">
                  <c:v>0.50989867498051455</c:v>
                </c:pt>
                <c:pt idx="2">
                  <c:v>0.42035282871295737</c:v>
                </c:pt>
                <c:pt idx="3">
                  <c:v>0.35078497336697517</c:v>
                </c:pt>
              </c:numCache>
            </c:numRef>
          </c:val>
        </c:ser>
        <c:ser>
          <c:idx val="1"/>
          <c:order val="1"/>
          <c:tx>
            <c:strRef>
              <c:f>mcpdentrates!$A$57</c:f>
              <c:strCache>
                <c:ptCount val="1"/>
                <c:pt idx="0">
                  <c:v>hawk-I</c:v>
                </c:pt>
              </c:strCache>
            </c:strRef>
          </c:tx>
          <c:spPr>
            <a:solidFill>
              <a:srgbClr val="333333"/>
            </a:solidFill>
            <a:ln w="7094">
              <a:solidFill>
                <a:srgbClr val="000000"/>
              </a:solidFill>
              <a:prstDash val="solid"/>
            </a:ln>
          </c:spPr>
          <c:dLbls>
            <c:dLbl>
              <c:idx val="0"/>
              <c:layout>
                <c:manualLayout>
                  <c:xMode val="edge"/>
                  <c:yMode val="edge"/>
                  <c:x val="0.19311875693673697"/>
                  <c:y val="0.67699836867862984"/>
                </c:manualLayout>
              </c:layout>
              <c:dLblPos val="outEnd"/>
              <c:showVal val="1"/>
            </c:dLbl>
            <c:dLbl>
              <c:idx val="1"/>
              <c:layout>
                <c:manualLayout>
                  <c:xMode val="edge"/>
                  <c:yMode val="edge"/>
                  <c:x val="0.41953385127635962"/>
                  <c:y val="0.38009787928221872"/>
                </c:manualLayout>
              </c:layout>
              <c:dLblPos val="outEnd"/>
              <c:showVal val="1"/>
            </c:dLbl>
            <c:dLbl>
              <c:idx val="2"/>
              <c:layout>
                <c:manualLayout>
                  <c:xMode val="edge"/>
                  <c:yMode val="edge"/>
                  <c:x val="0.6526082130965597"/>
                  <c:y val="0.33278955954323008"/>
                </c:manualLayout>
              </c:layout>
              <c:dLblPos val="outEnd"/>
              <c:showVal val="1"/>
            </c:dLbl>
            <c:dLbl>
              <c:idx val="3"/>
              <c:layout>
                <c:manualLayout>
                  <c:xMode val="edge"/>
                  <c:yMode val="edge"/>
                  <c:x val="0.88346281908989999"/>
                  <c:y val="0.4176182707993476"/>
                </c:manualLayout>
              </c:layout>
              <c:dLblPos val="outEnd"/>
              <c:showVal val="1"/>
            </c:dLbl>
            <c:spPr>
              <a:noFill/>
              <a:ln w="14187">
                <a:noFill/>
              </a:ln>
            </c:spPr>
            <c:txPr>
              <a:bodyPr/>
              <a:lstStyle/>
              <a:p>
                <a:pPr>
                  <a:defRPr sz="559" b="1" i="0" u="none" strike="noStrike" baseline="0">
                    <a:solidFill>
                      <a:srgbClr val="000000"/>
                    </a:solidFill>
                    <a:latin typeface="Verdana"/>
                    <a:ea typeface="Verdana"/>
                    <a:cs typeface="Verdana"/>
                  </a:defRPr>
                </a:pPr>
                <a:endParaRPr lang="en-US"/>
              </a:p>
            </c:txPr>
            <c:showVal val="1"/>
          </c:dLbls>
          <c:cat>
            <c:strRef>
              <c:f>mcpdentrates!$B$55:$E$55</c:f>
              <c:strCache>
                <c:ptCount val="4"/>
                <c:pt idx="0">
                  <c:v>0-3 years</c:v>
                </c:pt>
                <c:pt idx="1">
                  <c:v>4-6 years</c:v>
                </c:pt>
                <c:pt idx="2">
                  <c:v>7-12 years</c:v>
                </c:pt>
                <c:pt idx="3">
                  <c:v>13-18 years</c:v>
                </c:pt>
              </c:strCache>
            </c:strRef>
          </c:cat>
          <c:val>
            <c:numRef>
              <c:f>mcpdentrates!$B$57:$E$57</c:f>
              <c:numCache>
                <c:formatCode>0%</c:formatCode>
                <c:ptCount val="4"/>
                <c:pt idx="0">
                  <c:v>0.17543859649122812</c:v>
                </c:pt>
                <c:pt idx="1">
                  <c:v>0.53193717277486907</c:v>
                </c:pt>
                <c:pt idx="2">
                  <c:v>0.57544881125667169</c:v>
                </c:pt>
                <c:pt idx="3">
                  <c:v>0.47520107238605896</c:v>
                </c:pt>
              </c:numCache>
            </c:numRef>
          </c:val>
        </c:ser>
        <c:dLbls>
          <c:showVal val="1"/>
        </c:dLbls>
        <c:axId val="152366464"/>
        <c:axId val="152368256"/>
      </c:barChart>
      <c:catAx>
        <c:axId val="152366464"/>
        <c:scaling>
          <c:orientation val="minMax"/>
        </c:scaling>
        <c:axPos val="b"/>
        <c:numFmt formatCode="General" sourceLinked="1"/>
        <c:tickLblPos val="nextTo"/>
        <c:spPr>
          <a:ln w="1773">
            <a:solidFill>
              <a:srgbClr val="000000"/>
            </a:solidFill>
            <a:prstDash val="solid"/>
          </a:ln>
        </c:spPr>
        <c:txPr>
          <a:bodyPr rot="0" vert="horz"/>
          <a:lstStyle/>
          <a:p>
            <a:pPr>
              <a:defRPr sz="559" b="0" i="0" u="none" strike="noStrike" baseline="0">
                <a:solidFill>
                  <a:srgbClr val="000000"/>
                </a:solidFill>
                <a:latin typeface="Verdana"/>
                <a:ea typeface="Verdana"/>
                <a:cs typeface="Verdana"/>
              </a:defRPr>
            </a:pPr>
            <a:endParaRPr lang="en-US"/>
          </a:p>
        </c:txPr>
        <c:crossAx val="152368256"/>
        <c:crosses val="autoZero"/>
        <c:auto val="1"/>
        <c:lblAlgn val="ctr"/>
        <c:lblOffset val="100"/>
        <c:tickLblSkip val="1"/>
        <c:tickMarkSkip val="1"/>
      </c:catAx>
      <c:valAx>
        <c:axId val="152368256"/>
        <c:scaling>
          <c:orientation val="minMax"/>
          <c:max val="1"/>
        </c:scaling>
        <c:axPos val="l"/>
        <c:majorGridlines>
          <c:spPr>
            <a:ln w="1773">
              <a:solidFill>
                <a:srgbClr val="FFFFFF"/>
              </a:solidFill>
              <a:prstDash val="solid"/>
            </a:ln>
          </c:spPr>
        </c:majorGridlines>
        <c:numFmt formatCode="0%" sourceLinked="1"/>
        <c:tickLblPos val="nextTo"/>
        <c:spPr>
          <a:ln w="1773">
            <a:solidFill>
              <a:srgbClr val="000000"/>
            </a:solidFill>
            <a:prstDash val="solid"/>
          </a:ln>
        </c:spPr>
        <c:txPr>
          <a:bodyPr rot="0" vert="horz"/>
          <a:lstStyle/>
          <a:p>
            <a:pPr>
              <a:defRPr sz="559" b="0" i="0" u="none" strike="noStrike" baseline="0">
                <a:solidFill>
                  <a:srgbClr val="000000"/>
                </a:solidFill>
                <a:latin typeface="Verdana"/>
                <a:ea typeface="Verdana"/>
                <a:cs typeface="Verdana"/>
              </a:defRPr>
            </a:pPr>
            <a:endParaRPr lang="en-US"/>
          </a:p>
        </c:txPr>
        <c:crossAx val="152366464"/>
        <c:crosses val="autoZero"/>
        <c:crossBetween val="between"/>
      </c:valAx>
      <c:spPr>
        <a:solidFill>
          <a:srgbClr val="FFFFFF"/>
        </a:solidFill>
        <a:ln w="1773">
          <a:solidFill>
            <a:srgbClr val="000000"/>
          </a:solidFill>
          <a:prstDash val="solid"/>
        </a:ln>
      </c:spPr>
    </c:plotArea>
    <c:legend>
      <c:legendPos val="b"/>
      <c:layout>
        <c:manualLayout>
          <c:xMode val="edge"/>
          <c:yMode val="edge"/>
          <c:x val="0.44839067702552726"/>
          <c:y val="0.9559543230016313"/>
          <c:w val="0.15760266370699225"/>
          <c:h val="3.9151712887438822E-2"/>
        </c:manualLayout>
      </c:layout>
      <c:spPr>
        <a:solidFill>
          <a:srgbClr val="FFFFFF"/>
        </a:solidFill>
        <a:ln w="1773">
          <a:solidFill>
            <a:srgbClr val="000000"/>
          </a:solidFill>
          <a:prstDash val="solid"/>
        </a:ln>
      </c:spPr>
      <c:txPr>
        <a:bodyPr/>
        <a:lstStyle/>
        <a:p>
          <a:pPr>
            <a:defRPr sz="514" b="0" i="0" u="none" strike="noStrike" baseline="0">
              <a:solidFill>
                <a:srgbClr val="000000"/>
              </a:solidFill>
              <a:latin typeface="Verdana"/>
              <a:ea typeface="Verdana"/>
              <a:cs typeface="Verdana"/>
            </a:defRPr>
          </a:pPr>
          <a:endParaRPr lang="en-US"/>
        </a:p>
      </c:txPr>
    </c:legend>
    <c:plotVisOnly val="1"/>
    <c:dispBlanksAs val="gap"/>
  </c:chart>
  <c:spPr>
    <a:noFill/>
    <a:ln>
      <a:noFill/>
    </a:ln>
  </c:spPr>
  <c:txPr>
    <a:bodyPr/>
    <a:lstStyle/>
    <a:p>
      <a:pPr>
        <a:defRPr sz="559" b="0" i="0" u="none" strike="noStrike" baseline="0">
          <a:solidFill>
            <a:srgbClr val="000000"/>
          </a:solidFill>
          <a:latin typeface="Verdana"/>
          <a:ea typeface="Verdana"/>
          <a:cs typeface="Verdana"/>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5221238938053103E-2"/>
          <c:y val="4.1015625000000007E-2"/>
          <c:w val="0.91002949852507387"/>
          <c:h val="0.82421875"/>
        </c:manualLayout>
      </c:layout>
      <c:barChart>
        <c:barDir val="col"/>
        <c:grouping val="clustered"/>
        <c:ser>
          <c:idx val="0"/>
          <c:order val="0"/>
          <c:tx>
            <c:strRef>
              <c:f>Sheet1!$B$1</c:f>
              <c:strCache>
                <c:ptCount val="1"/>
                <c:pt idx="0">
                  <c:v>Iowa Health Solutions</c:v>
                </c:pt>
              </c:strCache>
            </c:strRef>
          </c:tx>
          <c:spPr>
            <a:solidFill>
              <a:srgbClr val="C0C0C0"/>
            </a:solidFill>
            <a:ln w="8771">
              <a:solidFill>
                <a:srgbClr val="000000"/>
              </a:solidFill>
              <a:prstDash val="solid"/>
            </a:ln>
          </c:spPr>
          <c:dLbls>
            <c:spPr>
              <a:noFill/>
              <a:ln w="17542">
                <a:noFill/>
              </a:ln>
            </c:spPr>
            <c:txPr>
              <a:bodyPr/>
              <a:lstStyle/>
              <a:p>
                <a:pPr>
                  <a:defRPr sz="673" b="0" i="0" u="none" strike="noStrike" baseline="0">
                    <a:solidFill>
                      <a:srgbClr val="000000"/>
                    </a:solidFill>
                    <a:latin typeface="Verdana"/>
                    <a:ea typeface="Verdana"/>
                    <a:cs typeface="Verdana"/>
                  </a:defRPr>
                </a:pPr>
                <a:endParaRPr lang="en-US"/>
              </a:p>
            </c:txPr>
            <c:showVal val="1"/>
          </c:dLbls>
          <c:cat>
            <c:strRef>
              <c:f>Sheet1!$A$2:$A$5</c:f>
              <c:strCache>
                <c:ptCount val="4"/>
                <c:pt idx="0">
                  <c:v>1-4 months</c:v>
                </c:pt>
                <c:pt idx="1">
                  <c:v>5-7 months</c:v>
                </c:pt>
                <c:pt idx="2">
                  <c:v>8-10 months</c:v>
                </c:pt>
                <c:pt idx="3">
                  <c:v>11 or more months</c:v>
                </c:pt>
              </c:strCache>
            </c:strRef>
          </c:cat>
          <c:val>
            <c:numRef>
              <c:f>Sheet1!$B$2:$B$5</c:f>
              <c:numCache>
                <c:formatCode>0%</c:formatCode>
                <c:ptCount val="4"/>
                <c:pt idx="0">
                  <c:v>1.2999999999999998E-2</c:v>
                </c:pt>
                <c:pt idx="1">
                  <c:v>1.4999999999999998E-2</c:v>
                </c:pt>
                <c:pt idx="2">
                  <c:v>0.05</c:v>
                </c:pt>
                <c:pt idx="3">
                  <c:v>0.20500000000000002</c:v>
                </c:pt>
              </c:numCache>
            </c:numRef>
          </c:val>
        </c:ser>
        <c:ser>
          <c:idx val="1"/>
          <c:order val="1"/>
          <c:tx>
            <c:strRef>
              <c:f>Sheet1!$C$1</c:f>
              <c:strCache>
                <c:ptCount val="1"/>
                <c:pt idx="0">
                  <c:v>John Deere</c:v>
                </c:pt>
              </c:strCache>
            </c:strRef>
          </c:tx>
          <c:spPr>
            <a:solidFill>
              <a:srgbClr val="808080"/>
            </a:solidFill>
            <a:ln w="8771">
              <a:solidFill>
                <a:srgbClr val="000000"/>
              </a:solidFill>
              <a:prstDash val="solid"/>
            </a:ln>
          </c:spPr>
          <c:dLbls>
            <c:spPr>
              <a:noFill/>
              <a:ln w="17542">
                <a:noFill/>
              </a:ln>
            </c:spPr>
            <c:txPr>
              <a:bodyPr/>
              <a:lstStyle/>
              <a:p>
                <a:pPr>
                  <a:defRPr sz="673" b="0" i="0" u="none" strike="noStrike" baseline="0">
                    <a:solidFill>
                      <a:srgbClr val="000000"/>
                    </a:solidFill>
                    <a:latin typeface="Verdana"/>
                    <a:ea typeface="Verdana"/>
                    <a:cs typeface="Verdana"/>
                  </a:defRPr>
                </a:pPr>
                <a:endParaRPr lang="en-US"/>
              </a:p>
            </c:txPr>
            <c:showVal val="1"/>
          </c:dLbls>
          <c:cat>
            <c:strRef>
              <c:f>Sheet1!$A$2:$A$5</c:f>
              <c:strCache>
                <c:ptCount val="4"/>
                <c:pt idx="0">
                  <c:v>1-4 months</c:v>
                </c:pt>
                <c:pt idx="1">
                  <c:v>5-7 months</c:v>
                </c:pt>
                <c:pt idx="2">
                  <c:v>8-10 months</c:v>
                </c:pt>
                <c:pt idx="3">
                  <c:v>11 or more months</c:v>
                </c:pt>
              </c:strCache>
            </c:strRef>
          </c:cat>
          <c:val>
            <c:numRef>
              <c:f>Sheet1!$C$2:$C$5</c:f>
              <c:numCache>
                <c:formatCode>0%</c:formatCode>
                <c:ptCount val="4"/>
                <c:pt idx="0">
                  <c:v>5.7000000000000009E-2</c:v>
                </c:pt>
                <c:pt idx="1">
                  <c:v>2.7000000000000003E-2</c:v>
                </c:pt>
                <c:pt idx="2">
                  <c:v>0.17900000000000002</c:v>
                </c:pt>
                <c:pt idx="3">
                  <c:v>0.44</c:v>
                </c:pt>
              </c:numCache>
            </c:numRef>
          </c:val>
        </c:ser>
        <c:ser>
          <c:idx val="2"/>
          <c:order val="2"/>
          <c:tx>
            <c:strRef>
              <c:f>Sheet1!$D$1</c:f>
              <c:strCache>
                <c:ptCount val="1"/>
                <c:pt idx="0">
                  <c:v>Wellmark</c:v>
                </c:pt>
              </c:strCache>
            </c:strRef>
          </c:tx>
          <c:spPr>
            <a:solidFill>
              <a:srgbClr val="333333"/>
            </a:solidFill>
            <a:ln w="8771">
              <a:solidFill>
                <a:srgbClr val="000000"/>
              </a:solidFill>
              <a:prstDash val="solid"/>
            </a:ln>
          </c:spPr>
          <c:dLbls>
            <c:spPr>
              <a:noFill/>
              <a:ln w="17542">
                <a:noFill/>
              </a:ln>
            </c:spPr>
            <c:txPr>
              <a:bodyPr/>
              <a:lstStyle/>
              <a:p>
                <a:pPr>
                  <a:defRPr sz="673" b="0" i="0" u="none" strike="noStrike" baseline="0">
                    <a:solidFill>
                      <a:srgbClr val="000000"/>
                    </a:solidFill>
                    <a:latin typeface="Verdana"/>
                    <a:ea typeface="Verdana"/>
                    <a:cs typeface="Verdana"/>
                  </a:defRPr>
                </a:pPr>
                <a:endParaRPr lang="en-US"/>
              </a:p>
            </c:txPr>
            <c:showVal val="1"/>
          </c:dLbls>
          <c:cat>
            <c:strRef>
              <c:f>Sheet1!$A$2:$A$5</c:f>
              <c:strCache>
                <c:ptCount val="4"/>
                <c:pt idx="0">
                  <c:v>1-4 months</c:v>
                </c:pt>
                <c:pt idx="1">
                  <c:v>5-7 months</c:v>
                </c:pt>
                <c:pt idx="2">
                  <c:v>8-10 months</c:v>
                </c:pt>
                <c:pt idx="3">
                  <c:v>11 or more months</c:v>
                </c:pt>
              </c:strCache>
            </c:strRef>
          </c:cat>
          <c:val>
            <c:numRef>
              <c:f>Sheet1!$D$2:$D$5</c:f>
              <c:numCache>
                <c:formatCode>0%</c:formatCode>
                <c:ptCount val="4"/>
                <c:pt idx="0">
                  <c:v>1.2999999999999998E-2</c:v>
                </c:pt>
                <c:pt idx="1">
                  <c:v>7.5999999999999998E-2</c:v>
                </c:pt>
                <c:pt idx="2">
                  <c:v>0.13200000000000001</c:v>
                </c:pt>
                <c:pt idx="3">
                  <c:v>0.254</c:v>
                </c:pt>
              </c:numCache>
            </c:numRef>
          </c:val>
        </c:ser>
        <c:dLbls>
          <c:showVal val="1"/>
        </c:dLbls>
        <c:axId val="152310912"/>
        <c:axId val="152312448"/>
      </c:barChart>
      <c:catAx>
        <c:axId val="152310912"/>
        <c:scaling>
          <c:orientation val="minMax"/>
        </c:scaling>
        <c:axPos val="b"/>
        <c:numFmt formatCode="General" sourceLinked="1"/>
        <c:tickLblPos val="nextTo"/>
        <c:spPr>
          <a:ln w="2193">
            <a:solidFill>
              <a:srgbClr val="000000"/>
            </a:solidFill>
            <a:prstDash val="solid"/>
          </a:ln>
        </c:spPr>
        <c:txPr>
          <a:bodyPr rot="0" vert="horz"/>
          <a:lstStyle/>
          <a:p>
            <a:pPr>
              <a:defRPr sz="673" b="0" i="0" u="none" strike="noStrike" baseline="0">
                <a:solidFill>
                  <a:srgbClr val="000000"/>
                </a:solidFill>
                <a:latin typeface="Verdana"/>
                <a:ea typeface="Verdana"/>
                <a:cs typeface="Verdana"/>
              </a:defRPr>
            </a:pPr>
            <a:endParaRPr lang="en-US"/>
          </a:p>
        </c:txPr>
        <c:crossAx val="152312448"/>
        <c:crosses val="autoZero"/>
        <c:auto val="1"/>
        <c:lblAlgn val="ctr"/>
        <c:lblOffset val="100"/>
        <c:tickLblSkip val="1"/>
        <c:tickMarkSkip val="1"/>
      </c:catAx>
      <c:valAx>
        <c:axId val="152312448"/>
        <c:scaling>
          <c:orientation val="minMax"/>
        </c:scaling>
        <c:axPos val="l"/>
        <c:majorGridlines>
          <c:spPr>
            <a:ln w="2193">
              <a:solidFill>
                <a:srgbClr val="000000"/>
              </a:solidFill>
              <a:prstDash val="solid"/>
            </a:ln>
          </c:spPr>
        </c:majorGridlines>
        <c:numFmt formatCode="0%" sourceLinked="1"/>
        <c:tickLblPos val="nextTo"/>
        <c:spPr>
          <a:ln w="2193">
            <a:solidFill>
              <a:srgbClr val="000000"/>
            </a:solidFill>
            <a:prstDash val="solid"/>
          </a:ln>
        </c:spPr>
        <c:txPr>
          <a:bodyPr rot="0" vert="horz"/>
          <a:lstStyle/>
          <a:p>
            <a:pPr>
              <a:defRPr sz="673" b="0" i="0" u="none" strike="noStrike" baseline="0">
                <a:solidFill>
                  <a:srgbClr val="000000"/>
                </a:solidFill>
                <a:latin typeface="Verdana"/>
                <a:ea typeface="Verdana"/>
                <a:cs typeface="Verdana"/>
              </a:defRPr>
            </a:pPr>
            <a:endParaRPr lang="en-US"/>
          </a:p>
        </c:txPr>
        <c:crossAx val="152310912"/>
        <c:crosses val="autoZero"/>
        <c:crossBetween val="between"/>
      </c:valAx>
      <c:spPr>
        <a:noFill/>
        <a:ln w="17542">
          <a:noFill/>
        </a:ln>
      </c:spPr>
    </c:plotArea>
    <c:legend>
      <c:legendPos val="b"/>
      <c:layout>
        <c:manualLayout>
          <c:xMode val="edge"/>
          <c:yMode val="edge"/>
          <c:x val="0.28613569321533922"/>
          <c:y val="0.947265625"/>
          <c:w val="0.48820058997050153"/>
          <c:h val="4.6874999999999993E-2"/>
        </c:manualLayout>
      </c:layout>
      <c:spPr>
        <a:solidFill>
          <a:srgbClr val="FFFFFF"/>
        </a:solidFill>
        <a:ln w="2193">
          <a:solidFill>
            <a:srgbClr val="000000"/>
          </a:solidFill>
          <a:prstDash val="solid"/>
        </a:ln>
      </c:spPr>
      <c:txPr>
        <a:bodyPr/>
        <a:lstStyle/>
        <a:p>
          <a:pPr>
            <a:defRPr sz="618" b="0" i="0" u="none" strike="noStrike" baseline="0">
              <a:solidFill>
                <a:srgbClr val="000000"/>
              </a:solidFill>
              <a:latin typeface="Verdana"/>
              <a:ea typeface="Verdana"/>
              <a:cs typeface="Verdana"/>
            </a:defRPr>
          </a:pPr>
          <a:endParaRPr lang="en-US"/>
        </a:p>
      </c:txPr>
    </c:legend>
    <c:plotVisOnly val="1"/>
    <c:dispBlanksAs val="gap"/>
  </c:chart>
  <c:spPr>
    <a:solidFill>
      <a:srgbClr val="FFFFFF"/>
    </a:solidFill>
    <a:ln w="2193">
      <a:solidFill>
        <a:srgbClr val="000000"/>
      </a:solidFill>
      <a:prstDash val="solid"/>
    </a:ln>
  </c:spPr>
  <c:txPr>
    <a:bodyPr/>
    <a:lstStyle/>
    <a:p>
      <a:pPr>
        <a:defRPr sz="673" b="0" i="0" u="none" strike="noStrike" baseline="0">
          <a:solidFill>
            <a:srgbClr val="000000"/>
          </a:solidFill>
          <a:latin typeface="Verdana"/>
          <a:ea typeface="Verdana"/>
          <a:cs typeface="Verdana"/>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0.522</cdr:x>
      <cdr:y>0.512</cdr:y>
    </cdr:from>
    <cdr:to>
      <cdr:x>0.5395</cdr:x>
      <cdr:y>0.58</cdr:y>
    </cdr:to>
    <cdr:sp macro="" textlink="">
      <cdr:nvSpPr>
        <cdr:cNvPr id="3073" name="Text Box 1"/>
        <cdr:cNvSpPr txBox="1">
          <a:spLocks xmlns:a="http://schemas.openxmlformats.org/drawingml/2006/main" noChangeArrowheads="1"/>
        </cdr:cNvSpPr>
      </cdr:nvSpPr>
      <cdr:spPr bwMode="auto">
        <a:xfrm xmlns:a="http://schemas.openxmlformats.org/drawingml/2006/main">
          <a:off x="3112503" y="1648358"/>
          <a:ext cx="104347" cy="21892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1075" b="0" i="0" strike="noStrike">
              <a:solidFill>
                <a:srgbClr val="000000"/>
              </a:solidFill>
              <a:latin typeface="Geneva"/>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19555</Words>
  <Characters>111470</Characters>
  <Application>Microsoft Office Word</Application>
  <DocSecurity>4</DocSecurity>
  <Lines>928</Lines>
  <Paragraphs>261</Paragraphs>
  <ScaleCrop>false</ScaleCrop>
  <HeadingPairs>
    <vt:vector size="2" baseType="variant">
      <vt:variant>
        <vt:lpstr>Title</vt:lpstr>
      </vt:variant>
      <vt:variant>
        <vt:i4>1</vt:i4>
      </vt:variant>
    </vt:vector>
  </HeadingPairs>
  <TitlesOfParts>
    <vt:vector size="1" baseType="lpstr">
      <vt:lpstr>hawk-i</vt:lpstr>
    </vt:vector>
  </TitlesOfParts>
  <Company>Dept of Human Services</Company>
  <LinksUpToDate>false</LinksUpToDate>
  <CharactersWithSpaces>130764</CharactersWithSpaces>
  <SharedDoc>false</SharedDoc>
  <HLinks>
    <vt:vector size="36" baseType="variant">
      <vt:variant>
        <vt:i4>6946875</vt:i4>
      </vt:variant>
      <vt:variant>
        <vt:i4>3</vt:i4>
      </vt:variant>
      <vt:variant>
        <vt:i4>0</vt:i4>
      </vt:variant>
      <vt:variant>
        <vt:i4>5</vt:i4>
      </vt:variant>
      <vt:variant>
        <vt:lpwstr>http://www.hawk-i.org/</vt:lpwstr>
      </vt:variant>
      <vt:variant>
        <vt:lpwstr/>
      </vt:variant>
      <vt:variant>
        <vt:i4>5111887</vt:i4>
      </vt:variant>
      <vt:variant>
        <vt:i4>0</vt:i4>
      </vt:variant>
      <vt:variant>
        <vt:i4>0</vt:i4>
      </vt:variant>
      <vt:variant>
        <vt:i4>5</vt:i4>
      </vt:variant>
      <vt:variant>
        <vt:lpwstr>http://ppc.uiowa.edu/hawk-i/</vt:lpwstr>
      </vt:variant>
      <vt:variant>
        <vt:lpwstr/>
      </vt:variant>
      <vt:variant>
        <vt:i4>6750322</vt:i4>
      </vt:variant>
      <vt:variant>
        <vt:i4>9</vt:i4>
      </vt:variant>
      <vt:variant>
        <vt:i4>0</vt:i4>
      </vt:variant>
      <vt:variant>
        <vt:i4>5</vt:i4>
      </vt:variant>
      <vt:variant>
        <vt:lpwstr>http://www.aapd.org/media/policies.asp</vt:lpwstr>
      </vt:variant>
      <vt:variant>
        <vt:lpwstr/>
      </vt:variant>
      <vt:variant>
        <vt:i4>4915215</vt:i4>
      </vt:variant>
      <vt:variant>
        <vt:i4>6</vt:i4>
      </vt:variant>
      <vt:variant>
        <vt:i4>0</vt:i4>
      </vt:variant>
      <vt:variant>
        <vt:i4>5</vt:i4>
      </vt:variant>
      <vt:variant>
        <vt:lpwstr>http://www.aphsa.org/</vt:lpwstr>
      </vt:variant>
      <vt:variant>
        <vt:lpwstr/>
      </vt:variant>
      <vt:variant>
        <vt:i4>131103</vt:i4>
      </vt:variant>
      <vt:variant>
        <vt:i4>3</vt:i4>
      </vt:variant>
      <vt:variant>
        <vt:i4>0</vt:i4>
      </vt:variant>
      <vt:variant>
        <vt:i4>5</vt:i4>
      </vt:variant>
      <vt:variant>
        <vt:lpwstr>http://www.aap.org/policy/re9939.html</vt:lpwstr>
      </vt:variant>
      <vt:variant>
        <vt:lpwstr/>
      </vt:variant>
      <vt:variant>
        <vt:i4>4128889</vt:i4>
      </vt:variant>
      <vt:variant>
        <vt:i4>0</vt:i4>
      </vt:variant>
      <vt:variant>
        <vt:i4>0</vt:i4>
      </vt:variant>
      <vt:variant>
        <vt:i4>5</vt:i4>
      </vt:variant>
      <vt:variant>
        <vt:lpwstr>http://www.ncqa.org/Programs/HEDIS/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hawk-i</dc:title>
  <dc:subject/>
  <dc:creator>Dee J</dc:creator>
  <cp:keywords/>
  <dc:description/>
  <cp:lastModifiedBy>Margaret Noon</cp:lastModifiedBy>
  <cp:revision>2</cp:revision>
  <cp:lastPrinted>2003-12-23T20:53:00Z</cp:lastPrinted>
  <dcterms:created xsi:type="dcterms:W3CDTF">2009-02-17T20:25:00Z</dcterms:created>
  <dcterms:modified xsi:type="dcterms:W3CDTF">2009-02-17T20:25:00Z</dcterms:modified>
</cp:coreProperties>
</file>